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eastAsia"/>
          <w:lang w:val="en-US" w:eastAsia="zh-CN"/>
        </w:rPr>
      </w:pPr>
      <w:r>
        <w:rPr>
          <w:rFonts w:hint="eastAsia"/>
          <w:lang w:val="en-US" w:eastAsia="zh-CN"/>
        </w:rPr>
        <w:t>基于知识增强以图为中心的分子性质预测方法</w:t>
      </w:r>
    </w:p>
    <w:p w14:paraId="5CA42B40">
      <w:pPr>
        <w:pageBreakBefore w:val="0"/>
        <w:widowControl w:val="0"/>
        <w:kinsoku/>
        <w:wordWrap/>
        <w:overflowPunct/>
        <w:topLinePunct w:val="0"/>
        <w:autoSpaceDE/>
        <w:autoSpaceDN/>
        <w:bidi w:val="0"/>
        <w:adjustRightInd/>
        <w:snapToGri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3.2.1 多模态总体框架</w:t>
      </w:r>
    </w:p>
    <w:p w14:paraId="2047E93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36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36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36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36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36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36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36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36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36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36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360" w:lineRule="auto"/>
        <w:textAlignment w:val="auto"/>
      </w:pPr>
      <w:r>
        <w:t>该融合方式使模型能够根据具体分子样本，动态调整不同模态的贡献，从而提升表示的表达能力与灵活性。</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5E1F08F2">
      <w:pPr>
        <w:bidi w:val="0"/>
        <w:rPr>
          <w:rFonts w:hint="eastAsia"/>
          <w:lang w:val="en-US" w:eastAsia="zh-CN"/>
        </w:rPr>
      </w:pPr>
      <w:r>
        <w:rPr>
          <w:rFonts w:hint="eastAsia"/>
          <w:lang w:val="en-US" w:eastAsia="zh-CN"/>
        </w:rPr>
        <w:t>在分子表征的工作中，文本是可以反应分子性质的重要模态，例如liop中（举一个例子）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411DED6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val="0"/>
          <w:bCs w:val="0"/>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03163B31">
      <w:pPr>
        <w:pStyle w:val="4"/>
        <w:bidi w:val="0"/>
        <w:rPr>
          <w:rFonts w:hint="default"/>
          <w:lang w:val="en-US" w:eastAsia="zh-CN"/>
        </w:rPr>
      </w:pPr>
      <w:r>
        <w:rPr>
          <w:rFonts w:hint="eastAsia"/>
          <w:lang w:val="en-US" w:eastAsia="zh-CN"/>
        </w:rPr>
        <w:t>下游数据集介绍</w:t>
      </w:r>
    </w:p>
    <w:p w14:paraId="2E6B47B2">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44B84D2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48BCB27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5539BF6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24B708B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5C500E9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55C8B7C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1EA28BC7">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p>
    <w:p w14:paraId="29C3538C">
      <w:pPr>
        <w:rPr>
          <w:rFonts w:hint="default"/>
          <w:lang w:val="en-US" w:eastAsia="zh-CN"/>
        </w:rPr>
      </w:pP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3802B21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《交叉熵损失函数》</w:t>
      </w:r>
    </w:p>
    <w:p w14:paraId="5C339A68">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其中。。。。《介绍交叉熵损失函数的》</w:t>
      </w:r>
    </w:p>
    <w:p w14:paraId="041956B5">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pageBreakBefore w:val="0"/>
        <w:numPr>
          <w:ilvl w:val="0"/>
          <w:numId w:val="4"/>
        </w:numPr>
        <w:kinsoku/>
        <w:wordWrap/>
        <w:overflowPunct/>
        <w:topLinePunct w:val="0"/>
        <w:autoSpaceDE/>
        <w:autoSpaceDN/>
        <w:bidi w:val="0"/>
        <w:adjustRightInd/>
        <w:spacing w:beforeAutospacing="0" w:afterAutospacing="0" w:line="360" w:lineRule="auto"/>
        <w:textAlignment w:val="auto"/>
      </w:pPr>
      <w:r>
        <w:t>多正样本问题：在多模态条件下，同一分子样本在不同模态下均构成正样本对，一对一的 NT-Xent 形式无法自然建模这种多对齐关系。</w:t>
      </w:r>
    </w:p>
    <w:p w14:paraId="6600F358">
      <w:pPr>
        <w:pageBreakBefore w:val="0"/>
        <w:numPr>
          <w:ilvl w:val="0"/>
          <w:numId w:val="4"/>
        </w:numPr>
        <w:kinsoku/>
        <w:wordWrap/>
        <w:overflowPunct/>
        <w:topLinePunct w:val="0"/>
        <w:autoSpaceDE/>
        <w:autoSpaceDN/>
        <w:bidi w:val="0"/>
        <w:adjustRightInd/>
        <w:spacing w:beforeAutospacing="0" w:afterAutospacing="0" w:line="360" w:lineRule="auto"/>
        <w:ind w:left="0" w:leftChars="0" w:firstLine="420" w:firstLineChars="200"/>
        <w:textAlignment w:val="auto"/>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pageBreakBefore w:val="0"/>
        <w:numPr>
          <w:ilvl w:val="0"/>
          <w:numId w:val="0"/>
        </w:numPr>
        <w:kinsoku/>
        <w:wordWrap/>
        <w:overflowPunct/>
        <w:topLinePunct w:val="0"/>
        <w:autoSpaceDE/>
        <w:autoSpaceDN/>
        <w:bidi w:val="0"/>
        <w:adjustRightInd/>
        <w:spacing w:beforeAutospacing="0" w:afterAutospacing="0" w:line="360" w:lineRule="auto"/>
        <w:textAlignment w:val="auto"/>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7D455D6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4F115F04">
      <w:pPr>
        <w:pStyle w:val="4"/>
        <w:bidi w:val="0"/>
        <w:rPr>
          <w:rFonts w:hint="default"/>
          <w:lang w:val="en-US" w:eastAsia="zh-CN"/>
        </w:rPr>
      </w:pPr>
      <w:r>
        <w:rPr>
          <w:rFonts w:hint="eastAsia"/>
          <w:lang w:val="en-US" w:eastAsia="zh-CN"/>
        </w:rPr>
        <w:t>对比模型</w:t>
      </w:r>
    </w:p>
    <w:p w14:paraId="2CFA5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22EC42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0E291D7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7733EA5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04EFD87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 是一种基于 Transformer 架构的分子表示学习方法，将 SMILES 字符串视为文本序列输入，通过自监督预训练任务（如掩码语言模型）学习分子的上下文语义表示，进而用于分子性质预测等下游任务。</w:t>
      </w:r>
    </w:p>
    <w:p w14:paraId="2F3AFC2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3C97AE6B">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948BAC5">
      <w:pPr>
        <w:rPr>
          <w:rFonts w:hint="default"/>
          <w:lang w:val="en-US" w:eastAsia="zh-CN"/>
        </w:rPr>
      </w:pP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在 MoleculeNet 上的9个分子性质预测数据集，进行了多维度的实验和评估。所有实验均采用骨架分割的方法，按照8:1:1的比例划分出实验的训练集、验证集和测试集。并且我们使用不同的随机种子做了多组织实验，并记录每次实验的结果，最终各个模型的性能我们取均值以及标准差来作为结果。</w:t>
      </w:r>
    </w:p>
    <w:tbl>
      <w:tblPr>
        <w:tblStyle w:val="17"/>
        <w:tblW w:w="7738"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4DF927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single" w:color="000000" w:sz="12" w:space="0"/>
              <w:left w:val="nil"/>
              <w:bottom w:val="nil"/>
              <w:right w:val="nil"/>
            </w:tcBorders>
            <w:vAlign w:val="top"/>
          </w:tcPr>
          <w:p w14:paraId="57B778E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vAlign w:val="top"/>
          </w:tcPr>
          <w:p w14:paraId="347C61D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top"/>
          </w:tcPr>
          <w:p w14:paraId="2AFAEBB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top"/>
          </w:tcPr>
          <w:p w14:paraId="26249D8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top"/>
          </w:tcPr>
          <w:p w14:paraId="782C3D9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top"/>
          </w:tcPr>
          <w:p w14:paraId="472CC81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top"/>
          </w:tcPr>
          <w:p w14:paraId="1A7A0F8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SIDER</w:t>
            </w:r>
          </w:p>
        </w:tc>
      </w:tr>
      <w:tr w14:paraId="40FAA5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2A59DC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vAlign w:val="top"/>
          </w:tcPr>
          <w:p w14:paraId="192290E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top"/>
          </w:tcPr>
          <w:p w14:paraId="6D7E1F3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top"/>
          </w:tcPr>
          <w:p w14:paraId="60070ED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top"/>
          </w:tcPr>
          <w:p w14:paraId="12A2623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top"/>
          </w:tcPr>
          <w:p w14:paraId="557841B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top"/>
          </w:tcPr>
          <w:p w14:paraId="577A453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1472</w:t>
            </w:r>
          </w:p>
        </w:tc>
      </w:tr>
      <w:tr w14:paraId="22525D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right w:val="nil"/>
            </w:tcBorders>
            <w:vAlign w:val="top"/>
          </w:tcPr>
          <w:p w14:paraId="1D9E2C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vAlign w:val="top"/>
          </w:tcPr>
          <w:p w14:paraId="49B7676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top"/>
          </w:tcPr>
          <w:p w14:paraId="4AB9308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top"/>
          </w:tcPr>
          <w:p w14:paraId="5120EFC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top"/>
          </w:tcPr>
          <w:p w14:paraId="162BBD9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top"/>
          </w:tcPr>
          <w:p w14:paraId="44B438F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top"/>
          </w:tcPr>
          <w:p w14:paraId="23BA084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27</w:t>
            </w:r>
          </w:p>
        </w:tc>
      </w:tr>
      <w:tr w14:paraId="464C84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left w:val="nil"/>
              <w:bottom w:val="nil"/>
              <w:right w:val="nil"/>
            </w:tcBorders>
            <w:vAlign w:val="top"/>
          </w:tcPr>
          <w:p w14:paraId="21D35CB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AttentiveFP</w:t>
            </w:r>
          </w:p>
        </w:tc>
        <w:tc>
          <w:tcPr>
            <w:tcW w:w="1021" w:type="dxa"/>
            <w:tcBorders>
              <w:left w:val="nil"/>
              <w:bottom w:val="nil"/>
              <w:right w:val="nil"/>
            </w:tcBorders>
            <w:shd w:val="clear"/>
            <w:vAlign w:val="top"/>
          </w:tcPr>
          <w:p w14:paraId="24A4CC4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top"/>
          </w:tcPr>
          <w:p w14:paraId="7F16403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top"/>
          </w:tcPr>
          <w:p w14:paraId="4DD81C6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top"/>
          </w:tcPr>
          <w:p w14:paraId="6C974EE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top"/>
          </w:tcPr>
          <w:p w14:paraId="6259621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top"/>
          </w:tcPr>
          <w:p w14:paraId="29D71A0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0.605</w:t>
            </w:r>
          </w:p>
        </w:tc>
      </w:tr>
      <w:tr w14:paraId="0A4519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D308C5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color w:val="E54C5E" w:themeColor="accent6"/>
                <w:vertAlign w:val="baseline"/>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w:t>
            </w:r>
          </w:p>
        </w:tc>
        <w:tc>
          <w:tcPr>
            <w:tcW w:w="1021" w:type="dxa"/>
            <w:tcBorders>
              <w:top w:val="nil"/>
              <w:left w:val="nil"/>
              <w:bottom w:val="nil"/>
              <w:right w:val="nil"/>
            </w:tcBorders>
            <w:shd w:val="clear"/>
            <w:vAlign w:val="top"/>
          </w:tcPr>
          <w:p w14:paraId="0824F62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color w:val="E54C5E" w:themeColor="accent6"/>
                <w:kern w:val="2"/>
                <w:sz w:val="21"/>
                <w:szCs w:val="24"/>
                <w:vertAlign w:val="baseline"/>
                <w:lang w:val="en-US" w:eastAsia="zh-CN" w:bidi="ar-SA"/>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0.849</w:t>
            </w:r>
          </w:p>
        </w:tc>
        <w:tc>
          <w:tcPr>
            <w:tcW w:w="886" w:type="dxa"/>
            <w:tcBorders>
              <w:top w:val="nil"/>
              <w:left w:val="nil"/>
              <w:bottom w:val="nil"/>
              <w:right w:val="nil"/>
            </w:tcBorders>
            <w:vAlign w:val="top"/>
          </w:tcPr>
          <w:p w14:paraId="081F235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0.959</w:t>
            </w:r>
          </w:p>
        </w:tc>
        <w:tc>
          <w:tcPr>
            <w:tcW w:w="1062" w:type="dxa"/>
            <w:tcBorders>
              <w:top w:val="nil"/>
              <w:left w:val="nil"/>
              <w:bottom w:val="nil"/>
              <w:right w:val="nil"/>
            </w:tcBorders>
            <w:vAlign w:val="top"/>
          </w:tcPr>
          <w:p w14:paraId="6B89C65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0.985</w:t>
            </w:r>
          </w:p>
        </w:tc>
        <w:tc>
          <w:tcPr>
            <w:tcW w:w="883" w:type="dxa"/>
            <w:tcBorders>
              <w:top w:val="nil"/>
              <w:left w:val="nil"/>
              <w:bottom w:val="nil"/>
              <w:right w:val="nil"/>
            </w:tcBorders>
            <w:vAlign w:val="top"/>
          </w:tcPr>
          <w:p w14:paraId="3F33735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0.803</w:t>
            </w:r>
          </w:p>
        </w:tc>
        <w:tc>
          <w:tcPr>
            <w:tcW w:w="1073" w:type="dxa"/>
            <w:tcBorders>
              <w:top w:val="nil"/>
              <w:left w:val="nil"/>
              <w:bottom w:val="nil"/>
              <w:right w:val="nil"/>
            </w:tcBorders>
            <w:vAlign w:val="top"/>
          </w:tcPr>
          <w:p w14:paraId="656AAA8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0.655</w:t>
            </w:r>
          </w:p>
        </w:tc>
        <w:tc>
          <w:tcPr>
            <w:tcW w:w="969" w:type="dxa"/>
            <w:tcBorders>
              <w:top w:val="nil"/>
              <w:left w:val="nil"/>
              <w:bottom w:val="nil"/>
              <w:right w:val="nil"/>
            </w:tcBorders>
            <w:vAlign w:val="top"/>
          </w:tcPr>
          <w:p w14:paraId="495098D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0.568</w:t>
            </w:r>
          </w:p>
        </w:tc>
      </w:tr>
      <w:tr w14:paraId="68866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D9224E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Mol2Vec</w:t>
            </w:r>
          </w:p>
        </w:tc>
        <w:tc>
          <w:tcPr>
            <w:tcW w:w="1021" w:type="dxa"/>
            <w:tcBorders>
              <w:top w:val="nil"/>
              <w:left w:val="nil"/>
              <w:bottom w:val="nil"/>
              <w:right w:val="nil"/>
            </w:tcBorders>
            <w:shd w:val="clear"/>
            <w:vAlign w:val="top"/>
          </w:tcPr>
          <w:p w14:paraId="360EE12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top"/>
          </w:tcPr>
          <w:p w14:paraId="7272027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top"/>
          </w:tcPr>
          <w:p w14:paraId="73A7221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top"/>
          </w:tcPr>
          <w:p w14:paraId="7EBBB9C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top"/>
          </w:tcPr>
          <w:p w14:paraId="31BF482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top"/>
          </w:tcPr>
          <w:p w14:paraId="5B74382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0.592</w:t>
            </w:r>
          </w:p>
        </w:tc>
      </w:tr>
      <w:tr w14:paraId="2006BC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2CCBCCE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GROVER-base</w:t>
            </w:r>
          </w:p>
        </w:tc>
        <w:tc>
          <w:tcPr>
            <w:tcW w:w="1021" w:type="dxa"/>
            <w:tcBorders>
              <w:top w:val="nil"/>
              <w:left w:val="nil"/>
              <w:bottom w:val="nil"/>
              <w:right w:val="nil"/>
            </w:tcBorders>
            <w:shd w:val="clear"/>
            <w:vAlign w:val="top"/>
          </w:tcPr>
          <w:p w14:paraId="2C72762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top"/>
          </w:tcPr>
          <w:p w14:paraId="0E537DE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top"/>
          </w:tcPr>
          <w:p w14:paraId="4CBDAD3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top"/>
          </w:tcPr>
          <w:p w14:paraId="671F357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top"/>
          </w:tcPr>
          <w:p w14:paraId="7263DD4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top"/>
          </w:tcPr>
          <w:p w14:paraId="65D87D1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0.614</w:t>
            </w:r>
          </w:p>
        </w:tc>
      </w:tr>
      <w:tr w14:paraId="46F6A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jc w:val="center"/>
        </w:trPr>
        <w:tc>
          <w:tcPr>
            <w:tcW w:w="1844" w:type="dxa"/>
            <w:tcBorders>
              <w:top w:val="nil"/>
              <w:left w:val="nil"/>
              <w:bottom w:val="nil"/>
              <w:right w:val="nil"/>
            </w:tcBorders>
            <w:vAlign w:val="top"/>
          </w:tcPr>
          <w:p w14:paraId="73555FD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GROVER-large</w:t>
            </w:r>
          </w:p>
        </w:tc>
        <w:tc>
          <w:tcPr>
            <w:tcW w:w="1021" w:type="dxa"/>
            <w:tcBorders>
              <w:top w:val="nil"/>
              <w:left w:val="nil"/>
              <w:bottom w:val="nil"/>
              <w:right w:val="nil"/>
            </w:tcBorders>
            <w:shd w:val="clear"/>
            <w:vAlign w:val="top"/>
          </w:tcPr>
          <w:p w14:paraId="5F221BB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0.826</w:t>
            </w:r>
          </w:p>
        </w:tc>
        <w:tc>
          <w:tcPr>
            <w:tcW w:w="886" w:type="dxa"/>
            <w:tcBorders>
              <w:top w:val="nil"/>
              <w:left w:val="nil"/>
              <w:bottom w:val="nil"/>
              <w:right w:val="nil"/>
            </w:tcBorders>
            <w:vAlign w:val="top"/>
          </w:tcPr>
          <w:p w14:paraId="1AFA832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0.702</w:t>
            </w:r>
          </w:p>
        </w:tc>
        <w:tc>
          <w:tcPr>
            <w:tcW w:w="1062" w:type="dxa"/>
            <w:tcBorders>
              <w:top w:val="nil"/>
              <w:left w:val="nil"/>
              <w:bottom w:val="nil"/>
              <w:right w:val="nil"/>
            </w:tcBorders>
            <w:vAlign w:val="top"/>
          </w:tcPr>
          <w:p w14:paraId="5F4E543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0.743</w:t>
            </w:r>
          </w:p>
        </w:tc>
        <w:tc>
          <w:tcPr>
            <w:tcW w:w="883" w:type="dxa"/>
            <w:tcBorders>
              <w:top w:val="nil"/>
              <w:left w:val="nil"/>
              <w:bottom w:val="nil"/>
              <w:right w:val="nil"/>
            </w:tcBorders>
            <w:vAlign w:val="top"/>
          </w:tcPr>
          <w:p w14:paraId="480D002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0.654</w:t>
            </w:r>
          </w:p>
        </w:tc>
        <w:tc>
          <w:tcPr>
            <w:tcW w:w="1073" w:type="dxa"/>
            <w:tcBorders>
              <w:top w:val="nil"/>
              <w:left w:val="nil"/>
              <w:bottom w:val="nil"/>
              <w:right w:val="nil"/>
            </w:tcBorders>
            <w:vAlign w:val="top"/>
          </w:tcPr>
          <w:p w14:paraId="27327BA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0.654</w:t>
            </w:r>
          </w:p>
        </w:tc>
        <w:tc>
          <w:tcPr>
            <w:tcW w:w="969" w:type="dxa"/>
            <w:tcBorders>
              <w:top w:val="nil"/>
              <w:left w:val="nil"/>
              <w:bottom w:val="nil"/>
              <w:right w:val="nil"/>
            </w:tcBorders>
            <w:vAlign w:val="top"/>
          </w:tcPr>
          <w:p w14:paraId="4DE7432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0.648</w:t>
            </w:r>
          </w:p>
        </w:tc>
      </w:tr>
      <w:tr w14:paraId="387A88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9E2EF5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GraphMVP</w:t>
            </w:r>
          </w:p>
        </w:tc>
        <w:tc>
          <w:tcPr>
            <w:tcW w:w="1021" w:type="dxa"/>
            <w:tcBorders>
              <w:top w:val="nil"/>
              <w:left w:val="nil"/>
              <w:bottom w:val="nil"/>
              <w:right w:val="nil"/>
            </w:tcBorders>
            <w:shd w:val="clear"/>
            <w:vAlign w:val="top"/>
          </w:tcPr>
          <w:p w14:paraId="012EFDE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top"/>
          </w:tcPr>
          <w:p w14:paraId="2187F7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top"/>
          </w:tcPr>
          <w:p w14:paraId="3F18F38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top"/>
          </w:tcPr>
          <w:p w14:paraId="2EB4081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top"/>
          </w:tcPr>
          <w:p w14:paraId="243B232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top"/>
          </w:tcPr>
          <w:p w14:paraId="7790ED0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0.639</w:t>
            </w:r>
          </w:p>
        </w:tc>
      </w:tr>
      <w:tr w14:paraId="770F21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403504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MPNN</w:t>
            </w:r>
          </w:p>
        </w:tc>
        <w:tc>
          <w:tcPr>
            <w:tcW w:w="1021" w:type="dxa"/>
            <w:tcBorders>
              <w:top w:val="nil"/>
              <w:left w:val="nil"/>
              <w:bottom w:val="nil"/>
              <w:right w:val="nil"/>
            </w:tcBorders>
            <w:shd w:val="clear"/>
            <w:vAlign w:val="top"/>
          </w:tcPr>
          <w:p w14:paraId="1873D03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top"/>
          </w:tcPr>
          <w:p w14:paraId="1EAF5A2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top"/>
          </w:tcPr>
          <w:p w14:paraId="59AEB4C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top"/>
          </w:tcPr>
          <w:p w14:paraId="6CD6583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top"/>
          </w:tcPr>
          <w:p w14:paraId="5AEB6C9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top"/>
          </w:tcPr>
          <w:p w14:paraId="149C080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0.595</w:t>
            </w:r>
          </w:p>
        </w:tc>
      </w:tr>
      <w:tr w14:paraId="4B4EA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A162AA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DMPNN</w:t>
            </w:r>
          </w:p>
        </w:tc>
        <w:tc>
          <w:tcPr>
            <w:tcW w:w="1021" w:type="dxa"/>
            <w:tcBorders>
              <w:top w:val="nil"/>
              <w:left w:val="nil"/>
              <w:bottom w:val="nil"/>
              <w:right w:val="nil"/>
            </w:tcBorders>
            <w:shd w:val="clear"/>
            <w:vAlign w:val="top"/>
          </w:tcPr>
          <w:p w14:paraId="5E14F2E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top"/>
          </w:tcPr>
          <w:p w14:paraId="4FD9025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top"/>
          </w:tcPr>
          <w:p w14:paraId="4750FD0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top"/>
          </w:tcPr>
          <w:p w14:paraId="3FD0EED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top"/>
          </w:tcPr>
          <w:p w14:paraId="280F86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top"/>
          </w:tcPr>
          <w:p w14:paraId="3233633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0.570</w:t>
            </w:r>
          </w:p>
        </w:tc>
      </w:tr>
      <w:tr w14:paraId="04446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5A34846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CMPNN</w:t>
            </w:r>
          </w:p>
        </w:tc>
        <w:tc>
          <w:tcPr>
            <w:tcW w:w="1021" w:type="dxa"/>
            <w:tcBorders>
              <w:top w:val="nil"/>
              <w:left w:val="nil"/>
              <w:bottom w:val="nil"/>
              <w:right w:val="nil"/>
            </w:tcBorders>
            <w:shd w:val="clear"/>
            <w:vAlign w:val="top"/>
          </w:tcPr>
          <w:p w14:paraId="13B35AB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0.869</w:t>
            </w:r>
          </w:p>
        </w:tc>
        <w:tc>
          <w:tcPr>
            <w:tcW w:w="886" w:type="dxa"/>
            <w:tcBorders>
              <w:top w:val="nil"/>
              <w:left w:val="nil"/>
              <w:bottom w:val="nil"/>
              <w:right w:val="nil"/>
            </w:tcBorders>
            <w:vAlign w:val="top"/>
          </w:tcPr>
          <w:p w14:paraId="5504FF9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0.927</w:t>
            </w:r>
          </w:p>
        </w:tc>
        <w:tc>
          <w:tcPr>
            <w:tcW w:w="1062" w:type="dxa"/>
            <w:tcBorders>
              <w:top w:val="nil"/>
              <w:left w:val="nil"/>
              <w:bottom w:val="nil"/>
              <w:right w:val="nil"/>
            </w:tcBorders>
            <w:vAlign w:val="top"/>
          </w:tcPr>
          <w:p w14:paraId="1C447F9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0.901</w:t>
            </w:r>
          </w:p>
        </w:tc>
        <w:tc>
          <w:tcPr>
            <w:tcW w:w="883" w:type="dxa"/>
            <w:tcBorders>
              <w:top w:val="nil"/>
              <w:left w:val="nil"/>
              <w:bottom w:val="nil"/>
              <w:right w:val="nil"/>
            </w:tcBorders>
            <w:vAlign w:val="top"/>
          </w:tcPr>
          <w:p w14:paraId="12D8BBA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0.837</w:t>
            </w:r>
          </w:p>
        </w:tc>
        <w:tc>
          <w:tcPr>
            <w:tcW w:w="1073" w:type="dxa"/>
            <w:tcBorders>
              <w:top w:val="nil"/>
              <w:left w:val="nil"/>
              <w:bottom w:val="nil"/>
              <w:right w:val="nil"/>
            </w:tcBorders>
            <w:vAlign w:val="top"/>
          </w:tcPr>
          <w:p w14:paraId="06087AB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0.709</w:t>
            </w:r>
          </w:p>
        </w:tc>
        <w:tc>
          <w:tcPr>
            <w:tcW w:w="969" w:type="dxa"/>
            <w:tcBorders>
              <w:top w:val="nil"/>
              <w:left w:val="nil"/>
              <w:bottom w:val="nil"/>
              <w:right w:val="nil"/>
            </w:tcBorders>
            <w:vAlign w:val="top"/>
          </w:tcPr>
          <w:p w14:paraId="4918941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0.617</w:t>
            </w:r>
          </w:p>
        </w:tc>
      </w:tr>
      <w:tr w14:paraId="08AF9D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5679B48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GIN</w:t>
            </w:r>
          </w:p>
        </w:tc>
        <w:tc>
          <w:tcPr>
            <w:tcW w:w="1021" w:type="dxa"/>
            <w:tcBorders>
              <w:top w:val="nil"/>
              <w:left w:val="nil"/>
              <w:bottom w:val="nil"/>
              <w:right w:val="nil"/>
            </w:tcBorders>
            <w:shd w:val="clear"/>
            <w:vAlign w:val="top"/>
          </w:tcPr>
          <w:p w14:paraId="3601303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p>
        </w:tc>
        <w:tc>
          <w:tcPr>
            <w:tcW w:w="886" w:type="dxa"/>
            <w:tcBorders>
              <w:top w:val="nil"/>
              <w:left w:val="nil"/>
              <w:bottom w:val="nil"/>
              <w:right w:val="nil"/>
            </w:tcBorders>
            <w:vAlign w:val="top"/>
          </w:tcPr>
          <w:p w14:paraId="0431128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0.894</w:t>
            </w:r>
          </w:p>
        </w:tc>
        <w:tc>
          <w:tcPr>
            <w:tcW w:w="1062" w:type="dxa"/>
            <w:tcBorders>
              <w:top w:val="nil"/>
              <w:left w:val="nil"/>
              <w:bottom w:val="nil"/>
              <w:right w:val="nil"/>
            </w:tcBorders>
            <w:vAlign w:val="top"/>
          </w:tcPr>
          <w:p w14:paraId="2779EA0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0.869</w:t>
            </w:r>
          </w:p>
        </w:tc>
        <w:tc>
          <w:tcPr>
            <w:tcW w:w="883" w:type="dxa"/>
            <w:tcBorders>
              <w:top w:val="nil"/>
              <w:left w:val="nil"/>
              <w:bottom w:val="nil"/>
              <w:right w:val="nil"/>
            </w:tcBorders>
            <w:vAlign w:val="top"/>
          </w:tcPr>
          <w:p w14:paraId="20EC12F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0.811</w:t>
            </w:r>
          </w:p>
        </w:tc>
        <w:tc>
          <w:tcPr>
            <w:tcW w:w="1073" w:type="dxa"/>
            <w:tcBorders>
              <w:top w:val="nil"/>
              <w:left w:val="nil"/>
              <w:bottom w:val="nil"/>
              <w:right w:val="nil"/>
            </w:tcBorders>
            <w:vAlign w:val="top"/>
          </w:tcPr>
          <w:p w14:paraId="598827C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0.703</w:t>
            </w:r>
          </w:p>
        </w:tc>
        <w:tc>
          <w:tcPr>
            <w:tcW w:w="969" w:type="dxa"/>
            <w:tcBorders>
              <w:top w:val="nil"/>
              <w:left w:val="nil"/>
              <w:bottom w:val="nil"/>
              <w:right w:val="nil"/>
            </w:tcBorders>
            <w:vAlign w:val="top"/>
          </w:tcPr>
          <w:p w14:paraId="639C0A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0.591</w:t>
            </w:r>
          </w:p>
        </w:tc>
      </w:tr>
      <w:tr w14:paraId="0D62C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1358ACD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SchNet</w:t>
            </w:r>
          </w:p>
        </w:tc>
        <w:tc>
          <w:tcPr>
            <w:tcW w:w="1021" w:type="dxa"/>
            <w:tcBorders>
              <w:top w:val="nil"/>
              <w:left w:val="nil"/>
              <w:bottom w:val="nil"/>
              <w:right w:val="nil"/>
            </w:tcBorders>
            <w:shd w:val="clear"/>
            <w:vAlign w:val="top"/>
          </w:tcPr>
          <w:p w14:paraId="46008FE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top"/>
          </w:tcPr>
          <w:p w14:paraId="1420F6D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top"/>
          </w:tcPr>
          <w:p w14:paraId="1FB75F7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top"/>
          </w:tcPr>
          <w:p w14:paraId="29F037C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top"/>
          </w:tcPr>
          <w:p w14:paraId="2F727ED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top"/>
          </w:tcPr>
          <w:p w14:paraId="63A026C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0.545</w:t>
            </w:r>
          </w:p>
        </w:tc>
      </w:tr>
      <w:tr w14:paraId="6469D5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C5A76E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vAlign w:val="top"/>
          </w:tcPr>
          <w:p w14:paraId="2BCAB3F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top"/>
          </w:tcPr>
          <w:p w14:paraId="109C231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top"/>
          </w:tcPr>
          <w:p w14:paraId="168A1DE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top"/>
          </w:tcPr>
          <w:p w14:paraId="0560641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top"/>
          </w:tcPr>
          <w:p w14:paraId="294D884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top"/>
          </w:tcPr>
          <w:p w14:paraId="2E69B92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0.662</w:t>
            </w:r>
          </w:p>
        </w:tc>
      </w:tr>
      <w:tr w14:paraId="46C24C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4693C65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vAlign w:val="top"/>
          </w:tcPr>
          <w:p w14:paraId="5229A7F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top"/>
          </w:tcPr>
          <w:p w14:paraId="5E8640E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top"/>
          </w:tcPr>
          <w:p w14:paraId="6CDBE92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top"/>
          </w:tcPr>
          <w:p w14:paraId="73BAC1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top"/>
          </w:tcPr>
          <w:p w14:paraId="57360AA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top"/>
          </w:tcPr>
          <w:p w14:paraId="059CAD1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0.610</w:t>
            </w:r>
          </w:p>
        </w:tc>
      </w:tr>
      <w:tr w14:paraId="38E21A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7134C33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vAlign w:val="top"/>
          </w:tcPr>
          <w:p w14:paraId="4EBCA76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top"/>
          </w:tcPr>
          <w:p w14:paraId="6A0F7BF0">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top"/>
          </w:tcPr>
          <w:p w14:paraId="5507C32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top"/>
          </w:tcPr>
          <w:p w14:paraId="1EFAC84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top"/>
          </w:tcPr>
          <w:p w14:paraId="6AB71DB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top"/>
          </w:tcPr>
          <w:p w14:paraId="73B009E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0.605</w:t>
            </w:r>
          </w:p>
        </w:tc>
      </w:tr>
      <w:tr w14:paraId="41074D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right w:val="nil"/>
            </w:tcBorders>
            <w:vAlign w:val="top"/>
          </w:tcPr>
          <w:p w14:paraId="30369E9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vAlign w:val="top"/>
          </w:tcPr>
          <w:p w14:paraId="25CCAA1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top"/>
          </w:tcPr>
          <w:p w14:paraId="60C9EB3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top"/>
          </w:tcPr>
          <w:p w14:paraId="480E2C7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top"/>
          </w:tcPr>
          <w:p w14:paraId="34E10B3B">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top"/>
          </w:tcPr>
          <w:p w14:paraId="6AC1FEDA">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top"/>
          </w:tcPr>
          <w:p w14:paraId="67F2C89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0.598</w:t>
            </w:r>
          </w:p>
        </w:tc>
      </w:tr>
      <w:tr w14:paraId="063C7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left w:val="nil"/>
              <w:bottom w:val="single" w:color="000000" w:sz="12" w:space="0"/>
              <w:right w:val="nil"/>
            </w:tcBorders>
            <w:vAlign w:val="top"/>
          </w:tcPr>
          <w:p w14:paraId="5A0BB546">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vAlign w:val="top"/>
          </w:tcPr>
          <w:p w14:paraId="0528DD8E">
            <w:pPr>
              <w:pageBreakBefore w:val="0"/>
              <w:kinsoku/>
              <w:wordWrap/>
              <w:overflowPunct/>
              <w:topLinePunct w:val="0"/>
              <w:autoSpaceDE/>
              <w:autoSpaceDN/>
              <w:bidi w:val="0"/>
              <w:adjustRightInd/>
              <w:snapToGrid w:val="0"/>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p>
        </w:tc>
        <w:tc>
          <w:tcPr>
            <w:tcW w:w="886" w:type="dxa"/>
            <w:tcBorders>
              <w:left w:val="nil"/>
              <w:bottom w:val="single" w:color="000000" w:sz="12" w:space="0"/>
              <w:right w:val="nil"/>
            </w:tcBorders>
            <w:vAlign w:val="top"/>
          </w:tcPr>
          <w:p w14:paraId="3F7582B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w:t>
            </w:r>
          </w:p>
        </w:tc>
        <w:tc>
          <w:tcPr>
            <w:tcW w:w="1062" w:type="dxa"/>
            <w:tcBorders>
              <w:left w:val="nil"/>
              <w:bottom w:val="single" w:color="000000" w:sz="12" w:space="0"/>
              <w:right w:val="nil"/>
            </w:tcBorders>
            <w:vAlign w:val="top"/>
          </w:tcPr>
          <w:p w14:paraId="0448E00B">
            <w:pPr>
              <w:pageBreakBefore w:val="0"/>
              <w:kinsoku/>
              <w:wordWrap/>
              <w:overflowPunct/>
              <w:topLinePunct w:val="0"/>
              <w:autoSpaceDE/>
              <w:autoSpaceDN/>
              <w:bidi w:val="0"/>
              <w:adjustRightInd/>
              <w:snapToGrid w:val="0"/>
              <w:spacing w:beforeAutospacing="0" w:afterAutospacing="0" w:line="360" w:lineRule="auto"/>
              <w:jc w:val="both"/>
              <w:textAlignment w:val="auto"/>
              <w:rPr>
                <w:rFonts w:hint="eastAsia"/>
                <w:vertAlign w:val="baseline"/>
                <w:lang w:val="en-US" w:eastAsia="zh-CN"/>
              </w:rPr>
            </w:pPr>
          </w:p>
        </w:tc>
        <w:tc>
          <w:tcPr>
            <w:tcW w:w="883" w:type="dxa"/>
            <w:tcBorders>
              <w:left w:val="nil"/>
              <w:bottom w:val="single" w:color="000000" w:sz="12" w:space="0"/>
              <w:right w:val="nil"/>
            </w:tcBorders>
            <w:vAlign w:val="top"/>
          </w:tcPr>
          <w:p w14:paraId="41CF0071">
            <w:pPr>
              <w:pageBreakBefore w:val="0"/>
              <w:kinsoku/>
              <w:wordWrap/>
              <w:overflowPunct/>
              <w:topLinePunct w:val="0"/>
              <w:autoSpaceDE/>
              <w:autoSpaceDN/>
              <w:bidi w:val="0"/>
              <w:adjustRightInd/>
              <w:snapToGrid w:val="0"/>
              <w:spacing w:beforeAutospacing="0" w:afterAutospacing="0" w:line="360" w:lineRule="auto"/>
              <w:jc w:val="both"/>
              <w:textAlignment w:val="auto"/>
              <w:rPr>
                <w:rFonts w:hint="eastAsia"/>
                <w:vertAlign w:val="baseline"/>
                <w:lang w:val="en-US" w:eastAsia="zh-CN"/>
              </w:rPr>
            </w:pPr>
          </w:p>
        </w:tc>
        <w:tc>
          <w:tcPr>
            <w:tcW w:w="1073" w:type="dxa"/>
            <w:tcBorders>
              <w:left w:val="nil"/>
              <w:bottom w:val="single" w:color="000000" w:sz="12" w:space="0"/>
              <w:right w:val="nil"/>
            </w:tcBorders>
            <w:vAlign w:val="top"/>
          </w:tcPr>
          <w:p w14:paraId="06511415">
            <w:pPr>
              <w:pageBreakBefore w:val="0"/>
              <w:kinsoku/>
              <w:wordWrap/>
              <w:overflowPunct/>
              <w:topLinePunct w:val="0"/>
              <w:autoSpaceDE/>
              <w:autoSpaceDN/>
              <w:bidi w:val="0"/>
              <w:adjustRightInd/>
              <w:snapToGrid w:val="0"/>
              <w:spacing w:beforeAutospacing="0" w:afterAutospacing="0" w:line="360" w:lineRule="auto"/>
              <w:jc w:val="both"/>
              <w:textAlignment w:val="auto"/>
              <w:rPr>
                <w:rFonts w:hint="eastAsia"/>
                <w:vertAlign w:val="baseline"/>
                <w:lang w:val="en-US" w:eastAsia="zh-CN"/>
              </w:rPr>
            </w:pPr>
          </w:p>
        </w:tc>
        <w:tc>
          <w:tcPr>
            <w:tcW w:w="969" w:type="dxa"/>
            <w:tcBorders>
              <w:left w:val="nil"/>
              <w:bottom w:val="single" w:color="000000" w:sz="12" w:space="0"/>
              <w:right w:val="nil"/>
            </w:tcBorders>
            <w:vAlign w:val="top"/>
          </w:tcPr>
          <w:p w14:paraId="51AE8268">
            <w:pPr>
              <w:pageBreakBefore w:val="0"/>
              <w:kinsoku/>
              <w:wordWrap/>
              <w:overflowPunct/>
              <w:topLinePunct w:val="0"/>
              <w:autoSpaceDE/>
              <w:autoSpaceDN/>
              <w:bidi w:val="0"/>
              <w:adjustRightInd/>
              <w:snapToGrid w:val="0"/>
              <w:spacing w:beforeAutospacing="0" w:afterAutospacing="0" w:line="360" w:lineRule="auto"/>
              <w:jc w:val="both"/>
              <w:textAlignment w:val="auto"/>
              <w:rPr>
                <w:rFonts w:hint="eastAsia"/>
                <w:vertAlign w:val="baseline"/>
                <w:lang w:val="en-US" w:eastAsia="zh-CN"/>
              </w:rPr>
            </w:pPr>
          </w:p>
        </w:tc>
      </w:tr>
    </w:tbl>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3187185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14E6509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top"/>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top"/>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right w:val="nil"/>
            </w:tcBorders>
            <w:vAlign w:val="top"/>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757C3EFE">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35C9A106">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478CBDE0">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5886C41B">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25D75DBA">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2AD3D3EE">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3BAF2F49">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66C42E6A">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67FD7ACC">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5A1527E8">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52616886">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1C5FD0FB">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58A03CBC">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503A21FF">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62A4AF45">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17C41AFF">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6B0F08B5">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48476076">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2C2EAE2C">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7334F077">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0EB28967">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49DA08BD">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017E1622">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16A322FD">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2F56875E">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7AB8AF8C">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1E90181B">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61096097">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0D2B4F91">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1F9EB2A4">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both"/>
              <w:textAlignment w:val="auto"/>
              <w:rPr>
                <w:rFonts w:hint="eastAsia"/>
                <w:vertAlign w:val="baseline"/>
                <w:lang w:val="en-US" w:eastAsia="zh-CN"/>
              </w:rPr>
            </w:pPr>
          </w:p>
        </w:tc>
        <w:tc>
          <w:tcPr>
            <w:tcW w:w="2130" w:type="dxa"/>
          </w:tcPr>
          <w:p w14:paraId="46CD9C84">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503E6695">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c>
          <w:tcPr>
            <w:tcW w:w="2131" w:type="dxa"/>
          </w:tcPr>
          <w:p w14:paraId="5BD630F5">
            <w:pPr>
              <w:pageBreakBefore w:val="0"/>
              <w:kinsoku/>
              <w:wordWrap/>
              <w:overflowPunct/>
              <w:topLinePunct w:val="0"/>
              <w:autoSpaceDE/>
              <w:autoSpaceDN/>
              <w:bidi w:val="0"/>
              <w:adjustRightInd/>
              <w:spacing w:beforeAutospacing="0" w:afterAutospacing="0" w:line="360" w:lineRule="auto"/>
              <w:textAlignment w:val="auto"/>
              <w:rPr>
                <w:rFonts w:hint="eastAsia"/>
                <w:vertAlign w:val="baseline"/>
                <w:lang w:val="en-US" w:eastAsia="zh-CN"/>
              </w:rPr>
            </w:pPr>
          </w:p>
        </w:tc>
      </w:tr>
    </w:tbl>
    <w:p w14:paraId="6C576F5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w:t>
      </w:r>
      <w:bookmarkStart w:id="0" w:name="_GoBack"/>
      <w:bookmarkEnd w:id="0"/>
      <w:r>
        <w:t>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cs="Times New Roman"/>
          <w:kern w:val="2"/>
          <w:sz w:val="21"/>
          <w:szCs w:val="24"/>
          <w:lang w:val="en-US" w:eastAsia="zh-CN" w:bidi="ar-SA"/>
        </w:rPr>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5230495" cy="210883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4147185" cy="1969135"/>
            <wp:effectExtent l="0" t="0" r="13335" b="12065"/>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9"/>
                    <a:stretch>
                      <a:fillRect/>
                    </a:stretch>
                  </pic:blipFill>
                  <pic:spPr>
                    <a:xfrm>
                      <a:off x="0" y="0"/>
                      <a:ext cx="4147185" cy="1969135"/>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502B5"/>
    <w:rsid w:val="06510766"/>
    <w:rsid w:val="071E0F8F"/>
    <w:rsid w:val="08155C5D"/>
    <w:rsid w:val="0BD64449"/>
    <w:rsid w:val="0C965756"/>
    <w:rsid w:val="0ED168E7"/>
    <w:rsid w:val="0F503503"/>
    <w:rsid w:val="0F7C2CF7"/>
    <w:rsid w:val="10D475A4"/>
    <w:rsid w:val="118A0FD0"/>
    <w:rsid w:val="120548F1"/>
    <w:rsid w:val="13741F37"/>
    <w:rsid w:val="13BE388E"/>
    <w:rsid w:val="14E37374"/>
    <w:rsid w:val="15CF1017"/>
    <w:rsid w:val="1666772B"/>
    <w:rsid w:val="16721235"/>
    <w:rsid w:val="16EE3830"/>
    <w:rsid w:val="1B593EEC"/>
    <w:rsid w:val="1C884062"/>
    <w:rsid w:val="1D37025D"/>
    <w:rsid w:val="1FCF02AE"/>
    <w:rsid w:val="20F01385"/>
    <w:rsid w:val="21423675"/>
    <w:rsid w:val="214E0CB3"/>
    <w:rsid w:val="220A5F40"/>
    <w:rsid w:val="222A07C5"/>
    <w:rsid w:val="22F9340A"/>
    <w:rsid w:val="23E876FD"/>
    <w:rsid w:val="25853B30"/>
    <w:rsid w:val="27866B9F"/>
    <w:rsid w:val="27E71EA9"/>
    <w:rsid w:val="29FA6504"/>
    <w:rsid w:val="2C536B29"/>
    <w:rsid w:val="2C5F332D"/>
    <w:rsid w:val="2C906D58"/>
    <w:rsid w:val="2CFE5A0D"/>
    <w:rsid w:val="2DF45CF7"/>
    <w:rsid w:val="2E0F77BA"/>
    <w:rsid w:val="2FBA3380"/>
    <w:rsid w:val="2FBC06DB"/>
    <w:rsid w:val="2FFE2E5D"/>
    <w:rsid w:val="32220E91"/>
    <w:rsid w:val="34B61F58"/>
    <w:rsid w:val="3575596F"/>
    <w:rsid w:val="36794FEB"/>
    <w:rsid w:val="36A75037"/>
    <w:rsid w:val="38F17A02"/>
    <w:rsid w:val="3963760F"/>
    <w:rsid w:val="39B30BBC"/>
    <w:rsid w:val="3BA7755B"/>
    <w:rsid w:val="3D2B25F8"/>
    <w:rsid w:val="3D6119C4"/>
    <w:rsid w:val="3E047E0A"/>
    <w:rsid w:val="3E4800C5"/>
    <w:rsid w:val="3F0F0BE2"/>
    <w:rsid w:val="40BB2DD0"/>
    <w:rsid w:val="42694565"/>
    <w:rsid w:val="431F0E8B"/>
    <w:rsid w:val="44444E8A"/>
    <w:rsid w:val="44E80FE1"/>
    <w:rsid w:val="45CB21F7"/>
    <w:rsid w:val="48A77906"/>
    <w:rsid w:val="49217DF9"/>
    <w:rsid w:val="494D47E1"/>
    <w:rsid w:val="4D8B14D9"/>
    <w:rsid w:val="4FA30A16"/>
    <w:rsid w:val="525C3CE7"/>
    <w:rsid w:val="528E3D51"/>
    <w:rsid w:val="55B44A7B"/>
    <w:rsid w:val="5B4F731A"/>
    <w:rsid w:val="5F573763"/>
    <w:rsid w:val="5FC01AAC"/>
    <w:rsid w:val="61D513C0"/>
    <w:rsid w:val="621C33F7"/>
    <w:rsid w:val="637C5F97"/>
    <w:rsid w:val="6A2373A8"/>
    <w:rsid w:val="6CCA3A1C"/>
    <w:rsid w:val="6E577D47"/>
    <w:rsid w:val="6F170AB2"/>
    <w:rsid w:val="6F9562E9"/>
    <w:rsid w:val="70756248"/>
    <w:rsid w:val="709B2013"/>
    <w:rsid w:val="70AF4C91"/>
    <w:rsid w:val="71267542"/>
    <w:rsid w:val="7248226E"/>
    <w:rsid w:val="72783DCD"/>
    <w:rsid w:val="75A803EA"/>
    <w:rsid w:val="771B020D"/>
    <w:rsid w:val="78407BB7"/>
    <w:rsid w:val="7A220727"/>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3902</Words>
  <Characters>4733</Characters>
  <Lines>0</Lines>
  <Paragraphs>0</Paragraphs>
  <TotalTime>24</TotalTime>
  <ScaleCrop>false</ScaleCrop>
  <LinksUpToDate>false</LinksUpToDate>
  <CharactersWithSpaces>4831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2026-02-01T15:52:46Z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