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XXX框架概述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ind w:left="210" w:leftChars="0" w:firstLineChars="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eastAsia"/>
          <w:lang w:val="en-US" w:eastAsia="zh-CN"/>
        </w:rPr>
        <w:t>，该向量在预训练阶段充当了其他模态对齐的“语义锚点”。</w:t>
      </w:r>
    </w:p>
    <w:p w14:paraId="3E4A7DE5">
      <w:pPr>
        <w:pStyle w:val="4"/>
        <w:bidi w:val="0"/>
        <w:ind w:left="210" w:leftChars="0" w:firstLineChars="0"/>
        <w:rPr>
          <w:rFonts w:hint="default"/>
          <w:lang w:val="en-US" w:eastAsia="zh-CN"/>
        </w:rPr>
      </w:pPr>
      <w:r>
        <w:rPr>
          <w:rFonts w:hint="eastAsia"/>
          <w:lang w:val="en-US" w:eastAsia="zh-CN"/>
        </w:rPr>
        <w:t>指纹编码器</w:t>
      </w:r>
    </w:p>
    <w:p w14:paraId="7522D1C5">
      <w:pPr>
        <w:rPr>
          <w:rFonts w:hint="eastAsia"/>
          <w:lang w:val="en-US" w:eastAsia="zh-CN"/>
        </w:rPr>
      </w:pPr>
      <w:r>
        <w:rPr>
          <w:rFonts w:ascii="宋体" w:hAnsi="宋体" w:eastAsia="宋体" w:cs="宋体"/>
          <w:sz w:val="24"/>
          <w:szCs w:val="24"/>
        </w:rP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ascii="宋体" w:hAnsi="宋体" w:eastAsia="宋体" w:cs="宋体"/>
          <w:sz w:val="24"/>
          <w:szCs w:val="24"/>
          <w:lang w:val="en-US" w:eastAsia="zh-CN"/>
        </w:rPr>
        <w:t>所</w:t>
      </w:r>
      <w:r>
        <w:rPr>
          <w:rFonts w:ascii="宋体" w:hAnsi="宋体" w:eastAsia="宋体" w:cs="宋体"/>
          <w:sz w:val="24"/>
          <w:szCs w:val="24"/>
        </w:rP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ind w:left="210" w:leftChars="0" w:firstLineChars="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Para>
        <m:oMath>
          <m:sSub>
            <m:sSubPr>
              <m:ctrlPr>
                <w:rPr>
                  <w:rFonts w:hint="default" w:ascii="Cambria Math"/>
                </w:rPr>
              </m:ctrlPr>
            </m:sSubPr>
            <m:e>
              <m:r>
                <m:rPr/>
                <w:rPr>
                  <w:rFonts w:hint="default" w:ascii="Cambria Math"/>
                </w:rPr>
                <m:t>F</m:t>
              </m:r>
            </m:e>
            <m:sub>
              <m:r>
                <m:rPr/>
                <w:rPr>
                  <w:rFonts w:hint="default" w:ascii="Cambria Math"/>
                </w:rPr>
                <m:t>s</m:t>
              </m:r>
            </m:sub>
          </m:sSub>
        </m:oMath>
      </m:oMathPara>
      <w:r>
        <w:rPr>
          <w:rFonts w:hint="default"/>
          <w:lang w:val="en-US" w:eastAsia="zh-CN"/>
        </w:rPr>
        <w:t xml:space="preserve">，随后经由全连接层映射至与图特征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default"/>
          <w:lang w:val="en-US" w:eastAsia="zh-CN"/>
        </w:rPr>
        <w:t>等维的语义空间，为后续的跨模态对齐奠定维度基础。</w:t>
      </w:r>
    </w:p>
    <w:p w14:paraId="5B6CBE39">
      <w:pPr>
        <w:pStyle w:val="4"/>
        <w:bidi w:val="0"/>
        <w:ind w:left="210" w:leftChars="0" w:firstLineChars="0"/>
        <w:rPr>
          <w:rFonts w:hint="default"/>
          <w:lang w:val="en-US" w:eastAsia="zh-CN"/>
        </w:rPr>
      </w:pPr>
      <w:r>
        <w:rPr>
          <w:rFonts w:hint="eastAsia"/>
          <w:lang w:val="en-US" w:eastAsia="zh-CN"/>
        </w:rPr>
        <w:t>文本编码器模块</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 12 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Para>
        <m:oMath>
          <m:sSub>
            <m:sSubPr>
              <m:ctrlPr>
                <w:rPr>
                  <w:rFonts w:hint="default" w:ascii="Cambria Math"/>
                </w:rPr>
              </m:ctrlPr>
            </m:sSubPr>
            <m:e>
              <m:r>
                <m:rPr/>
                <w:rPr>
                  <w:rFonts w:hint="default" w:ascii="Cambria Math"/>
                </w:rPr>
                <m:t>F</m:t>
              </m:r>
            </m:e>
            <m:sub>
              <m:r>
                <m:rPr/>
                <w:rPr>
                  <w:rFonts w:hint="default" w:ascii="Cambria Math"/>
                </w:rPr>
                <m:t>t</m:t>
              </m:r>
            </m:sub>
          </m:sSub>
        </m:oMath>
      </m:oMathPara>
      <w:r>
        <w:rPr>
          <w:rFonts w:hint="eastAsia"/>
          <w:lang w:val="en-US" w:eastAsia="zh-CN"/>
        </w:rPr>
        <w:t>。</w:t>
      </w:r>
    </w:p>
    <w:p w14:paraId="063DB7DA">
      <w:pPr>
        <w:numPr>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Para>
        <m:oMath>
          <m:r>
            <m:rPr>
              <m:sty m:val="p"/>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g</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s</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f</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t</m:t>
              </m:r>
            </m:sub>
          </m:sSub>
          <m:r>
            <m:rPr>
              <m:sty m:val="p"/>
            </m:rPr>
            <w:rPr>
              <w:rFonts w:hint="default" w:ascii="Cambria Math"/>
            </w:rPr>
            <m:t>）</m:t>
          </m:r>
        </m:oMath>
      </m:oMathPara>
      <w:r>
        <w:rPr>
          <w:rFonts w:hint="default"/>
          <w:lang w:val="en-US" w:eastAsia="zh-CN"/>
        </w:rPr>
        <w:t>的重要性权重</w:t>
      </w:r>
      <m:oMathPara>
        <m:oMath>
          <m:sSub>
            <m:sSubPr>
              <m:ctrlPr>
                <w:rPr>
                  <w:rFonts w:hint="default" w:ascii="Cambria Math"/>
                </w:rPr>
              </m:ctrlPr>
            </m:sSubPr>
            <m:e>
              <m:r>
                <m:rPr/>
                <w:rPr>
                  <w:rFonts w:hint="default" w:ascii="Cambria Math"/>
                </w:rPr>
                <m:t>W</m:t>
              </m:r>
            </m:e>
            <m:sub>
              <m:r>
                <m:rPr/>
                <w:rPr>
                  <w:rFonts w:hint="default" w:ascii="Cambria Math"/>
                </w:rPr>
                <m:t>m</m:t>
              </m:r>
            </m:sub>
          </m:sSub>
        </m:oMath>
      </m:oMathPara>
      <w:r>
        <w:rPr>
          <w:rFonts w:hint="default"/>
          <w:lang w:val="en-US" w:eastAsia="zh-CN"/>
        </w:rPr>
        <w:t>。性质预测：融合后的全景分子表征被输入至由多层全连接网络构成的预测头（MLP Head），最终输出分子的理化性质或生物活性预测值</w:t>
      </w:r>
      <m:oMathPara>
        <m:oMath>
          <m:sSub>
            <m:sSubPr>
              <m:ctrlPr>
                <w:rPr>
                  <w:rFonts w:hint="default" w:ascii="Cambria Math"/>
                </w:rPr>
              </m:ctrlPr>
            </m:sSubPr>
            <m:e>
              <m:r>
                <m:rPr/>
                <w:rPr>
                  <w:rFonts w:hint="default" w:ascii="Cambria Math"/>
                </w:rPr>
                <m:t>Y</m:t>
              </m:r>
            </m:e>
            <m:sub>
              <m:r>
                <m:rPr/>
                <w:rPr>
                  <w:rFonts w:hint="default" w:ascii="Cambria Math"/>
                </w:rPr>
                <m:t>pred</m:t>
              </m:r>
            </m:sub>
          </m:sSub>
        </m:oMath>
      </m:oMathPara>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Para>
        <m:oMath>
          <m:r>
            <m:rPr/>
            <w:rPr>
              <w:rFonts w:hint="default" w:ascii="Cambria Math"/>
            </w:rPr>
            <m:t>m</m:t>
          </m:r>
        </m:oMath>
      </m:oMathPara>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889"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18"/>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18"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18"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18"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18"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r>
              <w:rPr>
                <w:rFonts w:hint="eastAsia"/>
                <w:vertAlign w:val="subscript"/>
                <w:lang w:val="en-US" w:eastAsia="zh-CN"/>
              </w:rPr>
              <w:t>(0.12)</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r>
              <w:rPr>
                <w:rFonts w:hint="eastAsia"/>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r>
              <w:rPr>
                <w:rFonts w:hint="eastAsia"/>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r>
              <w:rPr>
                <w:rFonts w:hint="eastAsia"/>
                <w:vertAlign w:val="subscript"/>
                <w:lang w:val="en-US" w:eastAsia="zh-CN"/>
              </w:rPr>
              <w:t>(0.020)</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r>
              <w:rPr>
                <w:rFonts w:hint="eastAsia"/>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r>
              <w:rPr>
                <w:rFonts w:hint="eastAsia"/>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18"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r>
              <w:rPr>
                <w:rFonts w:hint="eastAsia"/>
                <w:vertAlign w:val="subscript"/>
                <w:lang w:val="en-US" w:eastAsia="zh-CN"/>
              </w:rPr>
              <w:t>(0.12)</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r>
              <w:rPr>
                <w:rFonts w:hint="eastAsia"/>
                <w:vertAlign w:val="subscript"/>
                <w:lang w:val="en-US" w:eastAsia="zh-CN"/>
              </w:rPr>
              <w:t>(0.12)</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r>
              <w:rPr>
                <w:rFonts w:hint="eastAsia"/>
                <w:vertAlign w:val="subscript"/>
                <w:lang w:val="en-US" w:eastAsia="zh-CN"/>
              </w:rPr>
              <w:t>(0.12)</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r>
              <w:rPr>
                <w:rFonts w:hint="eastAsia"/>
                <w:vertAlign w:val="subscript"/>
                <w:lang w:val="en-US" w:eastAsia="zh-CN"/>
              </w:rPr>
              <w:t>(0.12)</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r>
              <w:rPr>
                <w:rFonts w:hint="eastAsia"/>
                <w:vertAlign w:val="subscript"/>
                <w:lang w:val="en-US" w:eastAsia="zh-CN"/>
              </w:rPr>
              <w:t>(0.12)</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r>
              <w:rPr>
                <w:rFonts w:hint="eastAsia"/>
                <w:vertAlign w:val="subscript"/>
                <w:lang w:val="en-US" w:eastAsia="zh-CN"/>
              </w:rPr>
              <w:t>(0.12)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18"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r>
              <w:rPr>
                <w:rFonts w:hint="eastAsia"/>
                <w:vertAlign w:val="subscript"/>
                <w:lang w:val="en-US" w:eastAsia="zh-CN"/>
              </w:rPr>
              <w:t>(0.12)</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r>
              <w:rPr>
                <w:rFonts w:hint="eastAsia"/>
                <w:vertAlign w:val="subscript"/>
                <w:lang w:val="en-US" w:eastAsia="zh-CN"/>
              </w:rPr>
              <w:t>(0.12)</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r>
              <w:rPr>
                <w:rFonts w:hint="eastAsia"/>
                <w:vertAlign w:val="subscript"/>
                <w:lang w:val="en-US" w:eastAsia="zh-CN"/>
              </w:rPr>
              <w:t>(0.12)</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r>
              <w:rPr>
                <w:rFonts w:hint="eastAsia"/>
                <w:vertAlign w:val="subscript"/>
                <w:lang w:val="en-US" w:eastAsia="zh-CN"/>
              </w:rPr>
              <w:t>(0.12)</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r>
              <w:rPr>
                <w:rFonts w:hint="eastAsia"/>
                <w:vertAlign w:val="subscript"/>
                <w:lang w:val="en-US" w:eastAsia="zh-CN"/>
              </w:rPr>
              <w:t>(0.12)</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r>
              <w:rPr>
                <w:rFonts w:hint="eastAsia"/>
                <w:vertAlign w:val="subscript"/>
                <w:lang w:val="en-US" w:eastAsia="zh-CN"/>
              </w:rPr>
              <w:t>(0.12)</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18"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r>
              <w:rPr>
                <w:rFonts w:hint="eastAsia"/>
                <w:vertAlign w:val="subscript"/>
                <w:lang w:val="en-US" w:eastAsia="zh-CN"/>
              </w:rPr>
              <w:t>(0.12)</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r>
              <w:rPr>
                <w:rFonts w:hint="eastAsia"/>
                <w:vertAlign w:val="subscript"/>
                <w:lang w:val="en-US" w:eastAsia="zh-CN"/>
              </w:rPr>
              <w:t>(0.12)</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r>
              <w:rPr>
                <w:rFonts w:hint="eastAsia"/>
                <w:vertAlign w:val="subscript"/>
                <w:lang w:val="en-US" w:eastAsia="zh-CN"/>
              </w:rPr>
              <w:t>(0.12)</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r>
              <w:rPr>
                <w:rFonts w:hint="eastAsia"/>
                <w:vertAlign w:val="subscript"/>
                <w:lang w:val="en-US" w:eastAsia="zh-CN"/>
              </w:rPr>
              <w:t>(0.12)</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r>
              <w:rPr>
                <w:rFonts w:hint="eastAsia"/>
                <w:vertAlign w:val="subscript"/>
                <w:lang w:val="en-US" w:eastAsia="zh-CN"/>
              </w:rPr>
              <w:t>(0.12)</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r>
              <w:rPr>
                <w:rFonts w:hint="eastAsia"/>
                <w:vertAlign w:val="subscript"/>
                <w:lang w:val="en-US" w:eastAsia="zh-CN"/>
              </w:rPr>
              <w:t>(0.12)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18"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r>
              <w:rPr>
                <w:rFonts w:hint="eastAsia"/>
                <w:vertAlign w:val="subscript"/>
                <w:lang w:val="en-US" w:eastAsia="zh-CN"/>
              </w:rPr>
              <w:t>(0.12)</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r>
              <w:rPr>
                <w:rFonts w:hint="eastAsia"/>
                <w:vertAlign w:val="subscript"/>
                <w:lang w:val="en-US" w:eastAsia="zh-CN"/>
              </w:rPr>
              <w:t>(0.12)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r>
              <w:rPr>
                <w:rFonts w:hint="eastAsia"/>
                <w:vertAlign w:val="subscript"/>
                <w:lang w:val="en-US" w:eastAsia="zh-CN"/>
              </w:rPr>
              <w:t>(0.12)</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r>
              <w:rPr>
                <w:rFonts w:hint="eastAsia"/>
                <w:vertAlign w:val="subscript"/>
                <w:lang w:val="en-US" w:eastAsia="zh-CN"/>
              </w:rPr>
              <w:t>(0.12)</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r>
              <w:rPr>
                <w:rFonts w:hint="eastAsia"/>
                <w:vertAlign w:val="subscript"/>
                <w:lang w:val="en-US" w:eastAsia="zh-CN"/>
              </w:rPr>
              <w:t>(0.12)</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r>
              <w:rPr>
                <w:rFonts w:hint="eastAsia"/>
                <w:vertAlign w:val="subscript"/>
                <w:lang w:val="en-US" w:eastAsia="zh-CN"/>
              </w:rPr>
              <w:t>(0.12)</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18"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r>
              <w:rPr>
                <w:rFonts w:hint="eastAsia"/>
                <w:vertAlign w:val="subscript"/>
                <w:lang w:val="en-US" w:eastAsia="zh-CN"/>
              </w:rPr>
              <w:t>(0.12)</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r>
              <w:rPr>
                <w:rFonts w:hint="eastAsia"/>
                <w:vertAlign w:val="subscript"/>
                <w:lang w:val="en-US" w:eastAsia="zh-CN"/>
              </w:rPr>
              <w:t>(0.12)</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r>
              <w:rPr>
                <w:rFonts w:hint="eastAsia"/>
                <w:vertAlign w:val="subscript"/>
                <w:lang w:val="en-US" w:eastAsia="zh-CN"/>
              </w:rPr>
              <w:t>(0.12)</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r>
              <w:rPr>
                <w:rFonts w:hint="eastAsia"/>
                <w:vertAlign w:val="subscript"/>
                <w:lang w:val="en-US" w:eastAsia="zh-CN"/>
              </w:rPr>
              <w:t>(0.12)</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r>
              <w:rPr>
                <w:rFonts w:hint="eastAsia"/>
                <w:vertAlign w:val="subscript"/>
                <w:lang w:val="en-US" w:eastAsia="zh-CN"/>
              </w:rPr>
              <w:t>(0.12)</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18"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vertAlign w:val="subscript"/>
                <w:lang w:val="en-US" w:eastAsia="zh-CN"/>
              </w:rPr>
              <w:t>(0.12)</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vertAlign w:val="subscript"/>
                <w:lang w:val="en-US" w:eastAsia="zh-CN"/>
              </w:rPr>
              <w:t>(0.12)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vertAlign w:val="subscript"/>
                <w:lang w:val="en-US" w:eastAsia="zh-CN"/>
              </w:rPr>
              <w:t>(0.12)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vertAlign w:val="subscript"/>
                <w:lang w:val="en-US" w:eastAsia="zh-CN"/>
              </w:rPr>
              <w:t>(0.12)</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vertAlign w:val="subscript"/>
                <w:lang w:val="en-US" w:eastAsia="zh-CN"/>
              </w:rPr>
              <w:t>(0.12)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vertAlign w:val="subscript"/>
                <w:lang w:val="en-US" w:eastAsia="zh-CN"/>
              </w:rPr>
              <w:t>(0.12)</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18"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vertAlign w:val="subscript"/>
                <w:lang w:val="en-US" w:eastAsia="zh-CN"/>
              </w:rPr>
              <w:t>(0.12)</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vertAlign w:val="subscript"/>
                <w:lang w:val="en-US" w:eastAsia="zh-CN"/>
              </w:rPr>
              <w:t>(0.12)</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vertAlign w:val="subscript"/>
                <w:lang w:val="en-US" w:eastAsia="zh-CN"/>
              </w:rPr>
              <w:t>(0.12)</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vertAlign w:val="subscript"/>
                <w:lang w:val="en-US" w:eastAsia="zh-CN"/>
              </w:rPr>
              <w:t>(0.12)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vertAlign w:val="subscript"/>
                <w:lang w:val="en-US" w:eastAsia="zh-CN"/>
              </w:rPr>
              <w:t>(0.12)</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vertAlign w:val="subscript"/>
                <w:lang w:val="en-US" w:eastAsia="zh-CN"/>
              </w:rPr>
              <w:t>(0.12)</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18"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r>
              <w:rPr>
                <w:rFonts w:hint="eastAsia"/>
                <w:vertAlign w:val="subscript"/>
                <w:lang w:val="en-US" w:eastAsia="zh-CN"/>
              </w:rPr>
              <w:t>(0.12)</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r>
              <w:rPr>
                <w:rFonts w:hint="eastAsia"/>
                <w:vertAlign w:val="subscript"/>
                <w:lang w:val="en-US" w:eastAsia="zh-CN"/>
              </w:rPr>
              <w:t>(0.12)</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r>
              <w:rPr>
                <w:rFonts w:hint="eastAsia"/>
                <w:vertAlign w:val="subscript"/>
                <w:lang w:val="en-US" w:eastAsia="zh-CN"/>
              </w:rPr>
              <w:t>(0.12)</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r>
              <w:rPr>
                <w:rFonts w:hint="eastAsia"/>
                <w:vertAlign w:val="subscript"/>
                <w:lang w:val="en-US" w:eastAsia="zh-CN"/>
              </w:rPr>
              <w:t>(0.12)</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r>
              <w:rPr>
                <w:rFonts w:hint="eastAsia"/>
                <w:vertAlign w:val="subscript"/>
                <w:lang w:val="en-US" w:eastAsia="zh-CN"/>
              </w:rPr>
              <w:t>(0.12)</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r>
              <w:rPr>
                <w:rFonts w:hint="eastAsia"/>
                <w:vertAlign w:val="subscript"/>
                <w:lang w:val="en-US" w:eastAsia="zh-CN"/>
              </w:rPr>
              <w:t>(0.12)</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18"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r>
              <w:rPr>
                <w:rFonts w:hint="eastAsia"/>
                <w:vertAlign w:val="subscript"/>
                <w:lang w:val="en-US" w:eastAsia="zh-CN"/>
              </w:rPr>
              <w:t>(0.12)</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r>
              <w:rPr>
                <w:rFonts w:hint="eastAsia"/>
                <w:vertAlign w:val="subscript"/>
                <w:lang w:val="en-US" w:eastAsia="zh-CN"/>
              </w:rPr>
              <w:t>(0.12)</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r>
              <w:rPr>
                <w:rFonts w:hint="eastAsia"/>
                <w:vertAlign w:val="subscript"/>
                <w:lang w:val="en-US" w:eastAsia="zh-CN"/>
              </w:rPr>
              <w:t>(0.12)</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r>
              <w:rPr>
                <w:rFonts w:hint="eastAsia"/>
                <w:vertAlign w:val="subscript"/>
                <w:lang w:val="en-US" w:eastAsia="zh-CN"/>
              </w:rPr>
              <w:t>(0.12)</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0.659</w:t>
            </w:r>
            <w:r>
              <w:rPr>
                <w:rFonts w:hint="eastAsia"/>
                <w:vertAlign w:val="subscript"/>
                <w:lang w:val="en-US" w:eastAsia="zh-CN"/>
              </w:rPr>
              <w:t>(0.12)</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r>
              <w:rPr>
                <w:rFonts w:hint="eastAsia"/>
                <w:vertAlign w:val="subscript"/>
                <w:lang w:val="en-US" w:eastAsia="zh-CN"/>
              </w:rPr>
              <w:t>(0.12)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18"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r>
              <w:rPr>
                <w:rFonts w:hint="eastAsia"/>
                <w:vertAlign w:val="subscript"/>
                <w:lang w:val="en-US" w:eastAsia="zh-CN"/>
              </w:rPr>
              <w:t>(0.12)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r>
              <w:rPr>
                <w:rFonts w:hint="eastAsia"/>
                <w:vertAlign w:val="subscript"/>
                <w:lang w:val="en-US" w:eastAsia="zh-CN"/>
              </w:rPr>
              <w:t>(0.12)</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r>
              <w:rPr>
                <w:rFonts w:hint="eastAsia"/>
                <w:vertAlign w:val="subscript"/>
                <w:lang w:val="en-US" w:eastAsia="zh-CN"/>
              </w:rPr>
              <w:t>(0.12)</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r>
              <w:rPr>
                <w:rFonts w:hint="eastAsia"/>
                <w:vertAlign w:val="subscript"/>
                <w:lang w:val="en-US" w:eastAsia="zh-CN"/>
              </w:rPr>
              <w:t>(0.12)</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r>
              <w:rPr>
                <w:rFonts w:hint="eastAsia"/>
                <w:vertAlign w:val="subscript"/>
                <w:lang w:val="en-US" w:eastAsia="zh-CN"/>
              </w:rPr>
              <w:t>(0.12)</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18"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r>
              <w:rPr>
                <w:rFonts w:hint="eastAsia"/>
                <w:vertAlign w:val="subscript"/>
                <w:lang w:val="en-US" w:eastAsia="zh-CN"/>
              </w:rPr>
              <w:t>(0.12)</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r>
              <w:rPr>
                <w:rFonts w:hint="eastAsia"/>
                <w:vertAlign w:val="subscript"/>
                <w:lang w:val="en-US" w:eastAsia="zh-CN"/>
              </w:rPr>
              <w:t>(0.12)</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r>
              <w:rPr>
                <w:rFonts w:hint="eastAsia"/>
                <w:vertAlign w:val="subscript"/>
                <w:lang w:val="en-US" w:eastAsia="zh-CN"/>
              </w:rPr>
              <w:t>(0.12)</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r>
              <w:rPr>
                <w:rFonts w:hint="eastAsia"/>
                <w:vertAlign w:val="subscript"/>
                <w:lang w:val="en-US" w:eastAsia="zh-CN"/>
              </w:rPr>
              <w:t>(0.12)</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r>
              <w:rPr>
                <w:rFonts w:hint="eastAsia"/>
                <w:vertAlign w:val="subscript"/>
                <w:lang w:val="en-US" w:eastAsia="zh-CN"/>
              </w:rPr>
              <w:t>(0.12)</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r>
              <w:rPr>
                <w:rFonts w:hint="eastAsia"/>
                <w:vertAlign w:val="subscript"/>
                <w:lang w:val="en-US" w:eastAsia="zh-CN"/>
              </w:rPr>
              <w:t>(0.12)</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18"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r>
              <w:rPr>
                <w:rFonts w:hint="eastAsia"/>
                <w:vertAlign w:val="subscript"/>
                <w:lang w:val="en-US" w:eastAsia="zh-CN"/>
              </w:rPr>
              <w:t>(0.12)</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r>
              <w:rPr>
                <w:rFonts w:hint="eastAsia"/>
                <w:vertAlign w:val="subscript"/>
                <w:lang w:val="en-US" w:eastAsia="zh-CN"/>
              </w:rPr>
              <w:t>(0.12)</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r>
              <w:rPr>
                <w:rFonts w:hint="eastAsia"/>
                <w:vertAlign w:val="subscript"/>
                <w:lang w:val="en-US" w:eastAsia="zh-CN"/>
              </w:rPr>
              <w:t>(0.12)</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r>
              <w:rPr>
                <w:rFonts w:hint="eastAsia"/>
                <w:vertAlign w:val="subscript"/>
                <w:lang w:val="en-US" w:eastAsia="zh-CN"/>
              </w:rPr>
              <w:t>(0.12)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r>
              <w:rPr>
                <w:rFonts w:hint="eastAsia"/>
                <w:vertAlign w:val="subscript"/>
                <w:lang w:val="en-US" w:eastAsia="zh-CN"/>
              </w:rPr>
              <w:t>(0.12)</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r>
              <w:rPr>
                <w:rFonts w:hint="eastAsia"/>
                <w:vertAlign w:val="subscript"/>
                <w:lang w:val="en-US" w:eastAsia="zh-CN"/>
              </w:rPr>
              <w:t>(0.12)</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18"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(0.12)</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(0.12)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(0.12)</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(0.12)</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(0.12)</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r>
              <w:rPr>
                <w:rFonts w:hint="eastAsia"/>
                <w:vertAlign w:val="subscript"/>
                <w:lang w:val="en-US" w:eastAsia="zh-CN"/>
              </w:rPr>
              <w:t>(0.12)</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r>
              <w:rPr>
                <w:rFonts w:hint="eastAsia"/>
                <w:vertAlign w:val="subscript"/>
                <w:lang w:val="en-US" w:eastAsia="zh-CN"/>
              </w:rPr>
              <w:t>(0.12)</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r>
              <w:rPr>
                <w:rFonts w:hint="eastAsia"/>
                <w:vertAlign w:val="subscript"/>
                <w:lang w:val="en-US" w:eastAsia="zh-CN"/>
              </w:rPr>
              <w:t>(0.12)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w:t>
            </w:r>
            <w:r>
              <w:rPr>
                <w:rFonts w:hint="eastAsia" w:cs="Times New Roman"/>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w:t>
            </w:r>
            <w:r>
              <w:rPr>
                <w:rFonts w:hint="eastAsia" w:cs="Times New Roman"/>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w:t>
            </w:r>
            <w:r>
              <w:rPr>
                <w:rFonts w:hint="eastAsia" w:cs="Times New Roman"/>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w:t>
            </w:r>
            <w:r>
              <w:rPr>
                <w:rFonts w:hint="eastAsia" w:cs="Times New Roman"/>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w:t>
            </w:r>
            <w:r>
              <w:rPr>
                <w:rFonts w:hint="eastAsia" w:cs="Times New Roman"/>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w:t>
            </w:r>
            <w:r>
              <w:rPr>
                <w:rFonts w:hint="eastAsia" w:cs="Times New Roman"/>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r>
              <w:rPr>
                <w:rFonts w:hint="eastAsia"/>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w:t>
            </w:r>
            <w:r>
              <w:rPr>
                <w:rFonts w:hint="eastAsia" w:cs="Times New Roman"/>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w:t>
            </w:r>
            <w:r>
              <w:rPr>
                <w:rFonts w:hint="eastAsia" w:cs="Times New Roman"/>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r>
              <w:rPr>
                <w:rFonts w:hint="eastAsia"/>
                <w:vertAlign w:val="subscript"/>
                <w:lang w:val="en-US" w:eastAsia="zh-CN"/>
              </w:rPr>
              <w:t>(0.12)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r>
              <w:rPr>
                <w:rFonts w:hint="eastAsia"/>
                <w:vertAlign w:val="subscript"/>
                <w:lang w:val="en-US" w:eastAsia="zh-CN"/>
              </w:rPr>
              <w:t>(0.12)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ind w:left="210" w:leftChars="0" w:firstLineChars="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w:t>
      </w:r>
      <w:r>
        <w:t>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F_GFS</w:t>
      </w:r>
      <w:r>
        <w:t>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047240" cy="1638300"/>
            <wp:effectExtent l="0" t="0" r="10160" b="762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047240" cy="1638300"/>
                    </a:xfrm>
                    <a:prstGeom prst="rect">
                      <a:avLst/>
                    </a:prstGeom>
                  </pic:spPr>
                </pic:pic>
              </a:graphicData>
            </a:graphic>
          </wp:inline>
        </w:drawing>
      </w:r>
      <w:bookmarkStart w:id="0" w:name="_GoBack"/>
      <w:bookmarkEnd w:id="0"/>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为了验证模型在不同超参数设置下的鲁棒性，并探究核心超参数对对比学习性能的影响规律，本节选取了对比损失函数中的温度系数 $\tau$ (Temperature Coefficient) 进行敏感性实验。实验在 ClinTox 和 BBBP 两个代表性数据集上进行，其他训练参数保持不变。1. 温度系数 $\tau$ 的影响分析温度系数 $\tau$ 在 NT-Xent 损失函数中起着调节负样本梯度的关键作用。图 3-X 展示了模型性能随 $\tau$ 值（取值范围 $\{0.05, 0.1, 0.2, 0.5, 1.0\}$）的变化曲线。从图中可以观察到明显的“倒 U 型”趋势，具体分析如下：过小的 $\tau$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$\tau$ (0.5 - 1.0)：随着温度系数增大，分布趋于平滑，模型对不同负样本的区分能力减弱。当 $\tau=1.0$ 时，模型实际上是在同等程度地惩罚所有非匹配样本，失去了挖掘难样本的能力，导致特征空间的判别性降低，性能随之衰减。最优区间 (0.1 - 0.2)：实验结果表明，当 $\tau$ 设定在 0.1 至 0.2 之间时，模型取得了最佳的预测性能。在此区间内，模型在挖掘难样本与保持训练稳定性之间达到了平衡，能够学习到既具有区分度又具备泛化能力的分子表征。因此，本研究在所有后续实验中均将 $\tau$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基于思维链的药物分子毒性预测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91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3AE3AF3"/>
    <w:rsid w:val="0433224A"/>
    <w:rsid w:val="05A849B2"/>
    <w:rsid w:val="064F49ED"/>
    <w:rsid w:val="06510766"/>
    <w:rsid w:val="06B62CBE"/>
    <w:rsid w:val="06E11AE9"/>
    <w:rsid w:val="071E0F8F"/>
    <w:rsid w:val="07754928"/>
    <w:rsid w:val="08155C5D"/>
    <w:rsid w:val="08805332"/>
    <w:rsid w:val="08CE2541"/>
    <w:rsid w:val="0A0B19C3"/>
    <w:rsid w:val="0B04049C"/>
    <w:rsid w:val="0B6B22C9"/>
    <w:rsid w:val="0BD64449"/>
    <w:rsid w:val="0BFF569C"/>
    <w:rsid w:val="0C965756"/>
    <w:rsid w:val="0CDC2ACA"/>
    <w:rsid w:val="0D9773A6"/>
    <w:rsid w:val="0ED168E7"/>
    <w:rsid w:val="0F503503"/>
    <w:rsid w:val="0F7C2CF7"/>
    <w:rsid w:val="10D475A4"/>
    <w:rsid w:val="118A0FD0"/>
    <w:rsid w:val="11CC3396"/>
    <w:rsid w:val="120548F1"/>
    <w:rsid w:val="1212349F"/>
    <w:rsid w:val="13741F37"/>
    <w:rsid w:val="13BE388E"/>
    <w:rsid w:val="144B713C"/>
    <w:rsid w:val="14667AD2"/>
    <w:rsid w:val="14681A9C"/>
    <w:rsid w:val="146944C2"/>
    <w:rsid w:val="14E37374"/>
    <w:rsid w:val="15CF1017"/>
    <w:rsid w:val="1666772B"/>
    <w:rsid w:val="16721235"/>
    <w:rsid w:val="16EE3830"/>
    <w:rsid w:val="17887D5F"/>
    <w:rsid w:val="1B593EEC"/>
    <w:rsid w:val="1BCA6B98"/>
    <w:rsid w:val="1BDB2F6A"/>
    <w:rsid w:val="1C884062"/>
    <w:rsid w:val="1D37025D"/>
    <w:rsid w:val="1D8B05A9"/>
    <w:rsid w:val="1F3F2EA1"/>
    <w:rsid w:val="1F5E18DF"/>
    <w:rsid w:val="1F7F074A"/>
    <w:rsid w:val="1FCF02AE"/>
    <w:rsid w:val="1FE673DA"/>
    <w:rsid w:val="20DB53A4"/>
    <w:rsid w:val="20F01385"/>
    <w:rsid w:val="21423675"/>
    <w:rsid w:val="214E0CB3"/>
    <w:rsid w:val="220A5F40"/>
    <w:rsid w:val="222A07C5"/>
    <w:rsid w:val="22F9340A"/>
    <w:rsid w:val="23E876FD"/>
    <w:rsid w:val="257A162F"/>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577A9F"/>
    <w:rsid w:val="2D984BB1"/>
    <w:rsid w:val="2DF45CF7"/>
    <w:rsid w:val="2E0F77BA"/>
    <w:rsid w:val="2F917CA1"/>
    <w:rsid w:val="2FBA3380"/>
    <w:rsid w:val="2FBC06DB"/>
    <w:rsid w:val="2FD656B4"/>
    <w:rsid w:val="2FFE2E5D"/>
    <w:rsid w:val="30586A11"/>
    <w:rsid w:val="32220E91"/>
    <w:rsid w:val="333077D1"/>
    <w:rsid w:val="34B61F58"/>
    <w:rsid w:val="34CE2DFE"/>
    <w:rsid w:val="34DF14AF"/>
    <w:rsid w:val="3575596F"/>
    <w:rsid w:val="35EA1EB9"/>
    <w:rsid w:val="361433DA"/>
    <w:rsid w:val="36794FEB"/>
    <w:rsid w:val="36A75037"/>
    <w:rsid w:val="37841E99"/>
    <w:rsid w:val="381F1BC2"/>
    <w:rsid w:val="38F17A02"/>
    <w:rsid w:val="39025256"/>
    <w:rsid w:val="39551D3F"/>
    <w:rsid w:val="3963760F"/>
    <w:rsid w:val="39B30BBC"/>
    <w:rsid w:val="39FE4A9D"/>
    <w:rsid w:val="3B7566C9"/>
    <w:rsid w:val="3BA7755B"/>
    <w:rsid w:val="3BDD426E"/>
    <w:rsid w:val="3D143CBF"/>
    <w:rsid w:val="3D2B25F8"/>
    <w:rsid w:val="3D6119C4"/>
    <w:rsid w:val="3DA94408"/>
    <w:rsid w:val="3E047E0A"/>
    <w:rsid w:val="3E4800C5"/>
    <w:rsid w:val="3F0F0BE2"/>
    <w:rsid w:val="3F12422F"/>
    <w:rsid w:val="3F32042D"/>
    <w:rsid w:val="3FC65745"/>
    <w:rsid w:val="40BB2DD0"/>
    <w:rsid w:val="40E90FBF"/>
    <w:rsid w:val="41F12821"/>
    <w:rsid w:val="42694565"/>
    <w:rsid w:val="427B20EB"/>
    <w:rsid w:val="431F0E8B"/>
    <w:rsid w:val="436D237B"/>
    <w:rsid w:val="44044A8E"/>
    <w:rsid w:val="440C3157"/>
    <w:rsid w:val="44444E8A"/>
    <w:rsid w:val="44E80FE1"/>
    <w:rsid w:val="455A06DD"/>
    <w:rsid w:val="45837C34"/>
    <w:rsid w:val="45B352DC"/>
    <w:rsid w:val="45CB21F7"/>
    <w:rsid w:val="45CF4C28"/>
    <w:rsid w:val="482F17FF"/>
    <w:rsid w:val="48A77906"/>
    <w:rsid w:val="490E6F34"/>
    <w:rsid w:val="49217DF9"/>
    <w:rsid w:val="4941408E"/>
    <w:rsid w:val="494D47E1"/>
    <w:rsid w:val="4AB34B18"/>
    <w:rsid w:val="4B8204BE"/>
    <w:rsid w:val="4C4507B6"/>
    <w:rsid w:val="4D551EB6"/>
    <w:rsid w:val="4D8B14D9"/>
    <w:rsid w:val="4DB33B09"/>
    <w:rsid w:val="4EBB21ED"/>
    <w:rsid w:val="4F1813ED"/>
    <w:rsid w:val="4FA30A16"/>
    <w:rsid w:val="525C3CE7"/>
    <w:rsid w:val="528E3D51"/>
    <w:rsid w:val="53D55AFF"/>
    <w:rsid w:val="546B0211"/>
    <w:rsid w:val="55B44A7B"/>
    <w:rsid w:val="560E70A6"/>
    <w:rsid w:val="572D5C52"/>
    <w:rsid w:val="583B7EFB"/>
    <w:rsid w:val="58B061F7"/>
    <w:rsid w:val="58C16652"/>
    <w:rsid w:val="59576FB6"/>
    <w:rsid w:val="5B305D11"/>
    <w:rsid w:val="5B4F0B23"/>
    <w:rsid w:val="5B4F731A"/>
    <w:rsid w:val="5B993B5A"/>
    <w:rsid w:val="5BF907F8"/>
    <w:rsid w:val="5C983B6D"/>
    <w:rsid w:val="5D814602"/>
    <w:rsid w:val="5D9A3915"/>
    <w:rsid w:val="5EA7453C"/>
    <w:rsid w:val="5F573763"/>
    <w:rsid w:val="5FC01AAC"/>
    <w:rsid w:val="6045400C"/>
    <w:rsid w:val="60D1764E"/>
    <w:rsid w:val="61D513C0"/>
    <w:rsid w:val="621C33F7"/>
    <w:rsid w:val="621E4B15"/>
    <w:rsid w:val="637C5F97"/>
    <w:rsid w:val="65711400"/>
    <w:rsid w:val="666902A6"/>
    <w:rsid w:val="68464DC5"/>
    <w:rsid w:val="68E36170"/>
    <w:rsid w:val="692A78CC"/>
    <w:rsid w:val="69502941"/>
    <w:rsid w:val="69D81A4D"/>
    <w:rsid w:val="69F97043"/>
    <w:rsid w:val="6A2373A8"/>
    <w:rsid w:val="6A627569"/>
    <w:rsid w:val="6AAF6C52"/>
    <w:rsid w:val="6CCA3A1C"/>
    <w:rsid w:val="6CE81FA7"/>
    <w:rsid w:val="6E577D47"/>
    <w:rsid w:val="6F170AB2"/>
    <w:rsid w:val="6F745D74"/>
    <w:rsid w:val="6F9562E9"/>
    <w:rsid w:val="6FD1766A"/>
    <w:rsid w:val="6FE27182"/>
    <w:rsid w:val="70756248"/>
    <w:rsid w:val="709B2013"/>
    <w:rsid w:val="70AF4C91"/>
    <w:rsid w:val="71267542"/>
    <w:rsid w:val="71706A0F"/>
    <w:rsid w:val="723D2D95"/>
    <w:rsid w:val="7248226E"/>
    <w:rsid w:val="72783DCD"/>
    <w:rsid w:val="752E2E69"/>
    <w:rsid w:val="75A803EA"/>
    <w:rsid w:val="76E2215D"/>
    <w:rsid w:val="771B020D"/>
    <w:rsid w:val="77435AB2"/>
    <w:rsid w:val="78407BB7"/>
    <w:rsid w:val="78533470"/>
    <w:rsid w:val="79A47B9E"/>
    <w:rsid w:val="7A220727"/>
    <w:rsid w:val="7AFD1314"/>
    <w:rsid w:val="7B1F572E"/>
    <w:rsid w:val="7B95154C"/>
    <w:rsid w:val="7BAE5340"/>
    <w:rsid w:val="7BC23531"/>
    <w:rsid w:val="7CEF576A"/>
    <w:rsid w:val="7DD722F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5062</Words>
  <Characters>6024</Characters>
  <Lines>0</Lines>
  <Paragraphs>0</Paragraphs>
  <TotalTime>40</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2026-02-07T16:35:12Z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