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73040" cy="2834005"/>
            <wp:effectExtent l="0" t="0" r="0" b="63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3040" cy="2834005"/>
                    </a:xfrm>
                    <a:prstGeom prst="rect">
                      <a:avLst/>
                    </a:prstGeom>
                  </pic:spPr>
                </pic:pic>
              </a:graphicData>
            </a:graphic>
          </wp:inline>
        </w:drawing>
      </w:r>
    </w:p>
    <w:p w14:paraId="40A79D98">
      <w:pPr>
        <w:pStyle w:val="4"/>
        <w:bidi w:val="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rPr>
          <w:rFonts w:hint="default"/>
          <w:lang w:val="en-US" w:eastAsia="zh-CN"/>
        </w:rPr>
      </w:pPr>
      <w:r>
        <w:rPr>
          <w:rFonts w:hint="eastAsia"/>
          <w:lang w:val="en-US" w:eastAsia="zh-CN"/>
        </w:rPr>
        <w:t>指纹编码器模块</w:t>
      </w:r>
    </w:p>
    <w:p w14:paraId="2CC89891">
      <w:pPr>
        <w:rPr>
          <w:rFonts w:hint="default"/>
          <w:lang w:val="en-US" w:eastAsia="zh-CN"/>
        </w:rPr>
      </w:pPr>
      <w:r>
        <w:rPr>
          <w:rFonts w:hint="default"/>
          <w:lang w:val="en-US" w:eastAsia="zh-CN"/>
        </w:rPr>
        <w:t>分子指纹是对分子局部子结构的统计摘要，能够提供全局结构补充信息。特征集成：本文将 Morgan、MACCS 及 RDKit 预定义的多种指纹进行拼接（Concat），构建高维稀疏向量。特征投影：为解决指纹维数过高且稀疏的问题，本文设计了一个多层感知机构成的投影网络（Project Network），将原始指纹映射为稠密的特征向量 $F_f$，从而实现与其它模态在同一量级下的语义对齐。</w:t>
      </w:r>
    </w:p>
    <w:p w14:paraId="62CF9E7F">
      <w:pPr>
        <w:pStyle w:val="4"/>
        <w:bidi w:val="0"/>
        <w:rPr>
          <w:rFonts w:hint="default"/>
          <w:lang w:val="en-US" w:eastAsia="zh-CN"/>
        </w:rPr>
      </w:pPr>
      <w:r>
        <w:rPr>
          <w:rFonts w:hint="eastAsia"/>
          <w:lang w:val="en-US" w:eastAsia="zh-CN"/>
        </w:rPr>
        <w:t>图编码器模块</w:t>
      </w:r>
    </w:p>
    <w:p w14:paraId="5EB3DF76">
      <w:pPr>
        <w:rPr>
          <w:rFonts w:hint="default"/>
          <w:lang w:val="en-US" w:eastAsia="zh-CN"/>
        </w:rPr>
      </w:pPr>
      <w:r>
        <w:rPr>
          <w:rFonts w:hint="default"/>
          <w:lang w:val="en-US" w:eastAsia="zh-CN"/>
        </w:rPr>
        <w:t>图编码器是本框架的核心。本文采用 Graphormer 架构，从拓扑和几何两个维度深度刻画分子结构。结构编码：集成了中心性编码（捕捉原子重要度）、空间编码（捕捉原子间的最短路径距离）及边缘编码（捕捉化学键类型），弥补了传统 GNN 感受野受限的缺陷。输出：经过多层 Graphormer Layer 的处理，模型输出具有高度结构真实性的图表征向量 $F_g$，并将其作为整个预训练过程中的语义锚点（Anchor）。</w:t>
      </w:r>
    </w:p>
    <w:p w14:paraId="5B6CBE39">
      <w:pPr>
        <w:pStyle w:val="4"/>
        <w:bidi w:val="0"/>
        <w:rPr>
          <w:rFonts w:hint="default"/>
          <w:lang w:val="en-US" w:eastAsia="zh-CN"/>
        </w:rPr>
      </w:pPr>
      <w:r>
        <w:rPr>
          <w:rFonts w:hint="eastAsia"/>
          <w:lang w:val="en-US" w:eastAsia="zh-CN"/>
        </w:rPr>
        <w:t>文本编码器模块</w:t>
      </w:r>
    </w:p>
    <w:p w14:paraId="7983D170">
      <w:pPr>
        <w:rPr>
          <w:rFonts w:hint="default"/>
          <w:lang w:val="en-US" w:eastAsia="zh-CN"/>
        </w:rPr>
      </w:pPr>
      <w:r>
        <w:rPr>
          <w:rFonts w:hint="default"/>
          <w:lang w:val="en-US" w:eastAsia="zh-CN"/>
        </w:rPr>
        <w:t>该模块实现了本文核心创新点之一：知识增强重写。知识注入流水线：利用 PubChem API 获取原始文本描述，并结合 RDKit 计算的 12 项关键理化性质（如 LogP、TPSA 等），通过大语言模型（LLM）进行重写，生成高质量的专家级文本描述。语义编码：重写后的文本输入预训练的 SciBERT 编码器。SciBERT 在海量科学文献上的预训练经验使其能更精准地捕捉分子性质描述中的专业语义，生成高密度的文本特征向量 $F_t$。</w:t>
      </w:r>
    </w:p>
    <w:p w14:paraId="2CB3DBC5">
      <w:pPr>
        <w:pStyle w:val="4"/>
        <w:bidi w:val="0"/>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在下游任务微调阶段，模型通过**交叉注意力（Cross-Attention）**机制实现多模态信息的自适应融合。动态加权融合：模型根据不同性质预测任务（如分类任务 BACE 或回归任务 ESOL）的需求，自动学习不同模态特征（$F_g, F_s, F_f, F_t$）的重要性权重 $W_m$。性质预测：融合后的全景分子表征被输入至由多层全连接网络构成的预测头（MLP Head），最终输出分子的理化性质或生物活性预测值 $Y_{pred}$。</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21"/>
        <w:gridCol w:w="1086"/>
        <w:gridCol w:w="878"/>
        <w:gridCol w:w="1053"/>
        <w:gridCol w:w="875"/>
        <w:gridCol w:w="1064"/>
        <w:gridCol w:w="961"/>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(0.002)</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9"/>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11B5DB7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1. 物理性质任务中的结构主导效应</w:t>
      </w:r>
    </w:p>
    <w:p w14:paraId="4B635C6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在预测分子的物理化学性质时，模型表现出对拓扑结构的高度依赖。</w:t>
      </w:r>
    </w:p>
    <w:p w14:paraId="371EA66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FreeSolv（溶剂化自由能）和 ESOL（水溶性）任务中，Graph 模态的权重分别高达 0.40 和 0.39，显著高于其他模态。</w:t>
      </w:r>
      <w:bookmarkStart w:id="0" w:name="_GoBack"/>
      <w:bookmarkEnd w:id="0"/>
    </w:p>
    <w:p w14:paraId="3F4943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这与化学直觉高度一致。分子的溶解能力和能量状态主要由其分子骨架的拓扑连接及原子间的空间排布决定。图神经网络（Graphormer）提取的显式结构特征在此类任务中提供了最核心的判别依据，起到了“语义锚点”的作用。</w:t>
      </w:r>
    </w:p>
    <w:p w14:paraId="5C04042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指纹的特异性：值得注意的是，在 Lipo（亲脂性/LogP）任务中，Fingerprint（分子指纹）获得了全场最高的权重 0.38，甚至超过了 Graph。这是因为亲脂性与分子中特定的疏水/亲水官能团数量呈强线性相关，而基于统计计数的分子指纹恰好擅长捕获此类特征。</w:t>
      </w:r>
    </w:p>
    <w:p w14:paraId="02307D7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2. 知识增强在生物药理任务中的突破</w:t>
      </w:r>
    </w:p>
    <w:p w14:paraId="51E1391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与物理任务形成鲜明对比的是，在涉及复杂生物相互作用的任务中，模型自动学会了依赖专家知识。</w:t>
      </w:r>
    </w:p>
    <w:p w14:paraId="2CB27BD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Sider（副作用预测）、ClinTox（临床毒性）和 Tox21 任务中，Text 模态的权重出现了显著跃升，分别为 0.38、0.36 和 0.32。</w:t>
      </w:r>
    </w:p>
    <w:p w14:paraId="2331043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分析：副作用和毒性往往难以仅从分子结构中直接推断，但通常在文献或专家描述中有明确记载（例如“该结构可能导致心脏毒性”）。此时，经过 LLM 重写并注入了 12 项理化性质的文本模态成为了关键的信息源。模型给予 Text 高权重，证明了本文提出的“知识增强”策略成功地将非结构化的药理知识转化为了可被模型利用的特征，弥补了纯结构视角的盲区。</w:t>
      </w:r>
    </w:p>
    <w:p w14:paraId="127004E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 序列模态的稳健补充作用</w:t>
      </w:r>
    </w:p>
    <w:p w14:paraId="5735BB4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SMILES 模态在所有 9 个任务中的权重分布呈现出高度的稳定性，维持在 0.18 - 0.24 的区间内。</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1"/>
                    <a:stretch>
                      <a:fillRect/>
                    </a:stretch>
                  </pic:blipFill>
                  <pic:spPr>
                    <a:xfrm>
                      <a:off x="0" y="0"/>
                      <a:ext cx="5264785" cy="231521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D64449"/>
    <w:rsid w:val="0BFF569C"/>
    <w:rsid w:val="0C965756"/>
    <w:rsid w:val="0ED168E7"/>
    <w:rsid w:val="0F503503"/>
    <w:rsid w:val="0F7C2CF7"/>
    <w:rsid w:val="10D475A4"/>
    <w:rsid w:val="118A0FD0"/>
    <w:rsid w:val="11CC3396"/>
    <w:rsid w:val="120548F1"/>
    <w:rsid w:val="1212349F"/>
    <w:rsid w:val="13741F37"/>
    <w:rsid w:val="13BE388E"/>
    <w:rsid w:val="144B713C"/>
    <w:rsid w:val="14681A9C"/>
    <w:rsid w:val="14E37374"/>
    <w:rsid w:val="15CF1017"/>
    <w:rsid w:val="1666772B"/>
    <w:rsid w:val="16721235"/>
    <w:rsid w:val="16EE3830"/>
    <w:rsid w:val="1B593EEC"/>
    <w:rsid w:val="1BCA6B98"/>
    <w:rsid w:val="1C884062"/>
    <w:rsid w:val="1D37025D"/>
    <w:rsid w:val="1F3F2EA1"/>
    <w:rsid w:val="1F5E18DF"/>
    <w:rsid w:val="1FCF02AE"/>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AB34B18"/>
    <w:rsid w:val="4C4507B6"/>
    <w:rsid w:val="4D8B14D9"/>
    <w:rsid w:val="4DB33B09"/>
    <w:rsid w:val="4F1813ED"/>
    <w:rsid w:val="4FA30A16"/>
    <w:rsid w:val="525C3CE7"/>
    <w:rsid w:val="528E3D51"/>
    <w:rsid w:val="53D55AFF"/>
    <w:rsid w:val="55B44A7B"/>
    <w:rsid w:val="560E70A6"/>
    <w:rsid w:val="572D5C52"/>
    <w:rsid w:val="583B7EFB"/>
    <w:rsid w:val="58B061F7"/>
    <w:rsid w:val="5B305D11"/>
    <w:rsid w:val="5B4F0B23"/>
    <w:rsid w:val="5B4F731A"/>
    <w:rsid w:val="5B993B5A"/>
    <w:rsid w:val="5D9A3915"/>
    <w:rsid w:val="5EA7453C"/>
    <w:rsid w:val="5F573763"/>
    <w:rsid w:val="5FC01AAC"/>
    <w:rsid w:val="61D513C0"/>
    <w:rsid w:val="621C33F7"/>
    <w:rsid w:val="621E4B15"/>
    <w:rsid w:val="637C5F97"/>
    <w:rsid w:val="666902A6"/>
    <w:rsid w:val="68464DC5"/>
    <w:rsid w:val="692A78CC"/>
    <w:rsid w:val="69502941"/>
    <w:rsid w:val="69D81A4D"/>
    <w:rsid w:val="69F97043"/>
    <w:rsid w:val="6A2373A8"/>
    <w:rsid w:val="6A627569"/>
    <w:rsid w:val="6AAF6C52"/>
    <w:rsid w:val="6CCA3A1C"/>
    <w:rsid w:val="6E577D47"/>
    <w:rsid w:val="6F170AB2"/>
    <w:rsid w:val="6F745D74"/>
    <w:rsid w:val="6F9562E9"/>
    <w:rsid w:val="70756248"/>
    <w:rsid w:val="709B2013"/>
    <w:rsid w:val="70AF4C91"/>
    <w:rsid w:val="71267542"/>
    <w:rsid w:val="71706A0F"/>
    <w:rsid w:val="723D2D95"/>
    <w:rsid w:val="7248226E"/>
    <w:rsid w:val="72783DCD"/>
    <w:rsid w:val="75A803EA"/>
    <w:rsid w:val="76E2215D"/>
    <w:rsid w:val="771B020D"/>
    <w:rsid w:val="77435AB2"/>
    <w:rsid w:val="78407BB7"/>
    <w:rsid w:val="78533470"/>
    <w:rsid w:val="79A47B9E"/>
    <w:rsid w:val="7A220727"/>
    <w:rsid w:val="7AFD1314"/>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5062</Words>
  <Characters>6024</Characters>
  <Lines>0</Lines>
  <Paragraphs>0</Paragraphs>
  <TotalTime>5</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2026-02-05T14:18:29Z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