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24B8D139">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bookmarkStart w:id="0" w:name="_GoBack"/>
      <w:bookmarkEnd w:id="0"/>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基于思维链增强与交叉依赖图融合的分子性质预测方法</w:t>
      </w:r>
    </w:p>
    <w:p w14:paraId="61B6AE7E">
      <w:pPr>
        <w:pStyle w:val="3"/>
        <w:bidi w:val="0"/>
        <w:rPr>
          <w:rFonts w:hint="default"/>
          <w:lang w:val="en-US" w:eastAsia="zh-CN"/>
        </w:rPr>
      </w:pPr>
      <w:r>
        <w:rPr>
          <w:rFonts w:hint="eastAsia"/>
          <w:lang w:val="en-US" w:eastAsia="zh-CN"/>
        </w:rPr>
        <w:t>模型设计与描述</w:t>
      </w:r>
    </w:p>
    <w:p w14:paraId="68DD33CA">
      <w:pPr>
        <w:pStyle w:val="4"/>
        <w:bidi w:val="0"/>
        <w:rPr>
          <w:rFonts w:hint="default"/>
          <w:lang w:val="en-US" w:eastAsia="zh-CN"/>
        </w:rPr>
      </w:pPr>
      <w:r>
        <w:rPr>
          <w:rFonts w:hint="eastAsia"/>
          <w:lang w:val="en-US" w:eastAsia="zh-CN"/>
        </w:rPr>
        <w:t>CoT-MMP模型架构概述</w:t>
      </w:r>
    </w:p>
    <w:p w14:paraId="54C2D49C">
      <w:pPr>
        <w:bidi w:val="0"/>
        <w:rPr>
          <w:rFonts w:hint="eastAsia"/>
          <w:lang w:val="en-US" w:eastAsia="zh-CN"/>
        </w:rPr>
      </w:pPr>
      <w:r>
        <w:rPr>
          <w:rFonts w:hint="eastAsia"/>
          <w:lang w:val="en-US" w:eastAsia="zh-CN"/>
        </w:rPr>
        <w:t>针对 ADMET（吸收、分布、代谢、排泄、毒性）分子性质预测任务中存在的结构特征与语义逻辑难以对齐的挑战，本章提出了一种全新的端到端预测框架——基于思维链增强与通信式图交互的分子性质预测模型（Chain-of-Thought enabled Communicative Message Passing framework, CoT-CMP）。该框架的核心设计理念在于“双塔互补”：一方面利用大语言模型显式的逻辑推理能力来弥补传统“黑盒”模型的不可解释性；另一方面利用改进的通信式图神经网络来捕捉分子内部深层的原子-键动态交互。</w:t>
      </w:r>
    </w:p>
    <w:p w14:paraId="462D831A">
      <w:pPr>
        <w:bidi w:val="0"/>
        <w:rPr>
          <w:rFonts w:hint="eastAsia"/>
          <w:lang w:val="en-US" w:eastAsia="zh-CN"/>
        </w:rPr>
      </w:pPr>
      <w:r>
        <w:rPr>
          <w:rFonts w:hint="eastAsia"/>
          <w:lang w:val="en-US" w:eastAsia="zh-CN"/>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36AF15AE">
      <w:pPr>
        <w:bidi w:val="0"/>
        <w:rPr>
          <w:rFonts w:hint="eastAsia"/>
          <w:lang w:val="en-US" w:eastAsia="zh-CN"/>
        </w:rPr>
      </w:pPr>
      <w:r>
        <w:rPr>
          <w:rFonts w:hint="eastAsia"/>
          <w:lang w:val="en-US" w:eastAsia="zh-CN"/>
        </w:rPr>
        <w:t>其次是交互式图编码链路，该模块引入了先进的 CMPNN (Communicative Message Passing Neural Network) 架构。为了突破传统图神经网络（如 MPNN）中存在的信息回流问题以及忽视化学键独立语义的局限，CMPNN 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4195FE81">
      <w:pPr>
        <w:bidi w:val="0"/>
        <w:rPr>
          <w:rFonts w:hint="eastAsia"/>
          <w:lang w:val="en-US" w:eastAsia="zh-CN"/>
        </w:rPr>
      </w:pPr>
      <w:r>
        <w:rPr>
          <w:rFonts w:hint="eastAsia"/>
          <w:lang w:val="en-US" w:eastAsia="zh-CN"/>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0057F760">
      <w:pPr>
        <w:pStyle w:val="4"/>
        <w:bidi w:val="0"/>
        <w:rPr>
          <w:rFonts w:hint="default"/>
          <w:lang w:val="en-US" w:eastAsia="zh-CN"/>
        </w:rPr>
      </w:pPr>
      <w:r>
        <w:rPr>
          <w:rFonts w:ascii="宋体" w:hAnsi="宋体" w:eastAsia="宋体" w:cs="宋体"/>
          <w:sz w:val="24"/>
          <w:szCs w:val="24"/>
        </w:rPr>
        <w:t>基于思维链的大模型文本编码器</w:t>
      </w:r>
    </w:p>
    <w:p w14:paraId="34A126C5">
      <w:pPr>
        <w:rPr>
          <w:rFonts w:hint="default"/>
          <w:lang w:val="en-US" w:eastAsia="zh-CN"/>
        </w:rPr>
      </w:pPr>
      <w:r>
        <w:rPr>
          <w:rFonts w:hint="default"/>
          <w:lang w:val="en-US" w:eastAsia="zh-CN"/>
        </w:rP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lang w:val="en-US" w:eastAsia="zh-CN"/>
        </w:rPr>
        <w:t>，以便能够让模型输出更加合理的可解释性的推理结果</w:t>
      </w:r>
      <w:r>
        <w:rPr>
          <w:rFonts w:hint="default"/>
          <w:lang w:val="en-US" w:eastAsia="zh-CN"/>
        </w:rP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3A6746EA">
      <w:pPr>
        <w:rPr>
          <w:rFonts w:hint="default"/>
          <w:lang w:val="en-US" w:eastAsia="zh-CN"/>
        </w:rPr>
      </w:pPr>
      <w:r>
        <w:rPr>
          <w:rFonts w:hint="default"/>
          <w:lang w:val="en-US" w:eastAsia="zh-CN"/>
        </w:rPr>
        <w:t>在模型选择上，本研究选用了具有 80 亿参数的 LLaMA-3.1 模型作为文本编码的主干网络。鉴于全参数微调大模型对计算资源的需求极高且容易在小样本的 ADMET 数据集上发生过拟合，</w:t>
      </w:r>
      <w:r>
        <w:rPr>
          <w:rFonts w:hint="eastAsia"/>
          <w:lang w:val="en-US" w:eastAsia="zh-CN"/>
        </w:rPr>
        <w:t>本文</w:t>
      </w:r>
      <w:r>
        <w:rPr>
          <w:rFonts w:hint="default"/>
          <w:lang w:val="en-US" w:eastAsia="zh-CN"/>
        </w:rP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408A4960">
      <w:pPr>
        <w:pStyle w:val="4"/>
        <w:bidi w:val="0"/>
        <w:rPr>
          <w:rFonts w:hint="default"/>
          <w:lang w:val="en-US" w:eastAsia="zh-CN"/>
        </w:rPr>
      </w:pPr>
      <w:r>
        <w:rPr>
          <w:rFonts w:ascii="宋体" w:hAnsi="宋体" w:eastAsia="宋体" w:cs="宋体"/>
          <w:sz w:val="24"/>
          <w:szCs w:val="24"/>
        </w:rPr>
        <w:t>交互式消息传递图编码器</w:t>
      </w:r>
    </w:p>
    <w:p w14:paraId="526EC338">
      <w:pPr>
        <w:rPr>
          <w:rFonts w:hint="default"/>
          <w:lang w:val="en-US" w:eastAsia="zh-CN"/>
        </w:rPr>
      </w:pPr>
      <w:r>
        <w:rPr>
          <w:rFonts w:hint="default"/>
          <w:lang w:val="en-US" w:eastAsia="zh-CN"/>
        </w:rPr>
        <w:t>尽管大语言模型在宏观的药理规则推理上具有优势，但其对微观分子拓扑结构的感知能力存在天然缺陷。为了弥补这一短板并精准捕捉原子间的化学键合作用与电子效应，本研究采用了**交互式消息传递图神经网络（Communicative Message Passing Neural Network, CMPNN）**作为图编码器，以替代传统的 MPNN 模型。传统的图神经网络在处理分子图时通常采用“原子中心”的消息传递机制，这种方式在 ADMET 预测任务中往往存在两个显著弊端：一是**“信息回流”**现象，即信息在相邻节点间产生冗余的震荡传播（例如原子 A 传给 B，B 又在下一轮传回 A），导致长程依赖难以有效捕捉；二是将化学键仅作为静态的边缘属性进行简单的求和聚合，忽视了化学键作为构效关系核心实体在特征演化中的动态作用。针对上述问题，CMPNN 编码器创新性地构建了基于有向边（Directed Edge）的消息传递架构。在这一架构中，模型不再是在原子之间直接传递信息，而是在有向化学键上维护和更新隐藏状态。具体而言，对于连接原子 $u$ 和 $v$ 的化学键，模型在计算从 $u$ 流向 $v$ 的信息时，会聚合原子 $u$ 的所有邻居节点 $k$ 传来的消息，但显式地执行“忌讳（Taboo）”策略，即排除掉从目标节点 $v$ 反向传回 $u$ 的消息。这种几何路径上的阻断机制有效地切断了信息的冗余循环，使得模型能够像更深层的网络一样捕捉到分子骨架中的长程拓扑依赖，这对于识别大分子药物的远端官能团效应至关重要。更为关键的是，为了强化“原子”与“化学键”之间的语义耦合，CMPNN 在消息聚合阶段引入了一个通信核（Communicative Kernel）模块。该模块打破了传统方法中化学键特征仅作为辅助输入的惯例，强制原子特征与化学键特征在传递前进行深度的交互操作（Interaction Operation）。在每一次迭代中，原子节点的特征向量会与相连化学键的特征向量进行非线性融合，生成增强的消息向量。这种机制模拟了真实化学环境中“原子电负性改变诱导化学键极化”以及“键能变化反作用于原子局部环境”的动态物理过程。最终，经过多轮交互更新的有向边特征被映射回原子节点，并通过一个基于门控机制的读出层（Gated Readout）聚合成图级别的全局表征向量。这一向量高度浓缩了分子的拓扑连接与立体电子特征，将作为后续多模态融合过程中的“结构锚点”，引导文本模态的推理逻辑与之对齐。</w:t>
      </w:r>
    </w:p>
    <w:p w14:paraId="68748C6B">
      <w:pPr>
        <w:pStyle w:val="4"/>
        <w:bidi w:val="0"/>
        <w:rPr>
          <w:rFonts w:hint="default"/>
          <w:lang w:val="en-US" w:eastAsia="zh-CN"/>
        </w:rPr>
      </w:pPr>
      <w:r>
        <w:t>多模态交叉融合与预测模块</w:t>
      </w:r>
    </w:p>
    <w:p w14:paraId="7C91856F">
      <w:pPr>
        <w:rPr>
          <w:rFonts w:hint="default"/>
          <w:lang w:val="en-US" w:eastAsia="zh-CN"/>
        </w:rPr>
      </w:pPr>
      <w:r>
        <w:rPr>
          <w:rFonts w:hint="default"/>
          <w:lang w:val="en-US" w:eastAsia="zh-CN"/>
        </w:rP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6ADE4C2">
      <w:pPr>
        <w:rPr>
          <w:rFonts w:hint="default"/>
          <w:lang w:val="en-US" w:eastAsia="zh-CN"/>
        </w:rPr>
      </w:pPr>
      <w:r>
        <w:rPr>
          <w:rFonts w:hint="default"/>
          <w:lang w:val="en-US" w:eastAsia="zh-CN"/>
        </w:rP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1411"/>
        <w:gridCol w:w="1411"/>
        <w:gridCol w:w="1411"/>
        <w:gridCol w:w="1412"/>
        <w:gridCol w:w="1412"/>
      </w:tblGrid>
      <w:tr w14:paraId="074C5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96AAEBC">
            <w:pPr>
              <w:ind w:left="0" w:leftChars="0" w:firstLine="0" w:firstLineChars="0"/>
              <w:rPr>
                <w:rFonts w:hint="eastAsia"/>
                <w:vertAlign w:val="baseline"/>
                <w:lang w:val="en-US" w:eastAsia="zh-CN"/>
              </w:rPr>
            </w:pPr>
            <w:r>
              <w:rPr>
                <w:rFonts w:hint="eastAsia"/>
                <w:vertAlign w:val="baseline"/>
                <w:lang w:val="en-US" w:eastAsia="zh-CN"/>
              </w:rPr>
              <w:t>Solubility</w:t>
            </w:r>
          </w:p>
        </w:tc>
        <w:tc>
          <w:tcPr>
            <w:tcW w:w="1411" w:type="dxa"/>
          </w:tcPr>
          <w:p w14:paraId="4247DFFF">
            <w:pPr>
              <w:rPr>
                <w:rFonts w:hint="default"/>
                <w:vertAlign w:val="baseline"/>
                <w:lang w:val="en-US" w:eastAsia="zh-CN"/>
              </w:rPr>
            </w:pPr>
          </w:p>
        </w:tc>
        <w:tc>
          <w:tcPr>
            <w:tcW w:w="1411" w:type="dxa"/>
          </w:tcPr>
          <w:p w14:paraId="31131863">
            <w:pPr>
              <w:rPr>
                <w:rFonts w:hint="default"/>
                <w:vertAlign w:val="baseline"/>
                <w:lang w:val="en-US" w:eastAsia="zh-CN"/>
              </w:rPr>
            </w:pPr>
          </w:p>
        </w:tc>
        <w:tc>
          <w:tcPr>
            <w:tcW w:w="1411" w:type="dxa"/>
          </w:tcPr>
          <w:p w14:paraId="6B9B9BBC">
            <w:pPr>
              <w:rPr>
                <w:rFonts w:hint="default"/>
                <w:vertAlign w:val="baseline"/>
                <w:lang w:val="en-US" w:eastAsia="zh-CN"/>
              </w:rPr>
            </w:pPr>
          </w:p>
        </w:tc>
        <w:tc>
          <w:tcPr>
            <w:tcW w:w="1412" w:type="dxa"/>
          </w:tcPr>
          <w:p w14:paraId="07D0E4E1">
            <w:pPr>
              <w:rPr>
                <w:rFonts w:hint="default"/>
                <w:vertAlign w:val="baseline"/>
                <w:lang w:val="en-US" w:eastAsia="zh-CN"/>
              </w:rPr>
            </w:pPr>
          </w:p>
        </w:tc>
        <w:tc>
          <w:tcPr>
            <w:tcW w:w="1412" w:type="dxa"/>
          </w:tcPr>
          <w:p w14:paraId="61FF7857">
            <w:pPr>
              <w:rPr>
                <w:rFonts w:hint="default"/>
                <w:vertAlign w:val="baseline"/>
                <w:lang w:val="en-US" w:eastAsia="zh-CN"/>
              </w:rPr>
            </w:pPr>
          </w:p>
        </w:tc>
      </w:tr>
      <w:tr w14:paraId="120D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544FF3C">
            <w:pPr>
              <w:ind w:left="0" w:leftChars="0" w:firstLine="0" w:firstLineChars="0"/>
              <w:rPr>
                <w:rFonts w:hint="eastAsia"/>
                <w:vertAlign w:val="baseline"/>
                <w:lang w:val="en-US" w:eastAsia="zh-CN"/>
              </w:rPr>
            </w:pPr>
            <w:r>
              <w:rPr>
                <w:rFonts w:hint="eastAsia"/>
                <w:vertAlign w:val="baseline"/>
                <w:lang w:val="en-US" w:eastAsia="zh-CN"/>
              </w:rPr>
              <w:t>PPBR</w:t>
            </w:r>
          </w:p>
        </w:tc>
        <w:tc>
          <w:tcPr>
            <w:tcW w:w="1411" w:type="dxa"/>
          </w:tcPr>
          <w:p w14:paraId="208D1346">
            <w:pPr>
              <w:rPr>
                <w:rFonts w:hint="default"/>
                <w:vertAlign w:val="baseline"/>
                <w:lang w:val="en-US" w:eastAsia="zh-CN"/>
              </w:rPr>
            </w:pPr>
          </w:p>
        </w:tc>
        <w:tc>
          <w:tcPr>
            <w:tcW w:w="1411" w:type="dxa"/>
          </w:tcPr>
          <w:p w14:paraId="3DCD98C2">
            <w:pPr>
              <w:rPr>
                <w:rFonts w:hint="default"/>
                <w:vertAlign w:val="baseline"/>
                <w:lang w:val="en-US" w:eastAsia="zh-CN"/>
              </w:rPr>
            </w:pPr>
          </w:p>
        </w:tc>
        <w:tc>
          <w:tcPr>
            <w:tcW w:w="1411" w:type="dxa"/>
          </w:tcPr>
          <w:p w14:paraId="46EB1C44">
            <w:pPr>
              <w:rPr>
                <w:rFonts w:hint="default"/>
                <w:vertAlign w:val="baseline"/>
                <w:lang w:val="en-US" w:eastAsia="zh-CN"/>
              </w:rPr>
            </w:pPr>
          </w:p>
        </w:tc>
        <w:tc>
          <w:tcPr>
            <w:tcW w:w="1412" w:type="dxa"/>
          </w:tcPr>
          <w:p w14:paraId="5B69758F">
            <w:pPr>
              <w:rPr>
                <w:rFonts w:hint="default"/>
                <w:vertAlign w:val="baseline"/>
                <w:lang w:val="en-US" w:eastAsia="zh-CN"/>
              </w:rPr>
            </w:pPr>
          </w:p>
        </w:tc>
        <w:tc>
          <w:tcPr>
            <w:tcW w:w="1412" w:type="dxa"/>
          </w:tcPr>
          <w:p w14:paraId="0A67F0AC">
            <w:pPr>
              <w:rPr>
                <w:rFonts w:hint="default"/>
                <w:vertAlign w:val="baseline"/>
                <w:lang w:val="en-US" w:eastAsia="zh-CN"/>
              </w:rPr>
            </w:pPr>
          </w:p>
        </w:tc>
      </w:tr>
      <w:tr w14:paraId="6FBF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CACDF07">
            <w:pPr>
              <w:ind w:left="0" w:leftChars="0" w:firstLine="0" w:firstLineChars="0"/>
              <w:rPr>
                <w:rFonts w:hint="eastAsia"/>
                <w:vertAlign w:val="baseline"/>
                <w:lang w:val="en-US" w:eastAsia="zh-CN"/>
              </w:rPr>
            </w:pPr>
            <w:r>
              <w:rPr>
                <w:rFonts w:hint="eastAsia"/>
                <w:vertAlign w:val="baseline"/>
                <w:lang w:val="en-US" w:eastAsia="zh-CN"/>
              </w:rPr>
              <w:t>LD50</w:t>
            </w:r>
          </w:p>
        </w:tc>
        <w:tc>
          <w:tcPr>
            <w:tcW w:w="1411" w:type="dxa"/>
          </w:tcPr>
          <w:p w14:paraId="11E59B90">
            <w:pPr>
              <w:rPr>
                <w:rFonts w:hint="default"/>
                <w:vertAlign w:val="baseline"/>
                <w:lang w:val="en-US" w:eastAsia="zh-CN"/>
              </w:rPr>
            </w:pPr>
          </w:p>
        </w:tc>
        <w:tc>
          <w:tcPr>
            <w:tcW w:w="1411" w:type="dxa"/>
          </w:tcPr>
          <w:p w14:paraId="3500EA39">
            <w:pPr>
              <w:rPr>
                <w:rFonts w:hint="default"/>
                <w:vertAlign w:val="baseline"/>
                <w:lang w:val="en-US" w:eastAsia="zh-CN"/>
              </w:rPr>
            </w:pPr>
          </w:p>
        </w:tc>
        <w:tc>
          <w:tcPr>
            <w:tcW w:w="1411" w:type="dxa"/>
          </w:tcPr>
          <w:p w14:paraId="2F4A200F">
            <w:pPr>
              <w:rPr>
                <w:rFonts w:hint="default"/>
                <w:vertAlign w:val="baseline"/>
                <w:lang w:val="en-US" w:eastAsia="zh-CN"/>
              </w:rPr>
            </w:pPr>
          </w:p>
        </w:tc>
        <w:tc>
          <w:tcPr>
            <w:tcW w:w="1412" w:type="dxa"/>
          </w:tcPr>
          <w:p w14:paraId="5566F505">
            <w:pPr>
              <w:rPr>
                <w:rFonts w:hint="default"/>
                <w:vertAlign w:val="baseline"/>
                <w:lang w:val="en-US" w:eastAsia="zh-CN"/>
              </w:rPr>
            </w:pPr>
          </w:p>
        </w:tc>
        <w:tc>
          <w:tcPr>
            <w:tcW w:w="1412" w:type="dxa"/>
          </w:tcPr>
          <w:p w14:paraId="62B98A7C">
            <w:pPr>
              <w:rPr>
                <w:rFonts w:hint="default"/>
                <w:vertAlign w:val="baseline"/>
                <w:lang w:val="en-US" w:eastAsia="zh-CN"/>
              </w:rPr>
            </w:pPr>
          </w:p>
        </w:tc>
      </w:tr>
      <w:tr w14:paraId="12A7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3D05337">
            <w:pPr>
              <w:ind w:left="0" w:leftChars="0" w:firstLine="0" w:firstLineChars="0"/>
              <w:rPr>
                <w:rFonts w:hint="eastAsia"/>
                <w:vertAlign w:val="baseline"/>
                <w:lang w:val="en-US" w:eastAsia="zh-CN"/>
              </w:rPr>
            </w:pPr>
            <w:r>
              <w:rPr>
                <w:rFonts w:hint="eastAsia"/>
                <w:vertAlign w:val="baseline"/>
                <w:lang w:val="en-US" w:eastAsia="zh-CN"/>
              </w:rPr>
              <w:t>HIA</w:t>
            </w:r>
          </w:p>
        </w:tc>
        <w:tc>
          <w:tcPr>
            <w:tcW w:w="1411" w:type="dxa"/>
          </w:tcPr>
          <w:p w14:paraId="5A9D130E">
            <w:pPr>
              <w:rPr>
                <w:rFonts w:hint="default"/>
                <w:vertAlign w:val="baseline"/>
                <w:lang w:val="en-US" w:eastAsia="zh-CN"/>
              </w:rPr>
            </w:pPr>
          </w:p>
        </w:tc>
        <w:tc>
          <w:tcPr>
            <w:tcW w:w="1411" w:type="dxa"/>
          </w:tcPr>
          <w:p w14:paraId="6CC587C6">
            <w:pPr>
              <w:rPr>
                <w:rFonts w:hint="default"/>
                <w:vertAlign w:val="baseline"/>
                <w:lang w:val="en-US" w:eastAsia="zh-CN"/>
              </w:rPr>
            </w:pPr>
          </w:p>
        </w:tc>
        <w:tc>
          <w:tcPr>
            <w:tcW w:w="1411" w:type="dxa"/>
          </w:tcPr>
          <w:p w14:paraId="327E3784">
            <w:pPr>
              <w:rPr>
                <w:rFonts w:hint="default"/>
                <w:vertAlign w:val="baseline"/>
                <w:lang w:val="en-US" w:eastAsia="zh-CN"/>
              </w:rPr>
            </w:pPr>
          </w:p>
        </w:tc>
        <w:tc>
          <w:tcPr>
            <w:tcW w:w="1412" w:type="dxa"/>
          </w:tcPr>
          <w:p w14:paraId="18A82BAF">
            <w:pPr>
              <w:rPr>
                <w:rFonts w:hint="default"/>
                <w:vertAlign w:val="baseline"/>
                <w:lang w:val="en-US" w:eastAsia="zh-CN"/>
              </w:rPr>
            </w:pPr>
          </w:p>
        </w:tc>
        <w:tc>
          <w:tcPr>
            <w:tcW w:w="1412" w:type="dxa"/>
          </w:tcPr>
          <w:p w14:paraId="1A861152">
            <w:pPr>
              <w:rPr>
                <w:rFonts w:hint="default"/>
                <w:vertAlign w:val="baseline"/>
                <w:lang w:val="en-US" w:eastAsia="zh-CN"/>
              </w:rPr>
            </w:pPr>
          </w:p>
        </w:tc>
      </w:tr>
      <w:tr w14:paraId="58834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D3D744">
            <w:pPr>
              <w:ind w:left="0" w:leftChars="0" w:firstLine="0" w:firstLineChars="0"/>
              <w:rPr>
                <w:rFonts w:hint="eastAsia"/>
                <w:vertAlign w:val="baseline"/>
                <w:lang w:val="en-US" w:eastAsia="zh-CN"/>
              </w:rPr>
            </w:pPr>
            <w:r>
              <w:rPr>
                <w:rFonts w:hint="eastAsia"/>
                <w:vertAlign w:val="baseline"/>
                <w:lang w:val="en-US" w:eastAsia="zh-CN"/>
              </w:rPr>
              <w:t>Pgp</w:t>
            </w:r>
          </w:p>
        </w:tc>
        <w:tc>
          <w:tcPr>
            <w:tcW w:w="1411" w:type="dxa"/>
          </w:tcPr>
          <w:p w14:paraId="226F528B">
            <w:pPr>
              <w:rPr>
                <w:rFonts w:hint="default"/>
                <w:vertAlign w:val="baseline"/>
                <w:lang w:val="en-US" w:eastAsia="zh-CN"/>
              </w:rPr>
            </w:pPr>
          </w:p>
        </w:tc>
        <w:tc>
          <w:tcPr>
            <w:tcW w:w="1411" w:type="dxa"/>
          </w:tcPr>
          <w:p w14:paraId="0BB3A47A">
            <w:pPr>
              <w:rPr>
                <w:rFonts w:hint="default"/>
                <w:vertAlign w:val="baseline"/>
                <w:lang w:val="en-US" w:eastAsia="zh-CN"/>
              </w:rPr>
            </w:pPr>
          </w:p>
        </w:tc>
        <w:tc>
          <w:tcPr>
            <w:tcW w:w="1411" w:type="dxa"/>
          </w:tcPr>
          <w:p w14:paraId="2B28D8DE">
            <w:pPr>
              <w:rPr>
                <w:rFonts w:hint="default"/>
                <w:vertAlign w:val="baseline"/>
                <w:lang w:val="en-US" w:eastAsia="zh-CN"/>
              </w:rPr>
            </w:pPr>
          </w:p>
        </w:tc>
        <w:tc>
          <w:tcPr>
            <w:tcW w:w="1412" w:type="dxa"/>
          </w:tcPr>
          <w:p w14:paraId="1DCB693C">
            <w:pPr>
              <w:rPr>
                <w:rFonts w:hint="default"/>
                <w:vertAlign w:val="baseline"/>
                <w:lang w:val="en-US" w:eastAsia="zh-CN"/>
              </w:rPr>
            </w:pPr>
          </w:p>
        </w:tc>
        <w:tc>
          <w:tcPr>
            <w:tcW w:w="1412" w:type="dxa"/>
          </w:tcPr>
          <w:p w14:paraId="6DF33078">
            <w:pPr>
              <w:rPr>
                <w:rFonts w:hint="default"/>
                <w:vertAlign w:val="baseline"/>
                <w:lang w:val="en-US" w:eastAsia="zh-CN"/>
              </w:rPr>
            </w:pPr>
          </w:p>
        </w:tc>
      </w:tr>
      <w:tr w14:paraId="7F57B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53375ED">
            <w:pPr>
              <w:ind w:left="0" w:leftChars="0" w:firstLine="0" w:firstLineChars="0"/>
              <w:rPr>
                <w:rFonts w:hint="eastAsia"/>
                <w:vertAlign w:val="baseline"/>
                <w:lang w:val="en-US" w:eastAsia="zh-CN"/>
              </w:rPr>
            </w:pPr>
            <w:r>
              <w:rPr>
                <w:rFonts w:hint="eastAsia"/>
                <w:vertAlign w:val="baseline"/>
                <w:lang w:val="en-US" w:eastAsia="zh-CN"/>
              </w:rPr>
              <w:t>Bioavailability</w:t>
            </w:r>
          </w:p>
        </w:tc>
        <w:tc>
          <w:tcPr>
            <w:tcW w:w="1411" w:type="dxa"/>
          </w:tcPr>
          <w:p w14:paraId="129DE942">
            <w:pPr>
              <w:rPr>
                <w:rFonts w:hint="default"/>
                <w:vertAlign w:val="baseline"/>
                <w:lang w:val="en-US" w:eastAsia="zh-CN"/>
              </w:rPr>
            </w:pPr>
          </w:p>
        </w:tc>
        <w:tc>
          <w:tcPr>
            <w:tcW w:w="1411" w:type="dxa"/>
          </w:tcPr>
          <w:p w14:paraId="215B161D">
            <w:pPr>
              <w:rPr>
                <w:rFonts w:hint="default"/>
                <w:vertAlign w:val="baseline"/>
                <w:lang w:val="en-US" w:eastAsia="zh-CN"/>
              </w:rPr>
            </w:pPr>
          </w:p>
        </w:tc>
        <w:tc>
          <w:tcPr>
            <w:tcW w:w="1411" w:type="dxa"/>
          </w:tcPr>
          <w:p w14:paraId="05F980DB">
            <w:pPr>
              <w:rPr>
                <w:rFonts w:hint="default"/>
                <w:vertAlign w:val="baseline"/>
                <w:lang w:val="en-US" w:eastAsia="zh-CN"/>
              </w:rPr>
            </w:pPr>
          </w:p>
        </w:tc>
        <w:tc>
          <w:tcPr>
            <w:tcW w:w="1412" w:type="dxa"/>
          </w:tcPr>
          <w:p w14:paraId="5FE3267E">
            <w:pPr>
              <w:rPr>
                <w:rFonts w:hint="default"/>
                <w:vertAlign w:val="baseline"/>
                <w:lang w:val="en-US" w:eastAsia="zh-CN"/>
              </w:rPr>
            </w:pPr>
          </w:p>
        </w:tc>
        <w:tc>
          <w:tcPr>
            <w:tcW w:w="1412" w:type="dxa"/>
          </w:tcPr>
          <w:p w14:paraId="2DCEE511">
            <w:pPr>
              <w:rPr>
                <w:rFonts w:hint="default"/>
                <w:vertAlign w:val="baseline"/>
                <w:lang w:val="en-US" w:eastAsia="zh-CN"/>
              </w:rPr>
            </w:pPr>
          </w:p>
        </w:tc>
      </w:tr>
      <w:tr w14:paraId="6B45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2563BCC">
            <w:pPr>
              <w:ind w:left="0" w:leftChars="0" w:firstLine="0" w:firstLineChars="0"/>
              <w:rPr>
                <w:rFonts w:hint="eastAsia"/>
                <w:vertAlign w:val="baseline"/>
                <w:lang w:val="en-US" w:eastAsia="zh-CN"/>
              </w:rPr>
            </w:pPr>
            <w:r>
              <w:rPr>
                <w:rFonts w:hint="eastAsia"/>
                <w:vertAlign w:val="baseline"/>
                <w:lang w:val="en-US" w:eastAsia="zh-CN"/>
              </w:rPr>
              <w:t>CYP3A4 substrate</w:t>
            </w:r>
          </w:p>
        </w:tc>
        <w:tc>
          <w:tcPr>
            <w:tcW w:w="1411" w:type="dxa"/>
          </w:tcPr>
          <w:p w14:paraId="23FF5BE4">
            <w:pPr>
              <w:rPr>
                <w:rFonts w:hint="default"/>
                <w:vertAlign w:val="baseline"/>
                <w:lang w:val="en-US" w:eastAsia="zh-CN"/>
              </w:rPr>
            </w:pPr>
          </w:p>
        </w:tc>
        <w:tc>
          <w:tcPr>
            <w:tcW w:w="1411" w:type="dxa"/>
          </w:tcPr>
          <w:p w14:paraId="123B356F">
            <w:pPr>
              <w:rPr>
                <w:rFonts w:hint="default"/>
                <w:vertAlign w:val="baseline"/>
                <w:lang w:val="en-US" w:eastAsia="zh-CN"/>
              </w:rPr>
            </w:pPr>
          </w:p>
        </w:tc>
        <w:tc>
          <w:tcPr>
            <w:tcW w:w="1411" w:type="dxa"/>
          </w:tcPr>
          <w:p w14:paraId="78717C3A">
            <w:pPr>
              <w:rPr>
                <w:rFonts w:hint="default"/>
                <w:vertAlign w:val="baseline"/>
                <w:lang w:val="en-US" w:eastAsia="zh-CN"/>
              </w:rPr>
            </w:pPr>
          </w:p>
        </w:tc>
        <w:tc>
          <w:tcPr>
            <w:tcW w:w="1412" w:type="dxa"/>
          </w:tcPr>
          <w:p w14:paraId="0B720410">
            <w:pPr>
              <w:rPr>
                <w:rFonts w:hint="default"/>
                <w:vertAlign w:val="baseline"/>
                <w:lang w:val="en-US" w:eastAsia="zh-CN"/>
              </w:rPr>
            </w:pPr>
          </w:p>
        </w:tc>
        <w:tc>
          <w:tcPr>
            <w:tcW w:w="1412" w:type="dxa"/>
          </w:tcPr>
          <w:p w14:paraId="0FFAA854">
            <w:pPr>
              <w:rPr>
                <w:rFonts w:hint="default"/>
                <w:vertAlign w:val="baseline"/>
                <w:lang w:val="en-US" w:eastAsia="zh-CN"/>
              </w:rPr>
            </w:pPr>
          </w:p>
        </w:tc>
      </w:tr>
      <w:tr w14:paraId="7480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17EE4BF">
            <w:pPr>
              <w:ind w:left="0" w:leftChars="0" w:firstLine="0" w:firstLineChars="0"/>
              <w:rPr>
                <w:rFonts w:hint="eastAsia"/>
                <w:vertAlign w:val="baseline"/>
                <w:lang w:val="en-US" w:eastAsia="zh-CN"/>
              </w:rPr>
            </w:pPr>
            <w:r>
              <w:rPr>
                <w:rFonts w:hint="eastAsia"/>
                <w:vertAlign w:val="baseline"/>
                <w:lang w:val="en-US" w:eastAsia="zh-CN"/>
              </w:rPr>
              <w:t>hERG</w:t>
            </w:r>
          </w:p>
        </w:tc>
        <w:tc>
          <w:tcPr>
            <w:tcW w:w="1411" w:type="dxa"/>
          </w:tcPr>
          <w:p w14:paraId="19D23CE7">
            <w:pPr>
              <w:rPr>
                <w:rFonts w:hint="default"/>
                <w:vertAlign w:val="baseline"/>
                <w:lang w:val="en-US" w:eastAsia="zh-CN"/>
              </w:rPr>
            </w:pPr>
          </w:p>
        </w:tc>
        <w:tc>
          <w:tcPr>
            <w:tcW w:w="1411" w:type="dxa"/>
          </w:tcPr>
          <w:p w14:paraId="589F5F94">
            <w:pPr>
              <w:rPr>
                <w:rFonts w:hint="default"/>
                <w:vertAlign w:val="baseline"/>
                <w:lang w:val="en-US" w:eastAsia="zh-CN"/>
              </w:rPr>
            </w:pPr>
          </w:p>
        </w:tc>
        <w:tc>
          <w:tcPr>
            <w:tcW w:w="1411" w:type="dxa"/>
          </w:tcPr>
          <w:p w14:paraId="0F3265FD">
            <w:pPr>
              <w:rPr>
                <w:rFonts w:hint="default"/>
                <w:vertAlign w:val="baseline"/>
                <w:lang w:val="en-US" w:eastAsia="zh-CN"/>
              </w:rPr>
            </w:pPr>
          </w:p>
        </w:tc>
        <w:tc>
          <w:tcPr>
            <w:tcW w:w="1412" w:type="dxa"/>
          </w:tcPr>
          <w:p w14:paraId="02DDC701">
            <w:pPr>
              <w:rPr>
                <w:rFonts w:hint="default"/>
                <w:vertAlign w:val="baseline"/>
                <w:lang w:val="en-US" w:eastAsia="zh-CN"/>
              </w:rPr>
            </w:pPr>
          </w:p>
        </w:tc>
        <w:tc>
          <w:tcPr>
            <w:tcW w:w="1412" w:type="dxa"/>
          </w:tcPr>
          <w:p w14:paraId="342691FB">
            <w:pPr>
              <w:rPr>
                <w:rFonts w:hint="default"/>
                <w:vertAlign w:val="baseline"/>
                <w:lang w:val="en-US" w:eastAsia="zh-CN"/>
              </w:rPr>
            </w:pPr>
          </w:p>
        </w:tc>
      </w:tr>
      <w:tr w14:paraId="3F7E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0E86309">
            <w:pPr>
              <w:ind w:left="0" w:leftChars="0" w:firstLine="0" w:firstLineChars="0"/>
              <w:rPr>
                <w:rFonts w:hint="eastAsia"/>
                <w:vertAlign w:val="baseline"/>
                <w:lang w:val="en-US" w:eastAsia="zh-CN"/>
              </w:rPr>
            </w:pPr>
            <w:r>
              <w:rPr>
                <w:rFonts w:hint="eastAsia"/>
                <w:vertAlign w:val="baseline"/>
                <w:lang w:val="en-US" w:eastAsia="zh-CN"/>
              </w:rPr>
              <w:t>Ames</w:t>
            </w:r>
          </w:p>
        </w:tc>
        <w:tc>
          <w:tcPr>
            <w:tcW w:w="1411" w:type="dxa"/>
          </w:tcPr>
          <w:p w14:paraId="1A2AEBBA">
            <w:pPr>
              <w:rPr>
                <w:rFonts w:hint="default"/>
                <w:vertAlign w:val="baseline"/>
                <w:lang w:val="en-US" w:eastAsia="zh-CN"/>
              </w:rPr>
            </w:pPr>
          </w:p>
        </w:tc>
        <w:tc>
          <w:tcPr>
            <w:tcW w:w="1411" w:type="dxa"/>
          </w:tcPr>
          <w:p w14:paraId="0B7A5C4E">
            <w:pPr>
              <w:rPr>
                <w:rFonts w:hint="default"/>
                <w:vertAlign w:val="baseline"/>
                <w:lang w:val="en-US" w:eastAsia="zh-CN"/>
              </w:rPr>
            </w:pPr>
          </w:p>
        </w:tc>
        <w:tc>
          <w:tcPr>
            <w:tcW w:w="1411" w:type="dxa"/>
          </w:tcPr>
          <w:p w14:paraId="24D90C07">
            <w:pPr>
              <w:rPr>
                <w:rFonts w:hint="default"/>
                <w:vertAlign w:val="baseline"/>
                <w:lang w:val="en-US" w:eastAsia="zh-CN"/>
              </w:rPr>
            </w:pPr>
          </w:p>
        </w:tc>
        <w:tc>
          <w:tcPr>
            <w:tcW w:w="1412" w:type="dxa"/>
          </w:tcPr>
          <w:p w14:paraId="010F0979">
            <w:pPr>
              <w:rPr>
                <w:rFonts w:hint="default"/>
                <w:vertAlign w:val="baseline"/>
                <w:lang w:val="en-US" w:eastAsia="zh-CN"/>
              </w:rPr>
            </w:pPr>
          </w:p>
        </w:tc>
        <w:tc>
          <w:tcPr>
            <w:tcW w:w="1412" w:type="dxa"/>
          </w:tcPr>
          <w:p w14:paraId="6D987CFA">
            <w:pPr>
              <w:rPr>
                <w:rFonts w:hint="default"/>
                <w:vertAlign w:val="baseline"/>
                <w:lang w:val="en-US" w:eastAsia="zh-CN"/>
              </w:rPr>
            </w:pPr>
          </w:p>
        </w:tc>
      </w:tr>
      <w:tr w14:paraId="76EF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D7E580A">
            <w:pPr>
              <w:ind w:left="0" w:leftChars="0" w:firstLine="0" w:firstLineChars="0"/>
              <w:rPr>
                <w:rFonts w:hint="eastAsia"/>
                <w:vertAlign w:val="baseline"/>
                <w:lang w:val="en-US" w:eastAsia="zh-CN"/>
              </w:rPr>
            </w:pPr>
            <w:r>
              <w:rPr>
                <w:rFonts w:hint="eastAsia"/>
                <w:vertAlign w:val="baseline"/>
                <w:lang w:val="en-US" w:eastAsia="zh-CN"/>
              </w:rPr>
              <w:t>DILI</w:t>
            </w:r>
          </w:p>
        </w:tc>
        <w:tc>
          <w:tcPr>
            <w:tcW w:w="1411" w:type="dxa"/>
          </w:tcPr>
          <w:p w14:paraId="4997FAC0">
            <w:pPr>
              <w:rPr>
                <w:rFonts w:hint="default"/>
                <w:vertAlign w:val="baseline"/>
                <w:lang w:val="en-US" w:eastAsia="zh-CN"/>
              </w:rPr>
            </w:pPr>
          </w:p>
        </w:tc>
        <w:tc>
          <w:tcPr>
            <w:tcW w:w="1411" w:type="dxa"/>
          </w:tcPr>
          <w:p w14:paraId="3089BC83">
            <w:pPr>
              <w:rPr>
                <w:rFonts w:hint="default"/>
                <w:vertAlign w:val="baseline"/>
                <w:lang w:val="en-US" w:eastAsia="zh-CN"/>
              </w:rPr>
            </w:pPr>
          </w:p>
        </w:tc>
        <w:tc>
          <w:tcPr>
            <w:tcW w:w="1411" w:type="dxa"/>
          </w:tcPr>
          <w:p w14:paraId="2141E5A7">
            <w:pPr>
              <w:rPr>
                <w:rFonts w:hint="default"/>
                <w:vertAlign w:val="baseline"/>
                <w:lang w:val="en-US" w:eastAsia="zh-CN"/>
              </w:rPr>
            </w:pPr>
          </w:p>
        </w:tc>
        <w:tc>
          <w:tcPr>
            <w:tcW w:w="1412" w:type="dxa"/>
          </w:tcPr>
          <w:p w14:paraId="74A9014A">
            <w:pPr>
              <w:rPr>
                <w:rFonts w:hint="default"/>
                <w:vertAlign w:val="baseline"/>
                <w:lang w:val="en-US" w:eastAsia="zh-CN"/>
              </w:rPr>
            </w:pPr>
          </w:p>
        </w:tc>
        <w:tc>
          <w:tcPr>
            <w:tcW w:w="1412" w:type="dxa"/>
          </w:tcPr>
          <w:p w14:paraId="52145FE1">
            <w:pPr>
              <w:rPr>
                <w:rFonts w:hint="default"/>
                <w:vertAlign w:val="baseline"/>
                <w:lang w:val="en-US" w:eastAsia="zh-CN"/>
              </w:rPr>
            </w:pPr>
          </w:p>
        </w:tc>
      </w:tr>
      <w:tr w14:paraId="379D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D52D18F">
            <w:pPr>
              <w:ind w:left="0" w:leftChars="0" w:firstLine="0" w:firstLineChars="0"/>
              <w:rPr>
                <w:rFonts w:hint="eastAsia"/>
                <w:vertAlign w:val="baseline"/>
                <w:lang w:val="en-US" w:eastAsia="zh-CN"/>
              </w:rPr>
            </w:pPr>
            <w:r>
              <w:rPr>
                <w:rFonts w:hint="eastAsia"/>
                <w:vertAlign w:val="baseline"/>
                <w:lang w:val="en-US" w:eastAsia="zh-CN"/>
              </w:rPr>
              <w:t>CYP2D6 inhibition</w:t>
            </w:r>
          </w:p>
        </w:tc>
        <w:tc>
          <w:tcPr>
            <w:tcW w:w="1411" w:type="dxa"/>
          </w:tcPr>
          <w:p w14:paraId="424C27BB">
            <w:pPr>
              <w:rPr>
                <w:rFonts w:hint="default"/>
                <w:vertAlign w:val="baseline"/>
                <w:lang w:val="en-US" w:eastAsia="zh-CN"/>
              </w:rPr>
            </w:pPr>
          </w:p>
        </w:tc>
        <w:tc>
          <w:tcPr>
            <w:tcW w:w="1411" w:type="dxa"/>
          </w:tcPr>
          <w:p w14:paraId="050DA7B5">
            <w:pPr>
              <w:rPr>
                <w:rFonts w:hint="default"/>
                <w:vertAlign w:val="baseline"/>
                <w:lang w:val="en-US" w:eastAsia="zh-CN"/>
              </w:rPr>
            </w:pPr>
          </w:p>
        </w:tc>
        <w:tc>
          <w:tcPr>
            <w:tcW w:w="1411" w:type="dxa"/>
          </w:tcPr>
          <w:p w14:paraId="064D0B6F">
            <w:pPr>
              <w:rPr>
                <w:rFonts w:hint="default"/>
                <w:vertAlign w:val="baseline"/>
                <w:lang w:val="en-US" w:eastAsia="zh-CN"/>
              </w:rPr>
            </w:pPr>
          </w:p>
        </w:tc>
        <w:tc>
          <w:tcPr>
            <w:tcW w:w="1412" w:type="dxa"/>
          </w:tcPr>
          <w:p w14:paraId="66FFA693">
            <w:pPr>
              <w:rPr>
                <w:rFonts w:hint="default"/>
                <w:vertAlign w:val="baseline"/>
                <w:lang w:val="en-US" w:eastAsia="zh-CN"/>
              </w:rPr>
            </w:pPr>
          </w:p>
        </w:tc>
        <w:tc>
          <w:tcPr>
            <w:tcW w:w="1412" w:type="dxa"/>
          </w:tcPr>
          <w:p w14:paraId="13B364FB">
            <w:pPr>
              <w:rPr>
                <w:rFonts w:hint="default"/>
                <w:vertAlign w:val="baseline"/>
                <w:lang w:val="en-US" w:eastAsia="zh-CN"/>
              </w:rPr>
            </w:pPr>
          </w:p>
        </w:tc>
      </w:tr>
      <w:tr w14:paraId="2A94A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67757D2">
            <w:pPr>
              <w:ind w:left="0" w:leftChars="0" w:firstLine="0" w:firstLineChars="0"/>
              <w:rPr>
                <w:rFonts w:hint="eastAsia"/>
                <w:vertAlign w:val="baseline"/>
                <w:lang w:val="en-US" w:eastAsia="zh-CN"/>
              </w:rPr>
            </w:pPr>
            <w:r>
              <w:rPr>
                <w:rFonts w:hint="eastAsia"/>
                <w:vertAlign w:val="baseline"/>
                <w:lang w:val="en-US" w:eastAsia="zh-CN"/>
              </w:rPr>
              <w:t>CYP3A4 inhibition</w:t>
            </w:r>
          </w:p>
        </w:tc>
        <w:tc>
          <w:tcPr>
            <w:tcW w:w="1411" w:type="dxa"/>
          </w:tcPr>
          <w:p w14:paraId="762DA999">
            <w:pPr>
              <w:rPr>
                <w:rFonts w:hint="default"/>
                <w:vertAlign w:val="baseline"/>
                <w:lang w:val="en-US" w:eastAsia="zh-CN"/>
              </w:rPr>
            </w:pPr>
          </w:p>
        </w:tc>
        <w:tc>
          <w:tcPr>
            <w:tcW w:w="1411" w:type="dxa"/>
          </w:tcPr>
          <w:p w14:paraId="24EE1D83">
            <w:pPr>
              <w:rPr>
                <w:rFonts w:hint="default"/>
                <w:vertAlign w:val="baseline"/>
                <w:lang w:val="en-US" w:eastAsia="zh-CN"/>
              </w:rPr>
            </w:pPr>
          </w:p>
        </w:tc>
        <w:tc>
          <w:tcPr>
            <w:tcW w:w="1411" w:type="dxa"/>
          </w:tcPr>
          <w:p w14:paraId="4F24253F">
            <w:pPr>
              <w:rPr>
                <w:rFonts w:hint="default"/>
                <w:vertAlign w:val="baseline"/>
                <w:lang w:val="en-US" w:eastAsia="zh-CN"/>
              </w:rPr>
            </w:pPr>
          </w:p>
        </w:tc>
        <w:tc>
          <w:tcPr>
            <w:tcW w:w="1412" w:type="dxa"/>
          </w:tcPr>
          <w:p w14:paraId="5FE1ADF7">
            <w:pPr>
              <w:rPr>
                <w:rFonts w:hint="default"/>
                <w:vertAlign w:val="baseline"/>
                <w:lang w:val="en-US" w:eastAsia="zh-CN"/>
              </w:rPr>
            </w:pPr>
          </w:p>
        </w:tc>
        <w:tc>
          <w:tcPr>
            <w:tcW w:w="1412" w:type="dxa"/>
          </w:tcPr>
          <w:p w14:paraId="0DCB3276">
            <w:pPr>
              <w:rPr>
                <w:rFonts w:hint="default"/>
                <w:vertAlign w:val="baseline"/>
                <w:lang w:val="en-US" w:eastAsia="zh-CN"/>
              </w:rPr>
            </w:pPr>
          </w:p>
        </w:tc>
      </w:tr>
      <w:tr w14:paraId="0A6A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BD2AAD">
            <w:pPr>
              <w:ind w:left="0" w:leftChars="0" w:firstLine="0" w:firstLineChars="0"/>
              <w:rPr>
                <w:rFonts w:hint="eastAsia"/>
                <w:vertAlign w:val="baseline"/>
                <w:lang w:val="en-US" w:eastAsia="zh-CN"/>
              </w:rPr>
            </w:pPr>
            <w:r>
              <w:rPr>
                <w:rFonts w:hint="eastAsia"/>
                <w:vertAlign w:val="baseline"/>
                <w:lang w:val="en-US" w:eastAsia="zh-CN"/>
              </w:rPr>
              <w:t>CYP2C9 inhibition</w:t>
            </w:r>
          </w:p>
        </w:tc>
        <w:tc>
          <w:tcPr>
            <w:tcW w:w="1411" w:type="dxa"/>
          </w:tcPr>
          <w:p w14:paraId="123E7400">
            <w:pPr>
              <w:rPr>
                <w:rFonts w:hint="default"/>
                <w:vertAlign w:val="baseline"/>
                <w:lang w:val="en-US" w:eastAsia="zh-CN"/>
              </w:rPr>
            </w:pPr>
          </w:p>
        </w:tc>
        <w:tc>
          <w:tcPr>
            <w:tcW w:w="1411" w:type="dxa"/>
          </w:tcPr>
          <w:p w14:paraId="46EE05BE">
            <w:pPr>
              <w:rPr>
                <w:rFonts w:hint="default"/>
                <w:vertAlign w:val="baseline"/>
                <w:lang w:val="en-US" w:eastAsia="zh-CN"/>
              </w:rPr>
            </w:pPr>
          </w:p>
        </w:tc>
        <w:tc>
          <w:tcPr>
            <w:tcW w:w="1411" w:type="dxa"/>
          </w:tcPr>
          <w:p w14:paraId="3599C966">
            <w:pPr>
              <w:rPr>
                <w:rFonts w:hint="default"/>
                <w:vertAlign w:val="baseline"/>
                <w:lang w:val="en-US" w:eastAsia="zh-CN"/>
              </w:rPr>
            </w:pPr>
          </w:p>
        </w:tc>
        <w:tc>
          <w:tcPr>
            <w:tcW w:w="1412" w:type="dxa"/>
          </w:tcPr>
          <w:p w14:paraId="1AAB7757">
            <w:pPr>
              <w:rPr>
                <w:rFonts w:hint="default"/>
                <w:vertAlign w:val="baseline"/>
                <w:lang w:val="en-US" w:eastAsia="zh-CN"/>
              </w:rPr>
            </w:pPr>
          </w:p>
        </w:tc>
        <w:tc>
          <w:tcPr>
            <w:tcW w:w="1412" w:type="dxa"/>
          </w:tcPr>
          <w:p w14:paraId="1852407D">
            <w:pPr>
              <w:rPr>
                <w:rFonts w:hint="default"/>
                <w:vertAlign w:val="baseline"/>
                <w:lang w:val="en-US" w:eastAsia="zh-CN"/>
              </w:rPr>
            </w:pPr>
          </w:p>
        </w:tc>
      </w:tr>
      <w:tr w14:paraId="7E6C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01EF22B">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B0E4E20">
            <w:pPr>
              <w:rPr>
                <w:rFonts w:hint="default"/>
                <w:vertAlign w:val="baseline"/>
                <w:lang w:val="en-US" w:eastAsia="zh-CN"/>
              </w:rPr>
            </w:pPr>
          </w:p>
        </w:tc>
        <w:tc>
          <w:tcPr>
            <w:tcW w:w="1411" w:type="dxa"/>
          </w:tcPr>
          <w:p w14:paraId="2BDCA7C8">
            <w:pPr>
              <w:rPr>
                <w:rFonts w:hint="default"/>
                <w:vertAlign w:val="baseline"/>
                <w:lang w:val="en-US" w:eastAsia="zh-CN"/>
              </w:rPr>
            </w:pPr>
          </w:p>
        </w:tc>
        <w:tc>
          <w:tcPr>
            <w:tcW w:w="1411" w:type="dxa"/>
          </w:tcPr>
          <w:p w14:paraId="31BEEDE2">
            <w:pPr>
              <w:rPr>
                <w:rFonts w:hint="default"/>
                <w:vertAlign w:val="baseline"/>
                <w:lang w:val="en-US" w:eastAsia="zh-CN"/>
              </w:rPr>
            </w:pPr>
          </w:p>
        </w:tc>
        <w:tc>
          <w:tcPr>
            <w:tcW w:w="1412" w:type="dxa"/>
          </w:tcPr>
          <w:p w14:paraId="1B47E256">
            <w:pPr>
              <w:rPr>
                <w:rFonts w:hint="default"/>
                <w:vertAlign w:val="baseline"/>
                <w:lang w:val="en-US" w:eastAsia="zh-CN"/>
              </w:rPr>
            </w:pPr>
          </w:p>
        </w:tc>
        <w:tc>
          <w:tcPr>
            <w:tcW w:w="1412" w:type="dxa"/>
          </w:tcPr>
          <w:p w14:paraId="395F812C">
            <w:pPr>
              <w:rPr>
                <w:rFonts w:hint="default"/>
                <w:vertAlign w:val="baseline"/>
                <w:lang w:val="en-US" w:eastAsia="zh-CN"/>
              </w:rPr>
            </w:pPr>
          </w:p>
        </w:tc>
      </w:tr>
      <w:tr w14:paraId="5A41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CAFBD60">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D1219EE">
            <w:pPr>
              <w:rPr>
                <w:rFonts w:hint="default"/>
                <w:vertAlign w:val="baseline"/>
                <w:lang w:val="en-US" w:eastAsia="zh-CN"/>
              </w:rPr>
            </w:pPr>
          </w:p>
        </w:tc>
        <w:tc>
          <w:tcPr>
            <w:tcW w:w="1411" w:type="dxa"/>
          </w:tcPr>
          <w:p w14:paraId="7FB66D56">
            <w:pPr>
              <w:rPr>
                <w:rFonts w:hint="default"/>
                <w:vertAlign w:val="baseline"/>
                <w:lang w:val="en-US" w:eastAsia="zh-CN"/>
              </w:rPr>
            </w:pPr>
          </w:p>
        </w:tc>
        <w:tc>
          <w:tcPr>
            <w:tcW w:w="1411" w:type="dxa"/>
          </w:tcPr>
          <w:p w14:paraId="043A288A">
            <w:pPr>
              <w:rPr>
                <w:rFonts w:hint="default"/>
                <w:vertAlign w:val="baseline"/>
                <w:lang w:val="en-US" w:eastAsia="zh-CN"/>
              </w:rPr>
            </w:pPr>
          </w:p>
        </w:tc>
        <w:tc>
          <w:tcPr>
            <w:tcW w:w="1412" w:type="dxa"/>
          </w:tcPr>
          <w:p w14:paraId="003E52B8">
            <w:pPr>
              <w:rPr>
                <w:rFonts w:hint="default"/>
                <w:vertAlign w:val="baseline"/>
                <w:lang w:val="en-US" w:eastAsia="zh-CN"/>
              </w:rPr>
            </w:pPr>
          </w:p>
        </w:tc>
        <w:tc>
          <w:tcPr>
            <w:tcW w:w="1412" w:type="dxa"/>
          </w:tcPr>
          <w:p w14:paraId="41A272AF">
            <w:pPr>
              <w:rPr>
                <w:rFonts w:hint="default"/>
                <w:vertAlign w:val="baseline"/>
                <w:lang w:val="en-US" w:eastAsia="zh-CN"/>
              </w:rPr>
            </w:pPr>
          </w:p>
        </w:tc>
      </w:tr>
      <w:tr w14:paraId="3BAB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78808CB">
            <w:pPr>
              <w:ind w:left="0" w:leftChars="0" w:firstLine="0" w:firstLineChars="0"/>
              <w:rPr>
                <w:rFonts w:hint="eastAsia"/>
                <w:vertAlign w:val="baseline"/>
                <w:lang w:val="en-US" w:eastAsia="zh-CN"/>
              </w:rPr>
            </w:pPr>
            <w:r>
              <w:rPr>
                <w:rFonts w:hint="eastAsia"/>
                <w:vertAlign w:val="baseline"/>
                <w:lang w:val="en-US" w:eastAsia="zh-CN"/>
              </w:rPr>
              <w:t>Half life</w:t>
            </w:r>
          </w:p>
        </w:tc>
        <w:tc>
          <w:tcPr>
            <w:tcW w:w="1411" w:type="dxa"/>
          </w:tcPr>
          <w:p w14:paraId="2D01FC52">
            <w:pPr>
              <w:rPr>
                <w:rFonts w:hint="default"/>
                <w:vertAlign w:val="baseline"/>
                <w:lang w:val="en-US" w:eastAsia="zh-CN"/>
              </w:rPr>
            </w:pPr>
          </w:p>
        </w:tc>
        <w:tc>
          <w:tcPr>
            <w:tcW w:w="1411" w:type="dxa"/>
          </w:tcPr>
          <w:p w14:paraId="61597153">
            <w:pPr>
              <w:rPr>
                <w:rFonts w:hint="default"/>
                <w:vertAlign w:val="baseline"/>
                <w:lang w:val="en-US" w:eastAsia="zh-CN"/>
              </w:rPr>
            </w:pPr>
          </w:p>
        </w:tc>
        <w:tc>
          <w:tcPr>
            <w:tcW w:w="1411" w:type="dxa"/>
          </w:tcPr>
          <w:p w14:paraId="41C3028D">
            <w:pPr>
              <w:rPr>
                <w:rFonts w:hint="default"/>
                <w:vertAlign w:val="baseline"/>
                <w:lang w:val="en-US" w:eastAsia="zh-CN"/>
              </w:rPr>
            </w:pPr>
          </w:p>
        </w:tc>
        <w:tc>
          <w:tcPr>
            <w:tcW w:w="1412" w:type="dxa"/>
          </w:tcPr>
          <w:p w14:paraId="7B18AA81">
            <w:pPr>
              <w:rPr>
                <w:rFonts w:hint="default"/>
                <w:vertAlign w:val="baseline"/>
                <w:lang w:val="en-US" w:eastAsia="zh-CN"/>
              </w:rPr>
            </w:pPr>
          </w:p>
        </w:tc>
        <w:tc>
          <w:tcPr>
            <w:tcW w:w="1412" w:type="dxa"/>
          </w:tcPr>
          <w:p w14:paraId="6DAEA425">
            <w:pPr>
              <w:rPr>
                <w:rFonts w:hint="default"/>
                <w:vertAlign w:val="baseline"/>
                <w:lang w:val="en-US" w:eastAsia="zh-CN"/>
              </w:rPr>
            </w:pPr>
          </w:p>
        </w:tc>
      </w:tr>
      <w:tr w14:paraId="4821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D9C5AE3">
            <w:pPr>
              <w:ind w:left="0" w:leftChars="0" w:firstLine="0" w:firstLineChars="0"/>
              <w:rPr>
                <w:rFonts w:hint="eastAsia"/>
                <w:vertAlign w:val="baseline"/>
                <w:lang w:val="en-US" w:eastAsia="zh-CN"/>
              </w:rPr>
            </w:pPr>
            <w:r>
              <w:rPr>
                <w:rFonts w:hint="eastAsia"/>
                <w:vertAlign w:val="baseline"/>
                <w:lang w:val="en-US" w:eastAsia="zh-CN"/>
              </w:rPr>
              <w:t>VDss</w:t>
            </w:r>
          </w:p>
        </w:tc>
        <w:tc>
          <w:tcPr>
            <w:tcW w:w="1411" w:type="dxa"/>
          </w:tcPr>
          <w:p w14:paraId="262CC0BC">
            <w:pPr>
              <w:rPr>
                <w:rFonts w:hint="default"/>
                <w:vertAlign w:val="baseline"/>
                <w:lang w:val="en-US" w:eastAsia="zh-CN"/>
              </w:rPr>
            </w:pPr>
          </w:p>
        </w:tc>
        <w:tc>
          <w:tcPr>
            <w:tcW w:w="1411" w:type="dxa"/>
          </w:tcPr>
          <w:p w14:paraId="10B3B964">
            <w:pPr>
              <w:rPr>
                <w:rFonts w:hint="default"/>
                <w:vertAlign w:val="baseline"/>
                <w:lang w:val="en-US" w:eastAsia="zh-CN"/>
              </w:rPr>
            </w:pPr>
          </w:p>
        </w:tc>
        <w:tc>
          <w:tcPr>
            <w:tcW w:w="1411" w:type="dxa"/>
          </w:tcPr>
          <w:p w14:paraId="00236E7B">
            <w:pPr>
              <w:rPr>
                <w:rFonts w:hint="default"/>
                <w:vertAlign w:val="baseline"/>
                <w:lang w:val="en-US" w:eastAsia="zh-CN"/>
              </w:rPr>
            </w:pPr>
          </w:p>
        </w:tc>
        <w:tc>
          <w:tcPr>
            <w:tcW w:w="1412" w:type="dxa"/>
          </w:tcPr>
          <w:p w14:paraId="18CBE28A">
            <w:pPr>
              <w:rPr>
                <w:rFonts w:hint="default"/>
                <w:vertAlign w:val="baseline"/>
                <w:lang w:val="en-US" w:eastAsia="zh-CN"/>
              </w:rPr>
            </w:pPr>
          </w:p>
        </w:tc>
        <w:tc>
          <w:tcPr>
            <w:tcW w:w="1412" w:type="dxa"/>
          </w:tcPr>
          <w:p w14:paraId="450BA4E8">
            <w:pPr>
              <w:rPr>
                <w:rFonts w:hint="default"/>
                <w:vertAlign w:val="baseline"/>
                <w:lang w:val="en-US" w:eastAsia="zh-CN"/>
              </w:rPr>
            </w:pPr>
          </w:p>
        </w:tc>
      </w:tr>
      <w:tr w14:paraId="69BA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C73998">
            <w:pPr>
              <w:ind w:left="0" w:leftChars="0" w:firstLine="0" w:firstLineChars="0"/>
              <w:rPr>
                <w:rFonts w:hint="eastAsia"/>
                <w:vertAlign w:val="baseline"/>
                <w:lang w:val="en-US" w:eastAsia="zh-CN"/>
              </w:rPr>
            </w:pPr>
            <w:r>
              <w:rPr>
                <w:rFonts w:hint="eastAsia"/>
                <w:vertAlign w:val="baseline"/>
                <w:lang w:val="en-US" w:eastAsia="zh-CN"/>
              </w:rPr>
              <w:t>Clearance microsome</w:t>
            </w:r>
          </w:p>
        </w:tc>
        <w:tc>
          <w:tcPr>
            <w:tcW w:w="1411" w:type="dxa"/>
          </w:tcPr>
          <w:p w14:paraId="1038C20F">
            <w:pPr>
              <w:rPr>
                <w:rFonts w:hint="default"/>
                <w:vertAlign w:val="baseline"/>
                <w:lang w:val="en-US" w:eastAsia="zh-CN"/>
              </w:rPr>
            </w:pPr>
          </w:p>
        </w:tc>
        <w:tc>
          <w:tcPr>
            <w:tcW w:w="1411" w:type="dxa"/>
          </w:tcPr>
          <w:p w14:paraId="4CD1130D">
            <w:pPr>
              <w:rPr>
                <w:rFonts w:hint="default"/>
                <w:vertAlign w:val="baseline"/>
                <w:lang w:val="en-US" w:eastAsia="zh-CN"/>
              </w:rPr>
            </w:pPr>
          </w:p>
        </w:tc>
        <w:tc>
          <w:tcPr>
            <w:tcW w:w="1411" w:type="dxa"/>
          </w:tcPr>
          <w:p w14:paraId="602ADBBE">
            <w:pPr>
              <w:rPr>
                <w:rFonts w:hint="default"/>
                <w:vertAlign w:val="baseline"/>
                <w:lang w:val="en-US" w:eastAsia="zh-CN"/>
              </w:rPr>
            </w:pPr>
          </w:p>
        </w:tc>
        <w:tc>
          <w:tcPr>
            <w:tcW w:w="1412" w:type="dxa"/>
          </w:tcPr>
          <w:p w14:paraId="726FF078">
            <w:pPr>
              <w:rPr>
                <w:rFonts w:hint="default"/>
                <w:vertAlign w:val="baseline"/>
                <w:lang w:val="en-US" w:eastAsia="zh-CN"/>
              </w:rPr>
            </w:pPr>
          </w:p>
        </w:tc>
        <w:tc>
          <w:tcPr>
            <w:tcW w:w="1412" w:type="dxa"/>
          </w:tcPr>
          <w:p w14:paraId="147634AA">
            <w:pPr>
              <w:rPr>
                <w:rFonts w:hint="default"/>
                <w:vertAlign w:val="baseline"/>
                <w:lang w:val="en-US" w:eastAsia="zh-CN"/>
              </w:rPr>
            </w:pPr>
          </w:p>
        </w:tc>
      </w:tr>
      <w:tr w14:paraId="6D24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2A8BE9E">
            <w:pPr>
              <w:ind w:left="0" w:leftChars="0" w:firstLine="0" w:firstLineChars="0"/>
              <w:rPr>
                <w:rFonts w:hint="eastAsia"/>
                <w:vertAlign w:val="baseline"/>
                <w:lang w:val="en-US" w:eastAsia="zh-CN"/>
              </w:rPr>
            </w:pPr>
            <w:r>
              <w:rPr>
                <w:rFonts w:hint="eastAsia"/>
                <w:vertAlign w:val="baseline"/>
                <w:lang w:val="en-US" w:eastAsia="zh-CN"/>
              </w:rPr>
              <w:t>Clearance hepatocyte</w:t>
            </w:r>
          </w:p>
        </w:tc>
        <w:tc>
          <w:tcPr>
            <w:tcW w:w="1411" w:type="dxa"/>
          </w:tcPr>
          <w:p w14:paraId="6C738C5C">
            <w:pPr>
              <w:rPr>
                <w:rFonts w:hint="default"/>
                <w:vertAlign w:val="baseline"/>
                <w:lang w:val="en-US" w:eastAsia="zh-CN"/>
              </w:rPr>
            </w:pPr>
          </w:p>
        </w:tc>
        <w:tc>
          <w:tcPr>
            <w:tcW w:w="1411" w:type="dxa"/>
          </w:tcPr>
          <w:p w14:paraId="419BB803">
            <w:pPr>
              <w:rPr>
                <w:rFonts w:hint="default"/>
                <w:vertAlign w:val="baseline"/>
                <w:lang w:val="en-US" w:eastAsia="zh-CN"/>
              </w:rPr>
            </w:pPr>
          </w:p>
        </w:tc>
        <w:tc>
          <w:tcPr>
            <w:tcW w:w="1411" w:type="dxa"/>
          </w:tcPr>
          <w:p w14:paraId="65D17E4F">
            <w:pPr>
              <w:rPr>
                <w:rFonts w:hint="default"/>
                <w:vertAlign w:val="baseline"/>
                <w:lang w:val="en-US" w:eastAsia="zh-CN"/>
              </w:rPr>
            </w:pPr>
          </w:p>
        </w:tc>
        <w:tc>
          <w:tcPr>
            <w:tcW w:w="1412" w:type="dxa"/>
          </w:tcPr>
          <w:p w14:paraId="52F34EC1">
            <w:pPr>
              <w:rPr>
                <w:rFonts w:hint="default"/>
                <w:vertAlign w:val="baseline"/>
                <w:lang w:val="en-US" w:eastAsia="zh-CN"/>
              </w:rPr>
            </w:pPr>
          </w:p>
        </w:tc>
        <w:tc>
          <w:tcPr>
            <w:tcW w:w="1412" w:type="dxa"/>
          </w:tcPr>
          <w:p w14:paraId="136E2D8B">
            <w:pPr>
              <w:rPr>
                <w:rFonts w:hint="default"/>
                <w:vertAlign w:val="baseline"/>
                <w:lang w:val="en-US" w:eastAsia="zh-CN"/>
              </w:rPr>
            </w:pPr>
          </w:p>
        </w:tc>
      </w:tr>
    </w:tbl>
    <w:p w14:paraId="17ED0AB0">
      <w:pPr>
        <w:ind w:left="0" w:leftChars="0" w:firstLine="0" w:firstLineChars="0"/>
        <w:rPr>
          <w:rFonts w:hint="default"/>
          <w:lang w:val="en-US" w:eastAsia="zh-CN"/>
        </w:rPr>
      </w:pP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基于知识增强</w:t>
      </w:r>
      <w:r>
        <w:rPr>
          <w:rFonts w:hint="eastAsia"/>
          <w:lang w:val="en-US" w:eastAsia="zh-CN"/>
        </w:rPr>
        <w:t>与</w:t>
      </w:r>
      <w:r>
        <w:t>图对齐的分子性质预测方法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KGAMA框架概述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0912A60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eastAsia"/>
          <w:lang w:val="en-US" w:eastAsia="zh-CN"/>
        </w:rPr>
        <w:t>，该向量在预训练阶段充当了其他模态对齐的“语义锚点”。</w:t>
      </w:r>
    </w:p>
    <w:p w14:paraId="3E4A7DE5">
      <w:pPr>
        <w:pStyle w:val="4"/>
        <w:bidi w:val="0"/>
        <w:rPr>
          <w:rFonts w:hint="default"/>
          <w:lang w:val="en-US" w:eastAsia="zh-CN"/>
        </w:rPr>
      </w:pPr>
      <w:r>
        <w:rPr>
          <w:rFonts w:hint="eastAsia"/>
          <w:lang w:val="en-US" w:eastAsia="zh-CN"/>
        </w:rPr>
        <w:t>指纹编码器</w:t>
      </w:r>
    </w:p>
    <w:p w14:paraId="7522D1C5">
      <w:pPr>
        <w:bidi w:val="0"/>
        <w:rPr>
          <w:rFonts w:hint="eastAsia"/>
          <w:lang w:val="en-US" w:eastAsia="zh-CN"/>
        </w:rPr>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lang w:val="en-US" w:eastAsia="zh-CN"/>
        </w:rPr>
        <w:t>所</w:t>
      </w:r>
      <w: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oMath>
      <w:r>
        <w:rPr>
          <w:rFonts w:hint="default"/>
          <w:lang w:val="en-US" w:eastAsia="zh-CN"/>
        </w:rPr>
        <w:t xml:space="preserve">，随后经由全连接层映射至与图特征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default"/>
          <w:lang w:val="en-US" w:eastAsia="zh-CN"/>
        </w:rPr>
        <w:t>等维的语义空间，为后续的跨模态对齐奠定维度基础。</w:t>
      </w:r>
    </w:p>
    <w:p w14:paraId="5B6CBE39">
      <w:pPr>
        <w:pStyle w:val="4"/>
        <w:bidi w:val="0"/>
        <w:rPr>
          <w:rFonts w:hint="default"/>
          <w:lang w:val="en-US" w:eastAsia="zh-CN"/>
        </w:rPr>
      </w:pPr>
      <w:r>
        <w:rPr>
          <w:rFonts w:hint="eastAsia"/>
          <w:lang w:val="en-US" w:eastAsia="zh-CN"/>
        </w:rPr>
        <w:t>文本编码器</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oMath>
      <w:r>
        <w:rPr>
          <w:rFonts w:hint="eastAsia"/>
          <w:lang w:val="en-US" w:eastAsia="zh-CN"/>
        </w:rPr>
        <w:t>。</w:t>
      </w:r>
    </w:p>
    <w:p w14:paraId="063DB7DA">
      <w:pPr>
        <w:numPr>
          <w:ilvl w:val="0"/>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rPr>
          <w:rFonts w:hint="default"/>
          <w:lang w:val="en-US" w:eastAsia="zh-CN"/>
        </w:rPr>
      </w:pPr>
      <w:r>
        <w:rPr>
          <w:rFonts w:hint="eastAsia"/>
          <w:lang w:val="en-US" w:eastAsia="zh-CN"/>
        </w:rPr>
        <w:t>融合与预测</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f</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r>
          <m:rPr>
            <m:sty m:val="p"/>
          </m:rPr>
          <w:rPr>
            <w:rFonts w:hint="default" w:ascii="Cambria Math"/>
          </w:rPr>
          <m:t>）</m:t>
        </m:r>
      </m:oMath>
      <w:r>
        <w:rPr>
          <w:rFonts w:hint="default"/>
          <w:lang w:val="en-US" w:eastAsia="zh-CN"/>
        </w:rPr>
        <w:t>的重要性权重</w:t>
      </w:r>
      <m:oMath>
        <m:sSub>
          <m:sSubPr>
            <m:ctrlPr>
              <w:rPr>
                <w:rFonts w:hint="default" w:ascii="Cambria Math"/>
              </w:rPr>
            </m:ctrlPr>
          </m:sSubPr>
          <m:e>
            <m:r>
              <m:rPr/>
              <w:rPr>
                <w:rFonts w:hint="default" w:ascii="Cambria Math"/>
              </w:rPr>
              <m:t>W</m:t>
            </m:r>
            <m:ctrlPr>
              <w:rPr>
                <w:rFonts w:hint="default" w:ascii="Cambria Math"/>
              </w:rPr>
            </m:ctrlPr>
          </m:e>
          <m:sub>
            <m:r>
              <m:rPr/>
              <w:rPr>
                <w:rFonts w:hint="default" w:ascii="Cambria Math"/>
              </w:rPr>
              <m:t>m</m:t>
            </m:r>
            <m:ctrlPr>
              <w:rPr>
                <w:rFonts w:hint="default" w:ascii="Cambria Math"/>
              </w:rPr>
            </m:ctrlPr>
          </m:sub>
        </m:sSub>
      </m:oMath>
      <w:r>
        <w:rPr>
          <w:rFonts w:hint="default"/>
          <w:lang w:val="en-US" w:eastAsia="zh-CN"/>
        </w:rPr>
        <w:t>。性质预测：融合后的全景分子表征被输入至由多层全连接网络构成的预测头（MLP Head），最终输出分子的理化性质或生物活性预测值</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pred</m:t>
            </m:r>
            <m:ctrlPr>
              <w:rPr>
                <w:rFonts w:hint="default" w:ascii="Cambria Math"/>
              </w:rPr>
            </m:ctrlPr>
          </m:sub>
        </m:sSub>
      </m:oMath>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bidi w:val="0"/>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rPr>
          <w:rFonts w:hint="default"/>
          <w:lang w:val="en-US" w:eastAsia="zh-CN"/>
        </w:rPr>
      </w:pPr>
      <w:r>
        <w:rPr>
          <w:rFonts w:hint="eastAsia"/>
          <w:lang w:val="en-US" w:eastAsia="zh-CN"/>
        </w:rPr>
        <w:t>实验设置</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26E48C6E">
      <w:pPr>
        <w:numPr>
          <w:ilvl w:val="0"/>
          <w:numId w:val="5"/>
        </w:numPr>
        <w:rPr>
          <w:rFonts w:hint="default"/>
          <w:lang w:val="en-US" w:eastAsia="zh-CN"/>
        </w:rPr>
      </w:pPr>
      <w:r>
        <w:rPr>
          <w:rFonts w:hint="eastAsia"/>
          <w:lang w:val="en-US" w:eastAsia="zh-CN"/>
        </w:rPr>
        <w:t>预训练参数设置：优化器：采用 AdamW 优化器，以解耦权重衰减（Weight Decay）策略提升模型泛化性，权重衰减系数设为</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。学习率调度：采用带有线性预热的余弦退火策略。初始学习率设为</w:t>
      </w:r>
      <m:oMath>
        <m:r>
          <m:rPr/>
          <w:rPr>
            <w:rFonts w:hint="default" w:ascii="Cambria Math"/>
          </w:rPr>
          <m:t>2</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，预热步数占总步数的 6%，随后逐渐衰减至</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−6</m:t>
            </m:r>
            <m:ctrlPr>
              <w:rPr>
                <w:rFonts w:hint="default" w:ascii="Cambria Math"/>
              </w:rPr>
            </m:ctrlPr>
          </m:sup>
        </m:sSup>
      </m:oMath>
      <w:r>
        <w:rPr>
          <w:rFonts w:hint="eastAsia"/>
          <w:lang w:val="en-US" w:eastAsia="zh-CN"/>
        </w:rPr>
        <w:t xml:space="preserve">。批次与周期：为了保证对比学习中负样本的数量充足，将批次大小设为 256。模型共训练 100 个 Epoch，并在验证集 loss 不再下降时实施早停。对比损失参数：基于 3.3.4 节的参数敏感性实验结果，NT-Xent 损失函数中的温度系数 </w:t>
      </w:r>
      <m:oMath>
        <m:r>
          <m:rPr/>
          <w:rPr>
            <w:rFonts w:hint="default" w:ascii="Cambria Math"/>
          </w:rPr>
          <m:t>τ</m:t>
        </m:r>
      </m:oMath>
      <w:r>
        <w:rPr>
          <w:rFonts w:hint="eastAsia"/>
          <w:lang w:val="en-US" w:eastAsia="zh-CN"/>
        </w:rPr>
        <w:t xml:space="preserve"> 固定为 0.1。自适应加权损失中的可学习噪声参数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初始化为 1.0，并随训练过程自动更新。模型架构参数：Graphormer 编码器包含 6 层 Transformer 层，隐藏层维度设为 256，多头注意力头数设为 8。文本编码器 SciBERT 与序列编码器 RoBERTa 均冻结前 6 层参数，仅微调高层参数以适配分子语义。</w:t>
      </w:r>
    </w:p>
    <w:p w14:paraId="3ACCA3DD">
      <w:pPr>
        <w:numPr>
          <w:ilvl w:val="0"/>
          <w:numId w:val="5"/>
        </w:numPr>
        <w:rPr>
          <w:rFonts w:hint="default"/>
          <w:lang w:val="en-US" w:eastAsia="zh-CN"/>
        </w:rPr>
      </w:pPr>
      <w:r>
        <w:rPr>
          <w:rFonts w:hint="eastAsia"/>
          <w:lang w:val="en-US" w:eastAsia="zh-CN"/>
        </w:rPr>
        <w:t xml:space="preserve">微调参数设置：在下游任务阶段，我们将预训练好的 KGAMA 编码器迁移至 MoleculeNet 的 9 个基准数据集上。为了适应不同规模的数据集，微调策略进行了如下调整：学习率：为了保留预训练特征的先验知识，微调阶段采用较小的学习率，设定为 </w:t>
      </w:r>
      <m:oMath>
        <m:r>
          <m:rPr/>
          <w:rPr>
            <w:rFonts w:hint="default" w:ascii="Cambria Math"/>
          </w:rPr>
          <m:t>5</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−5</m:t>
            </m:r>
            <m:ctrlPr>
              <w:rPr>
                <w:rFonts w:hint="default" w:ascii="Cambria Math"/>
              </w:rPr>
            </m:ctrlPr>
          </m:sup>
        </m:sSup>
      </m:oMath>
      <w:r>
        <w:rPr>
          <w:rFonts w:hint="eastAsia"/>
          <w:lang w:val="en-US" w:eastAsia="zh-CN"/>
        </w:rPr>
        <w:t>。批次大小：设为 32，以适应小样本数据的梯度更新频率。Dropout：在预测头中引入 Dropout 层，丢弃率设为 0.1，以防止在小数据集上过拟合。训练周期：最大训练 100 Epoch，同样配合早停机制（Patience=5）。</w:t>
      </w:r>
    </w:p>
    <w:p w14:paraId="60FEF574">
      <w:pPr>
        <w:pStyle w:val="4"/>
        <w:bidi w:val="0"/>
        <w:rPr>
          <w:rFonts w:hint="default"/>
          <w:lang w:val="en-US" w:eastAsia="zh-CN"/>
        </w:rPr>
      </w:pPr>
      <w:r>
        <w:rPr>
          <w:rFonts w:hint="eastAsia"/>
          <w:lang w:val="en-US" w:eastAsia="zh-CN"/>
        </w:rPr>
        <w:t>评价指标</w:t>
      </w:r>
    </w:p>
    <w:p w14:paraId="01B56067">
      <w:pPr>
        <w:rPr>
          <w:rFonts w:hint="default"/>
          <w:lang w:val="en-US" w:eastAsia="zh-CN"/>
        </w:rPr>
      </w:pPr>
      <w:r>
        <w:rPr>
          <w:rFonts w:hint="default"/>
          <w:lang w:val="en-US" w:eastAsia="zh-CN"/>
        </w:rP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
        <m:r>
          <m:rPr/>
          <w:rPr>
            <w:rFonts w:hint="default" w:ascii="Cambria Math"/>
          </w:rPr>
          <m:t>m</m:t>
        </m:r>
      </m:oMath>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default"/>
                <w:vertAlign w:val="baseline"/>
                <w:lang w:val="en-US" w:eastAsia="zh-CN"/>
              </w:rPr>
              <w:t>KGAMA</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(0.002)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(0.011)</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(0.004)</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default"/>
                <w:color w:val="auto"/>
                <w:vertAlign w:val="baseline"/>
                <w:lang w:val="en-US" w:eastAsia="zh-CN"/>
              </w:rPr>
              <w:t>KGAMA</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综上所述，无论是面向离散的生物活性分类，还是连续的理化性质回归，KGAMA均凭借其“图中心对比学习+多模态知识增强”的复合架构，展现出了超越现有 SOTA 方法的综合性能。</w:t>
      </w:r>
      <w:r>
        <w:rPr>
          <w:rFonts w:hint="eastAsia"/>
          <w:lang w:val="en-US" w:eastAsia="zh-CN"/>
        </w:rPr>
        <w:t xml:space="preserve"> </w:t>
      </w:r>
    </w:p>
    <w:p w14:paraId="61B45477">
      <w:pPr>
        <w:pStyle w:val="4"/>
        <w:bidi w:val="0"/>
        <w:rPr>
          <w:rFonts w:hint="eastAsia"/>
          <w:lang w:val="en-US" w:eastAsia="zh-CN"/>
        </w:rPr>
      </w:pPr>
      <w:r>
        <w:rPr>
          <w:rFonts w:hint="eastAsia"/>
          <w:lang w:val="en-US" w:eastAsia="zh-CN"/>
        </w:rPr>
        <w:t>消融实验</w:t>
      </w:r>
    </w:p>
    <w:p w14:paraId="2D9D2EE0">
      <w:pPr>
        <w:pageBreakBefore w:val="0"/>
        <w:kinsoku/>
        <w:wordWrap/>
        <w:overflowPunct/>
        <w:topLinePunct w:val="0"/>
        <w:autoSpaceDE/>
        <w:autoSpaceDN/>
        <w:bidi w:val="0"/>
        <w:adjustRightInd/>
        <w:spacing w:beforeAutospacing="0" w:afterAutospacing="0" w:line="360" w:lineRule="auto"/>
        <w:textAlignment w:val="auto"/>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2CD2EFFC">
      <w:pPr>
        <w:pageBreakBefore w:val="0"/>
        <w:kinsoku/>
        <w:wordWrap/>
        <w:overflowPunct/>
        <w:topLinePunct w:val="0"/>
        <w:autoSpaceDE/>
        <w:autoSpaceDN/>
        <w:bidi w:val="0"/>
        <w:adjustRightInd/>
        <w:spacing w:beforeAutospacing="0" w:afterAutospacing="0" w:line="360" w:lineRule="auto"/>
        <w:textAlignment w:val="auto"/>
        <w:rPr>
          <w:rFonts w:hint="eastAsia"/>
        </w:rPr>
      </w:pPr>
      <w:r>
        <w:rPr>
          <w:rFonts w:hint="eastAsia"/>
        </w:rPr>
        <w:t>本文以分子图（Graph）作为核心语义锚点，逐步引入其他辅助模态，具体变体定义如下：</w:t>
      </w:r>
    </w:p>
    <w:p w14:paraId="5E9D9D27">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i w:val="0"/>
          <w:lang w:eastAsia="zh-CN"/>
        </w:rPr>
        <w:t>：</w:t>
      </w:r>
      <w:r>
        <w:rPr>
          <w:rFonts w:hint="eastAsia"/>
        </w:rPr>
        <w:t>基准模型</w:t>
      </w:r>
      <w:r>
        <w:rPr>
          <w:rFonts w:hint="eastAsia"/>
          <w:lang w:eastAsia="zh-CN"/>
        </w:rPr>
        <w:t>，</w:t>
      </w:r>
      <w:r>
        <w:rPr>
          <w:rFonts w:hint="eastAsia"/>
        </w:rPr>
        <w:t>仅保留图编码器分支，采用 Graphormer 提取分子拓扑特征，作为下游任务的单一输入源，用于评估纯结构视角的预测基线。</w:t>
      </w:r>
    </w:p>
    <w:p w14:paraId="2E5ED948">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m:t>
            </m:r>
            <m:ctrlPr>
              <w:rPr>
                <w:rFonts w:hint="default" w:ascii="Cambria Math"/>
              </w:rPr>
            </m:ctrlPr>
          </m:sub>
        </m:sSub>
      </m:oMath>
      <w:r>
        <w:rPr>
          <w:rFonts w:hint="eastAsia"/>
          <w:i w:val="0"/>
          <w:lang w:eastAsia="zh-CN"/>
        </w:rPr>
        <w:t>：</w:t>
      </w:r>
      <w:r>
        <w:rPr>
          <w:rFonts w:hint="eastAsia"/>
        </w:rPr>
        <w:t>结构增强</w:t>
      </w:r>
      <w:r>
        <w:rPr>
          <w:rFonts w:hint="eastAsia"/>
          <w:lang w:eastAsia="zh-CN"/>
        </w:rPr>
        <w:t>。</w:t>
      </w:r>
      <w:r>
        <w:rPr>
          <w:rFonts w:hint="eastAsia"/>
        </w:rPr>
        <w:t xml:space="preserve">在 </w:t>
      </w: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rPr>
        <w:t xml:space="preserve"> 基础上引入分子指纹模态（Fingerprint），旨在补充图神经网络可能遗漏的全局子结构统计信息。</w:t>
      </w:r>
    </w:p>
    <w:p w14:paraId="09680EE9">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G+F+S</m:t>
            </m:r>
            <m:ctrlPr>
              <w:rPr>
                <w:rFonts w:hint="default" w:ascii="Cambria Math"/>
              </w:rPr>
            </m:ctrlPr>
          </m:sub>
        </m:sSub>
      </m:oMath>
      <w:r>
        <w:rPr>
          <w:rFonts w:hint="eastAsia"/>
          <w:i w:val="0"/>
          <w:lang w:eastAsia="zh-CN"/>
        </w:rPr>
        <w:t>：</w:t>
      </w:r>
      <w:r>
        <w:rPr>
          <w:rFonts w:hint="eastAsia"/>
        </w:rPr>
        <w:t>序列增强</w:t>
      </w:r>
      <w:r>
        <w:rPr>
          <w:rFonts w:hint="eastAsia"/>
          <w:lang w:eastAsia="zh-CN"/>
        </w:rPr>
        <w:t>，</w:t>
      </w:r>
      <w:r>
        <w:rPr>
          <w:rFonts w:hint="eastAsia"/>
        </w:rPr>
        <w:t>进一步融合 SMILES 序列模态，利用 Transformer 捕获分子的线性化学语法与长程依赖。</w:t>
      </w:r>
    </w:p>
    <w:p w14:paraId="11924304">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Concat</m:t>
            </m:r>
            <m:ctrlPr>
              <w:rPr>
                <w:rFonts w:hint="default" w:ascii="Cambria Math"/>
              </w:rPr>
            </m:ctrlPr>
          </m:sub>
        </m:sSub>
      </m:oMath>
      <w:r>
        <w:rPr>
          <w:rFonts w:hint="eastAsia"/>
          <w:i w:val="0"/>
          <w:lang w:eastAsia="zh-CN"/>
        </w:rPr>
        <w:t>：</w:t>
      </w:r>
      <w:r>
        <w:rPr>
          <w:rFonts w:hint="eastAsia"/>
        </w:rPr>
        <w:t>静态融合</w:t>
      </w:r>
      <w:r>
        <w:rPr>
          <w:rFonts w:hint="eastAsia"/>
          <w:lang w:eastAsia="zh-CN"/>
        </w:rPr>
        <w:t>，</w:t>
      </w:r>
      <w:r>
        <w:rPr>
          <w:rFonts w:hint="eastAsia"/>
        </w:rPr>
        <w:t>采用完整的四模态输入（G+F+S+Text），但通过简单的特征拼接（Concatenation）方式进行融合，用于评估多模态信息的原始叠加效应。</w:t>
      </w:r>
    </w:p>
    <w:p w14:paraId="2A9EE9C9">
      <w:pPr>
        <w:pageBreakBefore w:val="0"/>
        <w:kinsoku/>
        <w:wordWrap/>
        <w:overflowPunct/>
        <w:topLinePunct w:val="0"/>
        <w:autoSpaceDE/>
        <w:autoSpaceDN/>
        <w:bidi w:val="0"/>
        <w:adjustRightInd/>
        <w:spacing w:beforeAutospacing="0" w:afterAutospacing="0" w:line="360" w:lineRule="auto"/>
        <w:textAlignment w:val="auto"/>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Full</m:t>
            </m:r>
            <m:ctrlPr>
              <w:rPr>
                <w:rFonts w:hint="default" w:ascii="Cambria Math"/>
              </w:rPr>
            </m:ctrlPr>
          </m:sub>
        </m:sSub>
      </m:oMath>
      <w:r>
        <w:rPr>
          <w:rFonts w:hint="eastAsia"/>
          <w:i w:val="0"/>
          <w:lang w:val="en-US" w:eastAsia="zh-CN"/>
        </w:rPr>
        <w:t>:</w:t>
      </w:r>
      <w:r>
        <w:rPr>
          <w:rFonts w:hint="eastAsia"/>
        </w:rPr>
        <w:t>完整模型</w:t>
      </w:r>
      <w:r>
        <w:rPr>
          <w:rFonts w:hint="eastAsia"/>
          <w:lang w:val="en-US" w:eastAsia="zh-CN"/>
        </w:rPr>
        <w:t>,</w:t>
      </w:r>
      <w:r>
        <w:rPr>
          <w:rFonts w:hint="eastAsia"/>
        </w:rPr>
        <w:t>本文提出的最终形态，即在四模态基础上引入交叉注意力（Cross-Attention）机制，实现特征的动态自适应融合。</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图 3-X 与图 3-Y 的实验结果清晰地揭示了模态间的互补规律与交叉注意力机制的关键作用。首先，从单模态基准来看，仅依赖分子图的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已在多个任务上（如 BACE AUROC 0.825）展现出良好的预测基础，验证了 Graphormer 在提取拓扑特征方面的有效性。在此基础上，引入分子指纹后的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在几乎所有任务上均实现了性能跃升，特别是在 Lipo 亲脂性预测任务中 RMSE 的显著降低，表明指纹特征能有效弥补图网络在特定官能团计数方面的短板。随后，</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的进一步提升证明了序列模态提供的线性视角与图结构的二维视角具有良好的互补性。更重要的是，对比</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Concat</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与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Full</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的结果发现，交叉注意力机制起到了决定性的“智库”作用：</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 xml:space="preserve">（0.941）显著优于 </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Concat</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969260" cy="237617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
        <m:r>
          <m:rPr/>
          <w:rPr>
            <w:rFonts w:hint="default" w:ascii="Cambria Math"/>
          </w:rPr>
          <m:t>τ</m:t>
        </m:r>
      </m:oMath>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
        <m:r>
          <m:rPr/>
          <w:rPr>
            <w:rFonts w:hint="default" w:ascii="Cambria Math"/>
          </w:rPr>
          <m:t>τ</m:t>
        </m:r>
      </m:oMath>
      <w:r>
        <w:rPr>
          <w:rFonts w:hint="default"/>
          <w:lang w:val="en-US" w:eastAsia="zh-CN"/>
        </w:rPr>
        <w:t>值（取值范围</w:t>
      </w:r>
      <m:oMath>
        <m:r>
          <m:rPr/>
          <w:rPr>
            <w:rFonts w:hint="default" w:ascii="Cambria Math"/>
          </w:rPr>
          <m:t>{0.05,0.1,0.2,0.5,1.0}</m:t>
        </m:r>
      </m:oMath>
      <w:r>
        <w:rPr>
          <w:rFonts w:hint="default"/>
          <w:lang w:val="en-US" w:eastAsia="zh-CN"/>
        </w:rPr>
        <w:t xml:space="preserve">）的变化曲线。从图中可以观察到明显的“倒 U 型”趋势，具体分析如下：过小的 </w:t>
      </w:r>
      <m:oMath>
        <m:r>
          <m:rPr/>
          <w:rPr>
            <w:rFonts w:hint="default" w:ascii="Cambria Math"/>
          </w:rPr>
          <m:t>τ</m:t>
        </m:r>
      </m:oMath>
      <w:r>
        <w:rPr>
          <w:rFonts w:hint="default"/>
          <w:lang w:val="en-US" w:eastAsia="zh-CN"/>
        </w:rP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hint="default" w:ascii="Cambria Math"/>
          </w:rPr>
          <m:t>τ</m:t>
        </m:r>
      </m:oMath>
      <w:r>
        <w:rPr>
          <w:rFonts w:hint="default"/>
          <w:lang w:val="en-US" w:eastAsia="zh-CN"/>
        </w:rPr>
        <w:t xml:space="preserve"> (0.5 - 1.0)：随着温度系数增大，分布趋于平滑，模型对不同负样本的区分能力减弱。当 </w:t>
      </w:r>
      <m:oMath>
        <m:r>
          <m:rPr/>
          <w:rPr>
            <w:rFonts w:hint="default" w:ascii="Cambria Math"/>
          </w:rPr>
          <m:t>τ=1.0</m:t>
        </m:r>
      </m:oMath>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
        <m:r>
          <m:rPr/>
          <w:rPr>
            <w:rFonts w:hint="default" w:ascii="Cambria Math"/>
          </w:rPr>
          <m:t>τ</m:t>
        </m:r>
      </m:oMath>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hint="default" w:ascii="Cambria Math"/>
          </w:rPr>
          <m:t>τ</m:t>
        </m:r>
      </m:oMath>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2AF39311">
      <w:pPr>
        <w:rPr>
          <w:rFonts w:hint="default"/>
          <w:lang w:val="en-US" w:eastAsia="zh-CN"/>
        </w:rPr>
      </w:pPr>
      <w:r>
        <w:rPr>
          <w:rFonts w:hint="default"/>
          <w:lang w:val="en-US" w:eastAsia="zh-CN"/>
        </w:rP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1CD5E04">
      <w:pPr>
        <w:rPr>
          <w:rFonts w:hint="default"/>
          <w:lang w:val="en-US" w:eastAsia="zh-CN"/>
        </w:rPr>
      </w:pPr>
      <w:r>
        <w:rPr>
          <w:rFonts w:hint="default"/>
          <w:lang w:val="en-US" w:eastAsia="zh-CN"/>
        </w:rP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rFonts w:hint="default"/>
          <w:color w:val="E54C5E" w:themeColor="accent6"/>
          <w:lang w:val="en-US" w:eastAsia="zh-CN"/>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rPr>
          <w:rFonts w:hint="default"/>
          <w:lang w:val="en-US" w:eastAsia="zh-CN"/>
        </w:rPr>
        <w:t>。最后，参数敏感性分析验证了模型核心超参数的鲁棒性。</w:t>
      </w:r>
    </w:p>
    <w:p w14:paraId="22A99C8D">
      <w:pPr>
        <w:rPr>
          <w:rFonts w:hint="default"/>
          <w:lang w:val="en-US" w:eastAsia="zh-CN"/>
        </w:rPr>
      </w:pPr>
    </w:p>
    <w:p w14:paraId="20C91683">
      <w:pPr>
        <w:rPr>
          <w:rFonts w:hint="default"/>
          <w:lang w:val="en-US" w:eastAsia="zh-CN"/>
        </w:rPr>
      </w:pPr>
      <w:r>
        <w:rPr>
          <w:rFonts w:hint="default"/>
          <w:lang w:val="en-US" w:eastAsia="zh-CN"/>
        </w:rPr>
        <w:t>综上所述，本章提出的方法不仅在预测精度上刷新了多项记录，更在模型的可解释性与泛化能力上取得了显著突破，为后续的药物分子筛选与优化提供了可靠的计算工具。</w:t>
      </w:r>
    </w:p>
    <w:p w14:paraId="0DF19E9A">
      <w:pPr>
        <w:rPr>
          <w:rFonts w:hint="default"/>
          <w:lang w:val="en-US" w:eastAsia="zh-CN"/>
        </w:rPr>
      </w:pPr>
    </w:p>
    <w:p w14:paraId="56729DB7">
      <w:pPr>
        <w:rPr>
          <w:rFonts w:hint="default"/>
          <w:lang w:val="en-US" w:eastAsia="zh-CN"/>
        </w:rPr>
      </w:pPr>
    </w:p>
    <w:p w14:paraId="1D5CBAC7">
      <w:pPr>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1BCBA1BC"/>
    <w:multiLevelType w:val="singleLevel"/>
    <w:tmpl w:val="1BCBA1BC"/>
    <w:lvl w:ilvl="0" w:tentative="0">
      <w:start w:val="1"/>
      <w:numFmt w:val="decimal"/>
      <w:suff w:val="space"/>
      <w:lvlText w:val="%1."/>
      <w:lvlJc w:val="left"/>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1F64D0F"/>
    <w:rsid w:val="02E1776D"/>
    <w:rsid w:val="03AE3AF3"/>
    <w:rsid w:val="0433224A"/>
    <w:rsid w:val="05A849B2"/>
    <w:rsid w:val="064F49ED"/>
    <w:rsid w:val="06510766"/>
    <w:rsid w:val="06B62CBE"/>
    <w:rsid w:val="06E11AE9"/>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B94550"/>
    <w:rsid w:val="3B40257B"/>
    <w:rsid w:val="3B7566C9"/>
    <w:rsid w:val="3BA7755B"/>
    <w:rsid w:val="3BB16FD5"/>
    <w:rsid w:val="3BDD426E"/>
    <w:rsid w:val="3D143CBF"/>
    <w:rsid w:val="3D2B25F8"/>
    <w:rsid w:val="3D6119C4"/>
    <w:rsid w:val="3DA94408"/>
    <w:rsid w:val="3E047E0A"/>
    <w:rsid w:val="3E412892"/>
    <w:rsid w:val="3E4800C5"/>
    <w:rsid w:val="3F0F0BE2"/>
    <w:rsid w:val="3F12422F"/>
    <w:rsid w:val="3F32042D"/>
    <w:rsid w:val="3FC65745"/>
    <w:rsid w:val="40BB2DD0"/>
    <w:rsid w:val="40E90FBF"/>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B352DC"/>
    <w:rsid w:val="45CB21F7"/>
    <w:rsid w:val="45CF4C28"/>
    <w:rsid w:val="45ED3300"/>
    <w:rsid w:val="482F17FF"/>
    <w:rsid w:val="48A77906"/>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D513C0"/>
    <w:rsid w:val="621C33F7"/>
    <w:rsid w:val="621E4B15"/>
    <w:rsid w:val="634E31D8"/>
    <w:rsid w:val="637C5F97"/>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745D74"/>
    <w:rsid w:val="6F9562E9"/>
    <w:rsid w:val="6FD1766A"/>
    <w:rsid w:val="6FE27182"/>
    <w:rsid w:val="70756248"/>
    <w:rsid w:val="709B2013"/>
    <w:rsid w:val="70AF4C91"/>
    <w:rsid w:val="71146562"/>
    <w:rsid w:val="71267542"/>
    <w:rsid w:val="71706A0F"/>
    <w:rsid w:val="723D2D95"/>
    <w:rsid w:val="7248226E"/>
    <w:rsid w:val="72783DCD"/>
    <w:rsid w:val="72B666A4"/>
    <w:rsid w:val="72EC6569"/>
    <w:rsid w:val="72F21DD2"/>
    <w:rsid w:val="73C51294"/>
    <w:rsid w:val="74C07CAE"/>
    <w:rsid w:val="752E2E69"/>
    <w:rsid w:val="75A803EA"/>
    <w:rsid w:val="75ED062E"/>
    <w:rsid w:val="764861AD"/>
    <w:rsid w:val="76E2215D"/>
    <w:rsid w:val="771B020D"/>
    <w:rsid w:val="77435AB2"/>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qFormat/>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6375</Words>
  <Characters>7438</Characters>
  <Lines>0</Lines>
  <Paragraphs>0</Paragraphs>
  <TotalTime>4184</TotalTime>
  <ScaleCrop>false</ScaleCrop>
  <LinksUpToDate>false</LinksUpToDate>
  <CharactersWithSpaces>7573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2026-02-14T15:16:23Z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