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pPr>
      <w:commentRangeStart w:id="0"/>
      <w:r>
        <w:rPr>
          <w:rFonts w:hint="eastAsia"/>
          <w:b/>
          <w:bCs/>
          <w:sz w:val="32"/>
        </w:rPr>
        <w:t>分</w:t>
      </w:r>
      <w:commentRangeEnd w:id="0"/>
      <w:r>
        <w:commentReference w:id="0"/>
      </w:r>
      <w:r>
        <w:rPr>
          <w:rFonts w:hint="eastAsia"/>
          <w:b/>
          <w:bCs/>
          <w:sz w:val="32"/>
        </w:rPr>
        <w:t>类号</w:t>
      </w:r>
      <w:r>
        <w:rPr>
          <w:rFonts w:hint="eastAsia"/>
        </w:rPr>
        <w:t xml:space="preserve">                                                      </w:t>
      </w:r>
      <w:r>
        <w:rPr>
          <w:rFonts w:hint="eastAsia"/>
          <w:sz w:val="32"/>
        </w:rPr>
        <w:t>密级</w:t>
      </w:r>
      <w:r>
        <w:rPr>
          <w:rFonts w:hint="eastAsia"/>
        </w:rPr>
        <w:t xml:space="preserve">          </w:t>
      </w:r>
    </w:p>
    <w:p>
      <w:pPr>
        <w:ind w:firstLine="0" w:firstLineChars="0"/>
        <w:jc w:val="left"/>
        <w:rPr>
          <w:sz w:val="36"/>
        </w:rPr>
      </w:pPr>
    </w:p>
    <w:p>
      <w:pPr>
        <w:spacing w:line="240" w:lineRule="auto"/>
        <w:ind w:firstLine="0" w:firstLineChars="0"/>
        <w:jc w:val="center"/>
        <w:rPr>
          <w:rFonts w:hint="eastAsia" w:ascii="仿宋_GB2312" w:hAnsi="仿宋" w:eastAsia="仿宋_GB2312"/>
          <w:sz w:val="52"/>
        </w:rPr>
      </w:pPr>
      <w:r>
        <w:rPr>
          <w:rFonts w:hint="eastAsia" w:ascii="仿宋_GB2312" w:hAnsi="仿宋" w:eastAsia="仿宋_GB2312"/>
          <w:b/>
          <w:bCs/>
          <w:sz w:val="48"/>
        </w:rPr>
        <w:t>中 国 地 质 大 学（北京）</w:t>
      </w:r>
    </w:p>
    <w:p>
      <w:pPr>
        <w:spacing w:before="163" w:beforeLines="50"/>
        <w:ind w:firstLine="0" w:firstLineChars="0"/>
        <w:jc w:val="center"/>
        <w:rPr>
          <w:rFonts w:hint="eastAsia" w:ascii="仿宋_GB2312" w:hAnsi="仿宋" w:eastAsia="仿宋_GB2312"/>
          <w:b/>
          <w:bCs/>
          <w:spacing w:val="122"/>
          <w:sz w:val="72"/>
        </w:rPr>
      </w:pPr>
      <w:r>
        <w:rPr>
          <w:rFonts w:hint="eastAsia" w:ascii="仿宋_GB2312" w:hAnsi="仿宋" w:eastAsia="仿宋_GB2312"/>
          <w:b/>
          <w:bCs/>
          <w:spacing w:val="122"/>
          <w:sz w:val="72"/>
        </w:rPr>
        <w:t>专业硕士学位论文</w:t>
      </w:r>
    </w:p>
    <w:p>
      <w:pPr>
        <w:spacing w:before="163" w:beforeLines="50"/>
        <w:ind w:firstLine="0" w:firstLineChars="0"/>
        <w:jc w:val="center"/>
        <w:rPr>
          <w:b/>
          <w:bCs/>
          <w:spacing w:val="122"/>
          <w:sz w:val="44"/>
        </w:rPr>
      </w:pPr>
    </w:p>
    <w:p>
      <w:pPr>
        <w:spacing w:before="163" w:beforeLines="50"/>
        <w:ind w:firstLine="0" w:firstLineChars="0"/>
        <w:jc w:val="center"/>
        <w:rPr>
          <w:b/>
          <w:bCs/>
          <w:spacing w:val="122"/>
          <w:sz w:val="44"/>
        </w:rPr>
      </w:pPr>
    </w:p>
    <w:p>
      <w:pPr>
        <w:spacing w:before="163" w:beforeLines="50"/>
        <w:ind w:firstLine="0" w:firstLineChars="0"/>
        <w:jc w:val="center"/>
        <w:rPr>
          <w:rFonts w:eastAsia="黑体"/>
          <w:b/>
          <w:bCs/>
          <w:kern w:val="0"/>
          <w:sz w:val="52"/>
        </w:rPr>
      </w:pPr>
      <w:bookmarkStart w:id="0" w:name="OLE_LINK7"/>
      <w:r>
        <w:rPr>
          <w:rFonts w:hint="eastAsia" w:eastAsia="黑体"/>
          <w:b/>
          <w:bCs/>
          <w:kern w:val="0"/>
          <w:sz w:val="52"/>
        </w:rPr>
        <w:t>基于多模态学习的药物分子性质</w:t>
      </w:r>
    </w:p>
    <w:p>
      <w:pPr>
        <w:spacing w:before="163" w:beforeLines="50"/>
        <w:ind w:firstLine="0" w:firstLineChars="0"/>
        <w:jc w:val="center"/>
        <w:rPr>
          <w:rFonts w:eastAsia="黑体"/>
          <w:b/>
          <w:bCs/>
          <w:sz w:val="52"/>
        </w:rPr>
      </w:pPr>
      <w:r>
        <w:rPr>
          <w:rFonts w:hint="eastAsia" w:eastAsia="黑体"/>
          <w:b/>
          <w:bCs/>
          <w:kern w:val="0"/>
          <w:sz w:val="52"/>
        </w:rPr>
        <w:t>预测研究</w:t>
      </w:r>
    </w:p>
    <w:bookmarkEnd w:id="0"/>
    <w:p>
      <w:pPr>
        <w:spacing w:before="163" w:beforeLines="50"/>
        <w:ind w:left="-2" w:leftChars="-1" w:firstLine="2" w:firstLineChars="0"/>
        <w:rPr>
          <w:b/>
          <w:bCs/>
        </w:rPr>
      </w:pPr>
    </w:p>
    <w:p>
      <w:pPr>
        <w:spacing w:before="163" w:beforeLines="50"/>
        <w:ind w:firstLine="0" w:firstLineChars="0"/>
        <w:rPr>
          <w:b/>
          <w:bCs/>
        </w:rPr>
      </w:pPr>
    </w:p>
    <w:p>
      <w:pPr>
        <w:adjustRightInd w:val="0"/>
        <w:snapToGrid w:val="0"/>
        <w:spacing w:before="326" w:beforeLines="100" w:line="240" w:lineRule="auto"/>
        <w:ind w:firstLine="321" w:firstLineChars="100"/>
        <w:rPr>
          <w:rFonts w:eastAsia="仿宋_GB2312"/>
          <w:b/>
          <w:bCs/>
          <w:sz w:val="32"/>
        </w:rPr>
      </w:pPr>
      <w:r>
        <w:rPr>
          <w:rFonts w:hint="eastAsia" w:eastAsia="仿宋_GB2312"/>
          <w:b/>
          <w:bCs/>
          <w:sz w:val="32"/>
        </w:rPr>
        <w:t>研 究 生</w:t>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 xml:space="preserve">      范帅尧      </w:t>
      </w:r>
      <w:r>
        <w:rPr>
          <w:rFonts w:hint="eastAsia" w:eastAsia="仿宋_GB2312"/>
          <w:b/>
          <w:bCs/>
          <w:spacing w:val="14"/>
          <w:sz w:val="32"/>
        </w:rPr>
        <w:t>学    号</w:t>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 xml:space="preserve">    </w:t>
      </w:r>
      <w:r>
        <w:rPr>
          <w:rFonts w:eastAsia="仿宋_GB2312"/>
          <w:b/>
          <w:bCs/>
          <w:sz w:val="32"/>
          <w:u w:val="single"/>
        </w:rPr>
        <w:t>2104230025</w:t>
      </w:r>
      <w:r>
        <w:rPr>
          <w:rFonts w:hint="eastAsia" w:eastAsia="仿宋_GB2312"/>
          <w:b/>
          <w:bCs/>
          <w:sz w:val="32"/>
          <w:u w:val="single"/>
        </w:rPr>
        <w:t xml:space="preserve">    </w:t>
      </w:r>
    </w:p>
    <w:p>
      <w:pPr>
        <w:tabs>
          <w:tab w:val="left" w:pos="1680"/>
        </w:tabs>
        <w:spacing w:before="326" w:beforeLines="100" w:line="240" w:lineRule="auto"/>
        <w:ind w:firstLine="321" w:firstLineChars="100"/>
        <w:rPr>
          <w:rFonts w:eastAsia="仿宋_GB2312"/>
          <w:b/>
          <w:bCs/>
          <w:sz w:val="32"/>
          <w:u w:val="single"/>
        </w:rPr>
      </w:pPr>
      <w:r>
        <w:rPr>
          <w:rFonts w:hint="eastAsia" w:eastAsia="仿宋_GB2312"/>
          <w:b/>
          <w:bCs/>
          <w:sz w:val="32"/>
        </w:rPr>
        <w:t>专业学位类别</w:t>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 xml:space="preserve">  电子信息    </w:t>
      </w:r>
      <w:r>
        <w:rPr>
          <w:rFonts w:hint="eastAsia" w:eastAsia="仿宋_GB2312"/>
          <w:b/>
          <w:bCs/>
          <w:sz w:val="32"/>
        </w:rPr>
        <w:t>专     业</w:t>
      </w:r>
      <w:r>
        <w:rPr>
          <w:rFonts w:hint="eastAsia" w:eastAsia="仿宋_GB2312"/>
          <w:b/>
          <w:bCs/>
          <w:spacing w:val="14"/>
          <w:sz w:val="32"/>
          <w:u w:val="single"/>
        </w:rPr>
        <w:tab/>
      </w:r>
      <w:r>
        <w:rPr>
          <w:rFonts w:hint="eastAsia" w:eastAsia="仿宋_GB2312"/>
          <w:b/>
          <w:bCs/>
          <w:spacing w:val="14"/>
          <w:sz w:val="32"/>
          <w:u w:val="single"/>
        </w:rPr>
        <w:tab/>
      </w:r>
      <w:r>
        <w:rPr>
          <w:rFonts w:hint="eastAsia" w:eastAsia="仿宋_GB2312"/>
          <w:b/>
          <w:bCs/>
          <w:spacing w:val="14"/>
          <w:sz w:val="32"/>
          <w:u w:val="single"/>
        </w:rPr>
        <w:tab/>
      </w:r>
      <w:r>
        <w:rPr>
          <w:rFonts w:hint="eastAsia" w:eastAsia="仿宋_GB2312"/>
          <w:b/>
          <w:bCs/>
          <w:spacing w:val="14"/>
          <w:sz w:val="32"/>
          <w:u w:val="single"/>
        </w:rPr>
        <w:tab/>
      </w:r>
      <w:r>
        <w:rPr>
          <w:rFonts w:hint="eastAsia" w:eastAsia="仿宋_GB2312"/>
          <w:b/>
          <w:bCs/>
          <w:spacing w:val="14"/>
          <w:sz w:val="32"/>
          <w:u w:val="single"/>
        </w:rPr>
        <w:tab/>
      </w:r>
      <w:r>
        <w:rPr>
          <w:rFonts w:hint="eastAsia" w:eastAsia="仿宋_GB2312"/>
          <w:b/>
          <w:bCs/>
          <w:spacing w:val="14"/>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thick"/>
        </w:rPr>
        <w:t xml:space="preserve">    计算机技术    </w:t>
      </w:r>
    </w:p>
    <w:p>
      <w:pPr>
        <w:spacing w:before="326" w:beforeLines="100" w:line="240" w:lineRule="auto"/>
        <w:ind w:firstLine="321" w:firstLineChars="100"/>
        <w:rPr>
          <w:rFonts w:eastAsia="仿宋_GB2312"/>
          <w:b/>
          <w:bCs/>
          <w:sz w:val="32"/>
          <w:u w:val="single"/>
        </w:rPr>
      </w:pPr>
      <w:r>
        <w:rPr>
          <w:rFonts w:hint="eastAsia" w:eastAsia="仿宋_GB2312"/>
          <w:b/>
          <w:bCs/>
          <w:sz w:val="32"/>
        </w:rPr>
        <w:t>校内导师</w:t>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 xml:space="preserve">      牛云云      </w:t>
      </w:r>
      <w:r>
        <w:rPr>
          <w:rFonts w:hint="eastAsia" w:eastAsia="仿宋_GB2312"/>
          <w:b/>
          <w:bCs/>
          <w:sz w:val="32"/>
        </w:rPr>
        <w:t>产业导师</w:t>
      </w:r>
      <w:r>
        <w:rPr>
          <w:rFonts w:hint="eastAsia" w:eastAsia="仿宋_GB2312"/>
          <w:b/>
          <w:bCs/>
          <w:spacing w:val="14"/>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 xml:space="preserve">     张永虹        </w:t>
      </w:r>
    </w:p>
    <w:p>
      <w:pPr>
        <w:spacing w:before="326" w:beforeLines="100" w:line="240" w:lineRule="auto"/>
        <w:ind w:firstLine="321" w:firstLineChars="100"/>
        <w:rPr>
          <w:rFonts w:eastAsia="仿宋_GB2312"/>
          <w:b/>
          <w:bCs/>
          <w:sz w:val="32"/>
          <w:u w:val="thick"/>
        </w:rPr>
      </w:pPr>
      <w:r>
        <w:rPr>
          <w:rFonts w:hint="eastAsia" w:eastAsia="仿宋_GB2312"/>
          <w:b/>
          <w:bCs/>
          <w:sz w:val="32"/>
        </w:rPr>
        <w:t>学习方式</w:t>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thick"/>
        </w:rPr>
        <w:t xml:space="preserve">                 全日制                      </w:t>
      </w:r>
    </w:p>
    <w:p>
      <w:pPr>
        <w:spacing w:before="326" w:beforeLines="100"/>
        <w:ind w:firstLine="241" w:firstLineChars="100"/>
        <w:rPr>
          <w:b/>
          <w:bCs/>
        </w:rPr>
      </w:pPr>
    </w:p>
    <w:p>
      <w:pPr>
        <w:spacing w:before="163" w:beforeLines="50" w:line="240" w:lineRule="auto"/>
        <w:ind w:firstLine="301" w:firstLineChars="100"/>
        <w:jc w:val="center"/>
        <w:rPr>
          <w:sz w:val="30"/>
        </w:rPr>
      </w:pPr>
      <w:r>
        <w:rPr>
          <w:rFonts w:hint="eastAsia"/>
          <w:b/>
          <w:bCs/>
          <w:sz w:val="30"/>
        </w:rPr>
        <w:t>2026 年 04 月</w:t>
      </w:r>
      <w:r>
        <w:br w:type="page"/>
      </w:r>
    </w:p>
    <w:p>
      <w:pPr>
        <w:tabs>
          <w:tab w:val="left" w:pos="4500"/>
          <w:tab w:val="left" w:pos="7560"/>
        </w:tabs>
        <w:adjustRightInd w:val="0"/>
        <w:snapToGrid w:val="0"/>
        <w:spacing w:before="120" w:after="120" w:line="240" w:lineRule="auto"/>
        <w:ind w:right="459" w:firstLine="0" w:firstLineChars="0"/>
        <w:jc w:val="center"/>
        <w:rPr>
          <w:b/>
          <w:bCs/>
          <w:sz w:val="32"/>
        </w:rPr>
      </w:pPr>
      <w:r>
        <w:rPr>
          <w:b/>
          <w:bCs/>
          <w:sz w:val="32"/>
        </w:rPr>
        <w:t>A Dissertation Submitted to</w:t>
      </w:r>
    </w:p>
    <w:p>
      <w:pPr>
        <w:tabs>
          <w:tab w:val="left" w:pos="4500"/>
          <w:tab w:val="left" w:pos="7560"/>
        </w:tabs>
        <w:adjustRightInd w:val="0"/>
        <w:snapToGrid w:val="0"/>
        <w:spacing w:before="120" w:after="120"/>
        <w:ind w:right="459" w:firstLine="0" w:firstLineChars="0"/>
        <w:jc w:val="center"/>
        <w:rPr>
          <w:b/>
          <w:bCs/>
          <w:sz w:val="32"/>
        </w:rPr>
      </w:pPr>
      <w:r>
        <w:rPr>
          <w:b/>
          <w:sz w:val="32"/>
        </w:rPr>
        <w:t>China University o</w:t>
      </w:r>
      <w:r>
        <w:rPr>
          <w:b/>
          <w:bCs/>
          <w:sz w:val="32"/>
        </w:rPr>
        <w:t>f Geosciences for Master of P</w:t>
      </w:r>
      <w:r>
        <w:rPr>
          <w:b/>
          <w:sz w:val="32"/>
        </w:rPr>
        <w:t>rofessional Degree</w:t>
      </w:r>
    </w:p>
    <w:p>
      <w:pPr>
        <w:tabs>
          <w:tab w:val="left" w:pos="4500"/>
          <w:tab w:val="left" w:pos="7560"/>
        </w:tabs>
        <w:adjustRightInd w:val="0"/>
        <w:spacing w:before="120" w:after="120" w:line="240" w:lineRule="auto"/>
        <w:ind w:left="357" w:right="459" w:firstLine="0" w:firstLineChars="0"/>
        <w:jc w:val="center"/>
        <w:rPr>
          <w:b/>
          <w:bCs/>
          <w:sz w:val="32"/>
        </w:rPr>
      </w:pPr>
    </w:p>
    <w:p>
      <w:pPr>
        <w:tabs>
          <w:tab w:val="left" w:pos="4500"/>
          <w:tab w:val="left" w:pos="7560"/>
        </w:tabs>
        <w:spacing w:after="120" w:line="240" w:lineRule="auto"/>
        <w:ind w:left="360" w:right="461" w:hanging="360" w:firstLineChars="0"/>
        <w:rPr>
          <w:rFonts w:ascii="楷体" w:eastAsia="楷体"/>
          <w:sz w:val="28"/>
        </w:rPr>
      </w:pPr>
    </w:p>
    <w:p>
      <w:pPr>
        <w:tabs>
          <w:tab w:val="left" w:pos="4500"/>
          <w:tab w:val="left" w:pos="7560"/>
        </w:tabs>
        <w:spacing w:after="120" w:line="240" w:lineRule="auto"/>
        <w:ind w:left="360" w:right="461" w:firstLine="0" w:firstLineChars="0"/>
        <w:rPr>
          <w:rFonts w:ascii="楷体" w:eastAsia="楷体"/>
          <w:sz w:val="28"/>
        </w:rPr>
      </w:pPr>
    </w:p>
    <w:p>
      <w:pPr>
        <w:tabs>
          <w:tab w:val="left" w:pos="4500"/>
          <w:tab w:val="left" w:pos="7560"/>
        </w:tabs>
        <w:spacing w:after="120" w:line="240" w:lineRule="auto"/>
        <w:ind w:left="360" w:right="461" w:firstLine="0" w:firstLineChars="0"/>
        <w:rPr>
          <w:rFonts w:ascii="楷体" w:eastAsia="楷体"/>
          <w:b/>
          <w:sz w:val="32"/>
        </w:rPr>
      </w:pPr>
    </w:p>
    <w:p>
      <w:pPr>
        <w:tabs>
          <w:tab w:val="left" w:pos="4500"/>
          <w:tab w:val="left" w:pos="7560"/>
        </w:tabs>
        <w:ind w:firstLine="0" w:firstLineChars="0"/>
        <w:jc w:val="center"/>
        <w:rPr>
          <w:b/>
          <w:bCs/>
          <w:sz w:val="32"/>
        </w:rPr>
      </w:pPr>
      <w:r>
        <w:rPr>
          <w:b/>
          <w:bCs/>
          <w:sz w:val="32"/>
        </w:rPr>
        <w:t>A Multimodal Learning Approach to Drug Molecule</w:t>
      </w:r>
    </w:p>
    <w:p>
      <w:pPr>
        <w:tabs>
          <w:tab w:val="left" w:pos="4500"/>
          <w:tab w:val="left" w:pos="7560"/>
        </w:tabs>
        <w:ind w:firstLine="0" w:firstLineChars="0"/>
        <w:jc w:val="center"/>
        <w:rPr>
          <w:b/>
          <w:sz w:val="32"/>
        </w:rPr>
      </w:pPr>
      <w:r>
        <w:rPr>
          <w:b/>
          <w:bCs/>
          <w:sz w:val="32"/>
        </w:rPr>
        <w:t xml:space="preserve"> Property Prediction</w:t>
      </w:r>
    </w:p>
    <w:p>
      <w:pPr>
        <w:tabs>
          <w:tab w:val="left" w:pos="4500"/>
          <w:tab w:val="left" w:pos="7560"/>
        </w:tabs>
        <w:spacing w:after="120" w:line="240" w:lineRule="auto"/>
        <w:ind w:right="459" w:firstLine="1134" w:firstLineChars="353"/>
        <w:rPr>
          <w:rFonts w:eastAsia="楷体"/>
          <w:b/>
          <w:sz w:val="32"/>
        </w:rPr>
      </w:pPr>
    </w:p>
    <w:p>
      <w:pPr>
        <w:tabs>
          <w:tab w:val="left" w:pos="4500"/>
          <w:tab w:val="left" w:pos="7560"/>
        </w:tabs>
        <w:spacing w:after="120" w:line="240" w:lineRule="auto"/>
        <w:ind w:right="459" w:firstLine="321" w:firstLineChars="100"/>
        <w:rPr>
          <w:rFonts w:eastAsia="楷体"/>
          <w:b/>
          <w:sz w:val="32"/>
        </w:rPr>
      </w:pPr>
      <w:r>
        <w:rPr>
          <w:rFonts w:eastAsia="楷体"/>
          <w:b/>
          <w:sz w:val="32"/>
        </w:rPr>
        <w:t>Master Candidate:</w:t>
      </w:r>
      <w:r>
        <w:rPr>
          <w:rFonts w:hint="eastAsia" w:eastAsia="楷体"/>
          <w:b/>
          <w:sz w:val="32"/>
        </w:rPr>
        <w:t xml:space="preserve"> Shuaiyao Fan</w:t>
      </w:r>
    </w:p>
    <w:p>
      <w:pPr>
        <w:tabs>
          <w:tab w:val="left" w:pos="4500"/>
          <w:tab w:val="left" w:pos="7560"/>
        </w:tabs>
        <w:spacing w:before="120" w:after="120" w:line="240" w:lineRule="auto"/>
        <w:ind w:right="461" w:firstLine="321" w:firstLineChars="100"/>
        <w:rPr>
          <w:rFonts w:eastAsia="楷体"/>
          <w:b/>
          <w:sz w:val="32"/>
        </w:rPr>
      </w:pPr>
      <w:r>
        <w:rPr>
          <w:b/>
          <w:bCs/>
          <w:sz w:val="32"/>
        </w:rPr>
        <w:t>P</w:t>
      </w:r>
      <w:r>
        <w:rPr>
          <w:b/>
          <w:sz w:val="32"/>
        </w:rPr>
        <w:t>rofessional Degree</w:t>
      </w:r>
      <w:r>
        <w:rPr>
          <w:rFonts w:eastAsia="楷体"/>
          <w:b/>
          <w:sz w:val="32"/>
        </w:rPr>
        <w:t>:</w:t>
      </w:r>
      <w:r>
        <w:rPr>
          <w:rFonts w:hint="eastAsia" w:eastAsia="楷体"/>
          <w:b/>
          <w:sz w:val="32"/>
        </w:rPr>
        <w:t xml:space="preserve"> </w:t>
      </w:r>
      <w:r>
        <w:rPr>
          <w:rFonts w:eastAsia="楷体"/>
          <w:b/>
          <w:sz w:val="32"/>
        </w:rPr>
        <w:t>Electronic and Information Engineering</w:t>
      </w:r>
    </w:p>
    <w:p>
      <w:pPr>
        <w:tabs>
          <w:tab w:val="left" w:pos="4500"/>
          <w:tab w:val="left" w:pos="7560"/>
        </w:tabs>
        <w:spacing w:before="120" w:after="120" w:line="240" w:lineRule="auto"/>
        <w:ind w:right="461" w:firstLine="321" w:firstLineChars="100"/>
        <w:rPr>
          <w:rFonts w:eastAsia="楷体"/>
          <w:b/>
          <w:sz w:val="32"/>
        </w:rPr>
      </w:pPr>
      <w:r>
        <w:rPr>
          <w:rFonts w:eastAsia="楷体"/>
          <w:b/>
          <w:sz w:val="32"/>
        </w:rPr>
        <w:t>Dissertation Supervisor: Prof.</w:t>
      </w:r>
      <w:r>
        <w:t xml:space="preserve"> </w:t>
      </w:r>
      <w:r>
        <w:rPr>
          <w:rFonts w:eastAsia="楷体"/>
          <w:b/>
          <w:sz w:val="32"/>
        </w:rPr>
        <w:t>Yunyun Niu</w:t>
      </w:r>
    </w:p>
    <w:p>
      <w:pPr>
        <w:tabs>
          <w:tab w:val="left" w:pos="4500"/>
          <w:tab w:val="left" w:pos="7560"/>
        </w:tabs>
        <w:spacing w:before="120" w:after="120" w:line="240" w:lineRule="auto"/>
        <w:ind w:right="461" w:firstLine="321" w:firstLineChars="100"/>
        <w:rPr>
          <w:rFonts w:eastAsia="楷体"/>
          <w:b/>
          <w:sz w:val="32"/>
        </w:rPr>
      </w:pPr>
      <w:r>
        <w:rPr>
          <w:rFonts w:hint="eastAsia" w:eastAsia="楷体"/>
          <w:b/>
          <w:sz w:val="32"/>
        </w:rPr>
        <w:t>A</w:t>
      </w:r>
      <w:r>
        <w:rPr>
          <w:rFonts w:eastAsia="楷体"/>
          <w:b/>
          <w:sz w:val="32"/>
        </w:rPr>
        <w:t>ssociate Supervisor:</w:t>
      </w:r>
      <w:r>
        <w:rPr>
          <w:rFonts w:hint="eastAsia" w:eastAsia="楷体"/>
          <w:b/>
          <w:sz w:val="32"/>
        </w:rPr>
        <w:t xml:space="preserve"> </w:t>
      </w:r>
      <w:r>
        <w:rPr>
          <w:rFonts w:eastAsia="楷体"/>
          <w:b/>
          <w:sz w:val="32"/>
        </w:rPr>
        <w:t>Yonghong Zhang</w:t>
      </w:r>
    </w:p>
    <w:p>
      <w:pPr>
        <w:tabs>
          <w:tab w:val="left" w:pos="4500"/>
          <w:tab w:val="left" w:pos="7560"/>
        </w:tabs>
        <w:spacing w:before="120" w:after="120" w:line="240" w:lineRule="auto"/>
        <w:ind w:right="461" w:firstLine="0" w:firstLineChars="0"/>
        <w:rPr>
          <w:sz w:val="28"/>
        </w:rPr>
      </w:pPr>
    </w:p>
    <w:p>
      <w:pPr>
        <w:tabs>
          <w:tab w:val="left" w:pos="4500"/>
          <w:tab w:val="left" w:pos="7560"/>
        </w:tabs>
        <w:spacing w:before="120" w:after="120" w:line="240" w:lineRule="auto"/>
        <w:ind w:right="461" w:firstLine="0" w:firstLineChars="0"/>
        <w:rPr>
          <w:sz w:val="28"/>
        </w:rPr>
      </w:pPr>
    </w:p>
    <w:p>
      <w:pPr>
        <w:spacing w:before="163" w:beforeLines="50" w:line="240" w:lineRule="auto"/>
        <w:ind w:firstLine="0" w:firstLineChars="0"/>
        <w:jc w:val="center"/>
        <w:rPr>
          <w:b/>
          <w:sz w:val="32"/>
        </w:rPr>
      </w:pPr>
      <w:r>
        <w:rPr>
          <w:b/>
          <w:sz w:val="32"/>
        </w:rPr>
        <w:t>China University of Geosciences (Beijing)</w:t>
      </w:r>
    </w:p>
    <w:p>
      <w:pPr>
        <w:spacing w:line="240" w:lineRule="auto"/>
        <w:ind w:firstLine="0" w:firstLineChars="0"/>
        <w:rPr>
          <w:sz w:val="21"/>
        </w:rPr>
      </w:pPr>
    </w:p>
    <w:p>
      <w:pPr>
        <w:widowControl/>
        <w:spacing w:line="240" w:lineRule="auto"/>
        <w:ind w:firstLine="0" w:firstLineChars="0"/>
        <w:jc w:val="left"/>
      </w:pPr>
      <w:r>
        <w:br w:type="page"/>
      </w:r>
    </w:p>
    <w:p>
      <w:pPr>
        <w:spacing w:before="163" w:beforeLines="50" w:line="240" w:lineRule="auto"/>
        <w:ind w:firstLine="0" w:firstLineChars="0"/>
        <w:jc w:val="center"/>
        <w:rPr>
          <w:rFonts w:hint="eastAsia" w:ascii="楷体" w:hAnsi="楷体" w:eastAsia="楷体" w:cs="??"/>
          <w:sz w:val="44"/>
          <w:szCs w:val="44"/>
        </w:rPr>
      </w:pPr>
      <w:r>
        <w:rPr>
          <w:rFonts w:hint="eastAsia" w:ascii="黑体" w:eastAsia="黑体"/>
          <w:sz w:val="44"/>
        </w:rPr>
        <w:t>声 明</w:t>
      </w:r>
    </w:p>
    <w:p>
      <w:pPr>
        <w:spacing w:before="120" w:line="400" w:lineRule="exact"/>
        <w:ind w:firstLine="420"/>
        <w:rPr>
          <w:sz w:val="21"/>
          <w:szCs w:val="21"/>
        </w:rPr>
      </w:pPr>
      <w:r>
        <w:rPr>
          <w:rFonts w:hint="eastAsia"/>
          <w:sz w:val="21"/>
          <w:szCs w:val="21"/>
        </w:rPr>
        <w:t>本人声明所呈交的论文是我个人在导师指导下进行的研究工作及取得的研究成果。尽我所知，除了文中特别加以标注和致谢的地方外，论文中不包含其他人已经发表或撰写过的研究成果，也不包含为获得中国地质大学或其它教育机构的学位或证书而使用过的材料。与我一同工作的同志对本研究所做的任何贡献均已在论文中作了明确的说明并表示了谢意。</w:t>
      </w:r>
    </w:p>
    <w:p>
      <w:pPr>
        <w:spacing w:before="120" w:line="360" w:lineRule="exact"/>
        <w:ind w:left="2125" w:firstLine="425" w:firstLineChars="0"/>
        <w:rPr>
          <w:sz w:val="26"/>
        </w:rPr>
      </w:pPr>
    </w:p>
    <w:p>
      <w:pPr>
        <w:spacing w:before="120" w:line="360" w:lineRule="exact"/>
        <w:ind w:left="2125" w:firstLine="425" w:firstLineChars="0"/>
        <w:rPr>
          <w:sz w:val="26"/>
        </w:rPr>
      </w:pPr>
    </w:p>
    <w:p>
      <w:pPr>
        <w:widowControl/>
        <w:wordWrap w:val="0"/>
        <w:spacing w:line="480" w:lineRule="auto"/>
        <w:ind w:firstLine="0" w:firstLineChars="0"/>
        <w:jc w:val="right"/>
        <w:rPr>
          <w:sz w:val="26"/>
          <w:u w:val="thick"/>
        </w:rPr>
      </w:pPr>
      <w:r>
        <w:rPr>
          <w:rFonts w:hint="eastAsia"/>
          <w:sz w:val="26"/>
        </w:rPr>
        <w:t>签</w:t>
      </w:r>
      <w:r>
        <w:rPr>
          <w:sz w:val="26"/>
        </w:rPr>
        <w:t xml:space="preserve">  </w:t>
      </w:r>
      <w:r>
        <w:rPr>
          <w:rFonts w:hint="eastAsia"/>
          <w:sz w:val="26"/>
        </w:rPr>
        <w:t>名：</w:t>
      </w:r>
      <w:r>
        <w:rPr>
          <w:rFonts w:hint="eastAsia"/>
          <w:sz w:val="26"/>
          <w:u w:val="single"/>
        </w:rPr>
        <w:t xml:space="preserve">         </w:t>
      </w:r>
      <w:r>
        <w:rPr>
          <w:sz w:val="26"/>
          <w:u w:val="single"/>
        </w:rPr>
        <w:tab/>
      </w:r>
      <w:r>
        <w:rPr>
          <w:sz w:val="26"/>
          <w:u w:val="single"/>
        </w:rPr>
        <w:tab/>
      </w:r>
      <w:r>
        <w:rPr>
          <w:sz w:val="26"/>
          <w:u w:val="single"/>
        </w:rPr>
        <w:tab/>
      </w:r>
      <w:r>
        <w:rPr>
          <w:sz w:val="26"/>
          <w:u w:val="single"/>
        </w:rPr>
        <w:tab/>
      </w:r>
      <w:r>
        <w:rPr>
          <w:rFonts w:hint="eastAsia"/>
          <w:sz w:val="26"/>
        </w:rPr>
        <w:t>日</w:t>
      </w:r>
      <w:r>
        <w:rPr>
          <w:sz w:val="26"/>
        </w:rPr>
        <w:t xml:space="preserve">  </w:t>
      </w:r>
      <w:r>
        <w:rPr>
          <w:rFonts w:hint="eastAsia"/>
          <w:sz w:val="26"/>
        </w:rPr>
        <w:t>期：</w:t>
      </w:r>
      <w:r>
        <w:rPr>
          <w:rFonts w:hint="eastAsia"/>
          <w:sz w:val="26"/>
          <w:u w:val="single"/>
        </w:rPr>
        <w:t xml:space="preserve">         </w:t>
      </w:r>
    </w:p>
    <w:p>
      <w:pPr>
        <w:spacing w:line="240" w:lineRule="auto"/>
        <w:ind w:firstLine="0" w:firstLineChars="0"/>
        <w:rPr>
          <w:sz w:val="21"/>
        </w:rPr>
      </w:pPr>
    </w:p>
    <w:p>
      <w:pPr>
        <w:spacing w:line="240" w:lineRule="auto"/>
        <w:ind w:firstLine="0" w:firstLineChars="0"/>
        <w:rPr>
          <w:sz w:val="21"/>
        </w:rPr>
      </w:pPr>
    </w:p>
    <w:p>
      <w:pPr>
        <w:spacing w:line="240" w:lineRule="auto"/>
        <w:ind w:firstLine="0" w:firstLineChars="0"/>
        <w:rPr>
          <w:sz w:val="21"/>
        </w:rPr>
      </w:pPr>
    </w:p>
    <w:p>
      <w:pPr>
        <w:spacing w:line="240" w:lineRule="auto"/>
        <w:ind w:firstLine="0" w:firstLineChars="0"/>
        <w:jc w:val="center"/>
        <w:rPr>
          <w:rFonts w:ascii="黑体" w:eastAsia="黑体"/>
          <w:sz w:val="36"/>
        </w:rPr>
      </w:pPr>
    </w:p>
    <w:p>
      <w:pPr>
        <w:spacing w:line="240" w:lineRule="auto"/>
        <w:ind w:firstLine="0" w:firstLineChars="0"/>
        <w:jc w:val="center"/>
        <w:rPr>
          <w:rFonts w:ascii="黑体" w:eastAsia="黑体"/>
          <w:sz w:val="36"/>
        </w:rPr>
      </w:pPr>
    </w:p>
    <w:p>
      <w:pPr>
        <w:spacing w:line="240" w:lineRule="auto"/>
        <w:ind w:firstLine="0" w:firstLineChars="0"/>
        <w:jc w:val="center"/>
        <w:rPr>
          <w:rFonts w:ascii="黑体" w:eastAsia="黑体"/>
          <w:sz w:val="36"/>
        </w:rPr>
      </w:pPr>
    </w:p>
    <w:p>
      <w:pPr>
        <w:spacing w:after="120" w:line="240" w:lineRule="auto"/>
        <w:ind w:firstLine="0" w:firstLineChars="0"/>
        <w:jc w:val="center"/>
        <w:rPr>
          <w:rFonts w:ascii="黑体" w:eastAsia="黑体"/>
          <w:sz w:val="44"/>
          <w:szCs w:val="44"/>
        </w:rPr>
      </w:pPr>
      <w:r>
        <w:rPr>
          <w:rFonts w:hint="eastAsia" w:ascii="黑体" w:hAnsi="黑体" w:eastAsia="黑体"/>
          <w:sz w:val="44"/>
          <w:szCs w:val="44"/>
        </w:rPr>
        <w:t>关于论文使用授权的说明</w:t>
      </w:r>
    </w:p>
    <w:p>
      <w:pPr>
        <w:spacing w:before="120" w:line="400" w:lineRule="exact"/>
        <w:ind w:firstLineChars="0"/>
        <w:rPr>
          <w:rFonts w:hint="eastAsia" w:ascii="宋体" w:hAnsi="宋体"/>
          <w:sz w:val="21"/>
          <w:szCs w:val="22"/>
        </w:rPr>
      </w:pPr>
      <w:r>
        <w:rPr>
          <w:rFonts w:hint="eastAsia" w:ascii="宋体" w:hAnsi="宋体"/>
          <w:sz w:val="21"/>
        </w:rPr>
        <w:t>本人完全了解中国地质大学有关保留、使用学位论文的规定，即：学校有权保留送交论文的复印件，允许论文被查阅和借阅；学校可以公布论文的全部或部分内容，可以采用影印、缩印或其他复制手段保存论文。</w:t>
      </w:r>
      <w:r>
        <w:rPr>
          <w:rFonts w:hint="eastAsia" w:ascii="宋体" w:hAnsi="宋体"/>
          <w:b/>
          <w:sz w:val="21"/>
        </w:rPr>
        <w:t>延期公开的论文在到期公开后应遵守此规定。</w:t>
      </w:r>
    </w:p>
    <w:p>
      <w:pPr>
        <w:spacing w:before="120" w:line="400" w:lineRule="exact"/>
        <w:ind w:firstLineChars="0"/>
        <w:rPr>
          <w:rFonts w:hAnsi="Calibri"/>
          <w:b/>
          <w:bCs/>
        </w:rPr>
      </w:pPr>
    </w:p>
    <w:p>
      <w:pPr>
        <w:spacing w:before="120" w:line="360" w:lineRule="exact"/>
        <w:ind w:firstLine="0" w:firstLineChars="0"/>
        <w:rPr>
          <w:rFonts w:hint="eastAsia" w:ascii="宋体" w:hAnsi="宋体"/>
          <w:strike/>
          <w:sz w:val="21"/>
          <w:szCs w:val="22"/>
        </w:rPr>
      </w:pPr>
    </w:p>
    <w:p>
      <w:pPr>
        <w:spacing w:before="120" w:line="360" w:lineRule="exact"/>
        <w:ind w:firstLine="0" w:firstLineChars="0"/>
        <w:rPr>
          <w:rFonts w:ascii="Calibri" w:hAnsi="Calibri"/>
          <w:sz w:val="26"/>
          <w:szCs w:val="26"/>
        </w:rPr>
      </w:pPr>
    </w:p>
    <w:p>
      <w:pPr>
        <w:spacing w:before="120" w:line="360" w:lineRule="exact"/>
        <w:ind w:firstLine="0" w:firstLineChars="0"/>
        <w:rPr>
          <w:sz w:val="26"/>
          <w:szCs w:val="26"/>
        </w:rPr>
      </w:pPr>
      <w:r>
        <w:rPr>
          <w:sz w:val="26"/>
          <w:szCs w:val="26"/>
        </w:rPr>
        <w:t xml:space="preserve"> </w:t>
      </w:r>
    </w:p>
    <w:p>
      <w:pPr>
        <w:spacing w:before="120" w:line="360" w:lineRule="exact"/>
        <w:ind w:firstLine="0" w:firstLineChars="0"/>
        <w:rPr>
          <w:sz w:val="26"/>
          <w:szCs w:val="26"/>
          <w:u w:val="single"/>
        </w:rPr>
      </w:pPr>
      <w:r>
        <w:rPr>
          <w:rFonts w:hint="eastAsia" w:ascii="宋体" w:hAnsi="宋体"/>
          <w:sz w:val="26"/>
          <w:szCs w:val="26"/>
        </w:rPr>
        <w:t>签</w:t>
      </w:r>
      <w:r>
        <w:rPr>
          <w:sz w:val="26"/>
          <w:szCs w:val="26"/>
        </w:rPr>
        <w:t xml:space="preserve">  </w:t>
      </w:r>
      <w:r>
        <w:rPr>
          <w:rFonts w:hint="eastAsia" w:ascii="宋体" w:hAnsi="宋体"/>
          <w:sz w:val="26"/>
          <w:szCs w:val="26"/>
        </w:rPr>
        <w:t>名：</w:t>
      </w:r>
      <w:r>
        <w:rPr>
          <w:sz w:val="26"/>
          <w:szCs w:val="26"/>
          <w:u w:val="single"/>
        </w:rPr>
        <w:tab/>
      </w:r>
      <w:r>
        <w:rPr>
          <w:sz w:val="26"/>
          <w:szCs w:val="26"/>
          <w:u w:val="single"/>
        </w:rPr>
        <w:tab/>
      </w:r>
      <w:r>
        <w:rPr>
          <w:sz w:val="26"/>
          <w:szCs w:val="26"/>
          <w:u w:val="single"/>
        </w:rPr>
        <w:tab/>
      </w:r>
      <w:r>
        <w:rPr>
          <w:sz w:val="26"/>
          <w:szCs w:val="26"/>
          <w:u w:val="single"/>
        </w:rPr>
        <w:t xml:space="preserve">    </w:t>
      </w:r>
      <w:r>
        <w:rPr>
          <w:rFonts w:hint="eastAsia"/>
          <w:sz w:val="26"/>
          <w:szCs w:val="26"/>
          <w:u w:val="single"/>
        </w:rPr>
        <w:t xml:space="preserve">        </w:t>
      </w:r>
      <w:r>
        <w:rPr>
          <w:rFonts w:hint="eastAsia" w:ascii="宋体" w:hAnsi="宋体"/>
          <w:sz w:val="26"/>
          <w:szCs w:val="26"/>
        </w:rPr>
        <w:t>导师签名：</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 xml:space="preserve">  </w:t>
      </w:r>
      <w:r>
        <w:rPr>
          <w:rFonts w:hint="eastAsia"/>
          <w:sz w:val="26"/>
          <w:szCs w:val="26"/>
          <w:u w:val="single"/>
        </w:rPr>
        <w:t xml:space="preserve">            </w:t>
      </w:r>
      <w:r>
        <w:rPr>
          <w:rFonts w:hint="eastAsia" w:ascii="宋体" w:hAnsi="宋体"/>
          <w:sz w:val="26"/>
          <w:szCs w:val="26"/>
        </w:rPr>
        <w:t>日</w:t>
      </w:r>
      <w:r>
        <w:rPr>
          <w:sz w:val="26"/>
          <w:szCs w:val="26"/>
        </w:rPr>
        <w:t xml:space="preserve">  </w:t>
      </w:r>
      <w:r>
        <w:rPr>
          <w:rFonts w:hint="eastAsia" w:ascii="宋体" w:hAnsi="宋体"/>
          <w:sz w:val="26"/>
          <w:szCs w:val="26"/>
        </w:rPr>
        <w:t>期：</w:t>
      </w:r>
      <w:r>
        <w:rPr>
          <w:sz w:val="26"/>
          <w:szCs w:val="26"/>
          <w:u w:val="single"/>
        </w:rPr>
        <w:tab/>
      </w:r>
      <w:r>
        <w:rPr>
          <w:sz w:val="26"/>
          <w:szCs w:val="26"/>
          <w:u w:val="single"/>
        </w:rPr>
        <w:t xml:space="preserve">    </w:t>
      </w:r>
      <w:r>
        <w:rPr>
          <w:sz w:val="26"/>
          <w:szCs w:val="26"/>
          <w:u w:val="single"/>
        </w:rPr>
        <w:tab/>
      </w:r>
      <w:r>
        <w:rPr>
          <w:sz w:val="26"/>
          <w:szCs w:val="26"/>
          <w:u w:val="single"/>
        </w:rPr>
        <w:t xml:space="preserve">  </w:t>
      </w:r>
      <w:r>
        <w:rPr>
          <w:rFonts w:hint="eastAsia"/>
          <w:sz w:val="26"/>
          <w:szCs w:val="26"/>
          <w:u w:val="single"/>
        </w:rPr>
        <w:t xml:space="preserve">        </w:t>
      </w:r>
    </w:p>
    <w:p>
      <w:pPr>
        <w:spacing w:before="120" w:line="360" w:lineRule="exact"/>
        <w:ind w:firstLine="0" w:firstLineChars="0"/>
        <w:rPr>
          <w:sz w:val="26"/>
          <w:szCs w:val="26"/>
          <w:u w:val="single"/>
        </w:rPr>
      </w:pPr>
    </w:p>
    <w:p>
      <w:pPr>
        <w:widowControl/>
        <w:spacing w:line="240" w:lineRule="auto"/>
        <w:ind w:firstLine="0" w:firstLineChars="0"/>
        <w:jc w:val="left"/>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418" w:header="851" w:footer="851" w:gutter="0"/>
          <w:cols w:space="425" w:num="1"/>
          <w:docGrid w:type="lines" w:linePitch="326" w:charSpace="0"/>
        </w:sectPr>
      </w:pPr>
    </w:p>
    <w:p>
      <w:pPr>
        <w:pStyle w:val="2"/>
        <w:numPr>
          <w:ilvl w:val="0"/>
          <w:numId w:val="0"/>
        </w:numPr>
      </w:pPr>
      <w:bookmarkStart w:id="1" w:name="_Toc229423310"/>
      <w:r>
        <w:rPr>
          <w:rFonts w:hint="eastAsia"/>
        </w:rPr>
        <w:t>摘要</w:t>
      </w:r>
      <w:bookmarkEnd w:id="1"/>
    </w:p>
    <w:p>
      <w:bookmarkStart w:id="2" w:name="OLE_LINK2"/>
      <w:r>
        <w:rPr>
          <w:rFonts w:hint="eastAsia"/>
        </w:rPr>
        <w:t>面向分子性质预测的表征学习旨在通过深度学习技术，将分子复杂的结构与特征信息投影为一个高维的数学表示，并基于这些表示</w:t>
      </w:r>
      <w:r>
        <w:t>实现对分子多种生化性质的精准预测</w:t>
      </w:r>
      <w:r>
        <w:rPr>
          <w:rFonts w:hint="eastAsia"/>
        </w:rPr>
        <w:t>，从而在</w:t>
      </w:r>
      <w:r>
        <w:t>海量候选药物中高效筛选出具备成药潜力的目标分子。医药领域虽</w:t>
      </w:r>
      <w:r>
        <w:rPr>
          <w:rFonts w:hint="eastAsia"/>
        </w:rPr>
        <w:t>然已经</w:t>
      </w:r>
      <w:r>
        <w:t>积累了海量的分子数据，但这些数据往往充斥着严重的噪声且标注质量参差不齐</w:t>
      </w:r>
      <w:r>
        <w:rPr>
          <w:rFonts w:hint="eastAsia"/>
        </w:rPr>
        <w:t>，同时，传统计算方法在处理大规模分子数据时面临着极高的计算复杂度。近年来，深度学习技术在数据表征领域飞速发展，为分子信息建模提供了数据驱动的新范式。然而，如何有效利用分子的多模态数据，在深度学习框架下构建全面且鲁棒的分子特征表示，并以此实现分子生化性质的高精度预测，已成为该领域亟待解决的核心问题。</w:t>
      </w:r>
    </w:p>
    <w:p>
      <w:r>
        <w:rPr>
          <w:rFonts w:hint="eastAsia"/>
        </w:rPr>
        <w:t>为解决上述提出的问题，本文基于分子可以表示为多种模态的特性，提出两种创新性方法：</w:t>
      </w:r>
    </w:p>
    <w:p>
      <w:r>
        <w:rPr>
          <w:rFonts w:hint="eastAsia"/>
        </w:rPr>
        <w:t>（1）</w:t>
      </w:r>
      <w:r>
        <w:t>基于思维链增强与消息传递的分子性质预测方法。针对大语言模型在预测</w:t>
      </w:r>
      <w:r>
        <w:rPr>
          <w:rFonts w:hint="eastAsia"/>
        </w:rPr>
        <w:t>分子</w:t>
      </w:r>
      <w:r>
        <w:t>复杂生化性质时</w:t>
      </w:r>
      <w:r>
        <w:rPr>
          <w:rFonts w:hint="eastAsia"/>
        </w:rPr>
        <w:t>，</w:t>
      </w:r>
      <w:r>
        <w:t>缺乏药理逻辑支撑</w:t>
      </w:r>
      <w:r>
        <w:rPr>
          <w:rFonts w:hint="eastAsia"/>
        </w:rPr>
        <w:t>难以解释性的</w:t>
      </w:r>
      <w:r>
        <w:t>问题，以及传统图神经网络拓扑感知受限与信息回流的缺陷，本</w:t>
      </w:r>
      <w:r>
        <w:rPr>
          <w:rFonts w:hint="eastAsia"/>
        </w:rPr>
        <w:t>文</w:t>
      </w:r>
      <w:r>
        <w:t>提出了一种端到端的双塔预测框架。在文本端，引入LLaMA-3.1大语言模型与低秩自适应技术，结合思维链提示工程，引导模型自发生成显式逻辑推理文本，将</w:t>
      </w:r>
      <w:r>
        <w:rPr>
          <w:rFonts w:hint="eastAsia"/>
        </w:rPr>
        <w:t>推理过程变</w:t>
      </w:r>
      <w:r>
        <w:t>为可</w:t>
      </w:r>
      <w:r>
        <w:rPr>
          <w:rFonts w:hint="eastAsia"/>
        </w:rPr>
        <w:t>解释</w:t>
      </w:r>
      <w:r>
        <w:t>的分析</w:t>
      </w:r>
      <w:r>
        <w:rPr>
          <w:rFonts w:hint="eastAsia"/>
        </w:rPr>
        <w:t>文本</w:t>
      </w:r>
      <w:r>
        <w:t>；在图结构端，采用交互式图神经网络构建原子与化学键的通信核，强制实现深层动态交互。在TDC平台的多个ADMET基准数据集上的实验表明，该方法不仅取得了较优</w:t>
      </w:r>
      <w:r>
        <w:rPr>
          <w:rFonts w:hint="eastAsia"/>
        </w:rPr>
        <w:t>的</w:t>
      </w:r>
      <w:r>
        <w:t>结果，且通过可视化的推理路径为分子安全性评估提供了解释线索。</w:t>
      </w:r>
    </w:p>
    <w:p>
      <w:r>
        <w:rPr>
          <w:rFonts w:hint="eastAsia"/>
        </w:rPr>
        <w:t>（2）</w:t>
      </w:r>
      <w:r>
        <w:t>基于知识增强与图对齐的多模态分子性质预测</w:t>
      </w:r>
      <w:r>
        <w:rPr>
          <w:rFonts w:hint="eastAsia"/>
        </w:rPr>
        <w:t>方法</w:t>
      </w:r>
      <w:r>
        <w:t>。针对公共医学文本噪声</w:t>
      </w:r>
      <w:r>
        <w:rPr>
          <w:rFonts w:hint="eastAsia"/>
        </w:rPr>
        <w:t>冗余</w:t>
      </w:r>
      <w:r>
        <w:t>及</w:t>
      </w:r>
      <w:r>
        <w:rPr>
          <w:rFonts w:hint="eastAsia"/>
        </w:rPr>
        <w:t>分子的</w:t>
      </w:r>
      <w:r>
        <w:t>多</w:t>
      </w:r>
      <w:r>
        <w:rPr>
          <w:rFonts w:hint="eastAsia"/>
        </w:rPr>
        <w:t>模态</w:t>
      </w:r>
      <w:r>
        <w:t>数据联合优化</w:t>
      </w:r>
      <w:r>
        <w:rPr>
          <w:rFonts w:hint="eastAsia"/>
        </w:rPr>
        <w:t>过程中</w:t>
      </w:r>
      <w:r>
        <w:t>训练不够稳定的问题</w:t>
      </w:r>
      <w:r>
        <w:rPr>
          <w:rFonts w:hint="eastAsia"/>
        </w:rPr>
        <w:t>，</w:t>
      </w:r>
      <w:r>
        <w:t>该框架构建了包含分子图、</w:t>
      </w:r>
      <w:r>
        <w:rPr>
          <w:rFonts w:hint="eastAsia"/>
        </w:rPr>
        <w:t>分子SMILES</w:t>
      </w:r>
      <w:r>
        <w:t>序列、</w:t>
      </w:r>
      <w:r>
        <w:rPr>
          <w:rFonts w:hint="eastAsia"/>
        </w:rPr>
        <w:t>分子</w:t>
      </w:r>
      <w:r>
        <w:t>指纹及自然语言四</w:t>
      </w:r>
      <w:r>
        <w:rPr>
          <w:rFonts w:hint="eastAsia"/>
        </w:rPr>
        <w:t>个</w:t>
      </w:r>
      <w:r>
        <w:t>维</w:t>
      </w:r>
      <w:r>
        <w:rPr>
          <w:rFonts w:hint="eastAsia"/>
        </w:rPr>
        <w:t>度的</w:t>
      </w:r>
      <w:r>
        <w:t>表征体系。在数据层面，创新性地设计了知识重写流水线，利用大语言模型剔除原始文本中的冗余噪声，并显式注入由RDKit</w:t>
      </w:r>
      <w:r>
        <w:rPr>
          <w:rFonts w:hint="eastAsia"/>
        </w:rPr>
        <w:t>工具</w:t>
      </w:r>
      <w:r>
        <w:t>计算的</w:t>
      </w:r>
      <w:r>
        <w:rPr>
          <w:rFonts w:hint="eastAsia"/>
        </w:rPr>
        <w:t>多</w:t>
      </w:r>
      <w:r>
        <w:t>项</w:t>
      </w:r>
      <w:r>
        <w:rPr>
          <w:rFonts w:hint="eastAsia"/>
        </w:rPr>
        <w:t>分子</w:t>
      </w:r>
      <w:r>
        <w:t>理化指标，提升了文本模态的知识密度与约束力。在模型对齐层面，确立以分子图为核心的语义锚点，并引入基于同方差不确定性的自适应加权机制。在MoleculeNet的9个基准数据集上的系统评估表明，该框架在预测精度</w:t>
      </w:r>
      <w:r>
        <w:rPr>
          <w:rFonts w:hint="eastAsia"/>
        </w:rPr>
        <w:t>上</w:t>
      </w:r>
      <w:r>
        <w:t>综合表现较好，表明图中心对齐与知识增强对</w:t>
      </w:r>
      <w:r>
        <w:rPr>
          <w:rFonts w:hint="eastAsia"/>
        </w:rPr>
        <w:t>模型</w:t>
      </w:r>
      <w:r>
        <w:t>性能提升具有积极作用</w:t>
      </w:r>
      <w:r>
        <w:rPr>
          <w:rFonts w:hint="eastAsia"/>
        </w:rPr>
        <w:t>。</w:t>
      </w:r>
    </w:p>
    <w:bookmarkEnd w:id="2"/>
    <w:p>
      <w:pPr>
        <w:ind w:firstLine="0" w:firstLineChars="0"/>
      </w:pPr>
      <w:r>
        <w:rPr>
          <w:rFonts w:hint="eastAsia"/>
          <w:b/>
          <w:bCs/>
        </w:rPr>
        <w:t>关键词：</w:t>
      </w:r>
      <w:r>
        <w:rPr>
          <w:rFonts w:hint="eastAsia"/>
        </w:rPr>
        <w:t>分子性质预测，多模态融合，思维链，对比学习</w:t>
      </w:r>
    </w:p>
    <w:p>
      <w:pPr>
        <w:pStyle w:val="2"/>
        <w:numPr>
          <w:ilvl w:val="0"/>
          <w:numId w:val="0"/>
        </w:numPr>
        <w:rPr>
          <w:b/>
          <w:bCs/>
        </w:rPr>
      </w:pPr>
      <w:bookmarkStart w:id="3" w:name="_Toc229423311"/>
      <w:r>
        <w:rPr>
          <w:b/>
          <w:bCs/>
        </w:rPr>
        <w:t>Abstract</w:t>
      </w:r>
      <w:bookmarkEnd w:id="3"/>
    </w:p>
    <w:p>
      <w:r>
        <w:t>Representation learning for molecular property prediction aims to map complex molecular structures and features into high-dimensional representations using deep learning, thereby enabling accurate prediction of biochemical properties and efficient screening of promising drug candidates from large molecular libraries. Although the pharmaceutical domain has accumulated abundant molecular data, these data often suffer from substantial noise and inconsistent annotation quality. In addition, traditional computational methods usually incur high computational costs when processing large-scale molecular datasets. Recent advances in deep learning have introduced a new data-driven paradigm for molecular representation and modeling. Nevertheless, effectively exploiting multimodal molecular data to learn comprehensive and robust molecular representations, and further achieving accurate prediction of molecular biochemical properties, remains a critical challenge in this field.</w:t>
      </w:r>
    </w:p>
    <w:p>
      <w:r>
        <w:t>To address the above issues, leveraging the fact that molecules can be represented in multiple modalities, this thesis proposes two innovative methods:</w:t>
      </w:r>
    </w:p>
    <w:p>
      <w:r>
        <w:t>(1) A molecular property prediction method based on Chain-of-Thought enhancement and message passing. To address the lack of pharmacological reasoning and limited interpretability of large language models in predicting complex molecular biochemical properties, as well as the insufficient topological awareness and restricted information propagation of traditional graph neural networks, this thesis proposes an end-to-end dual-tower prediction framework. In the text tower, the LLaMA-3.1 large language model and Low-Rank Adaptation are introduced. Combined with Chain-of-Thought prompting, the framework guides the model to generate explicit reasoning chains, making the prediction process more interpretable. In the graph-structure tower, an interactive graph neural network is designed to model dynamic interactions between atoms and chemical bonds through enhanced message passing. Experimental results on multiple ADMET benchmark datasets from the Therapeutics Data Commons platform show that the proposed method achieves strong predictive performance and provides interpretable evidence for molecular safety evaluation through visualized reasoning paths.</w:t>
      </w:r>
    </w:p>
    <w:p>
      <w:r>
        <w:t xml:space="preserve">(2) A multimodal molecular property prediction method based on knowledge enhancement and graph alignment. To address the redundancy and noise in public biomedical texts and the instability of joint optimization over multimodal molecular data, this framework constructs a representation system integrating four modalities: molecular graphs, molecular </w:t>
      </w:r>
      <w:r>
        <w:rPr>
          <w:rFonts w:hint="eastAsia"/>
        </w:rPr>
        <w:t xml:space="preserve">SMILES </w:t>
      </w:r>
      <w:r>
        <w:t>sequences, molecular fingerprints, and natural language. At the data level, a knowledge rewriting pipeline is designed to filter redundant noise from the original text using large language models and explicitly incorporate molecular physicochemical properties calculated by RDKit, thereby increasing the information density and chemical relevance of the text modality. At the model level, a graph-centered semantic anchor is established, and an adaptive weighting mechanism based on homoscedastic uncertainty is introduced to stabilize multimodal alignment and joint training. Systematic evaluations on nine benchmark datasets from MoleculeNet demonstrate that the proposed framework achieves strong overall performance in molecular property prediction, confirming the effectiveness of graph-centered alignment and knowledge enhancement.</w:t>
      </w:r>
    </w:p>
    <w:p>
      <w:pPr>
        <w:ind w:firstLine="0" w:firstLineChars="0"/>
      </w:pPr>
      <w:r>
        <w:rPr>
          <w:b/>
          <w:bCs/>
        </w:rPr>
        <w:t>Key</w:t>
      </w:r>
      <w:r>
        <w:rPr>
          <w:rFonts w:hint="eastAsia"/>
          <w:b/>
          <w:bCs/>
        </w:rPr>
        <w:t xml:space="preserve"> </w:t>
      </w:r>
      <w:r>
        <w:rPr>
          <w:b/>
          <w:bCs/>
        </w:rPr>
        <w:t>words:</w:t>
      </w:r>
      <w:r>
        <w:t xml:space="preserve"> Molecular Property Prediction</w:t>
      </w:r>
      <w:r>
        <w:rPr>
          <w:rFonts w:hint="eastAsia"/>
        </w:rPr>
        <w:t>,</w:t>
      </w:r>
      <w:r>
        <w:t xml:space="preserve"> Multimodal Fusion</w:t>
      </w:r>
      <w:r>
        <w:rPr>
          <w:rFonts w:hint="eastAsia"/>
        </w:rPr>
        <w:t>,</w:t>
      </w:r>
      <w:r>
        <w:t xml:space="preserve"> Chain-of-Thought</w:t>
      </w:r>
      <w:r>
        <w:rPr>
          <w:rFonts w:hint="eastAsia"/>
        </w:rPr>
        <w:t>,</w:t>
      </w:r>
      <w:r>
        <w:t xml:space="preserve"> Contrastive Learning</w:t>
      </w:r>
    </w:p>
    <w:p>
      <w:pPr>
        <w:ind w:firstLine="0" w:firstLineChars="0"/>
      </w:pPr>
      <w:r>
        <w:br w:type="page"/>
      </w:r>
    </w:p>
    <w:p>
      <w:pPr>
        <w:pStyle w:val="16"/>
        <w:tabs>
          <w:tab w:val="right" w:leader="dot" w:pos="9344"/>
        </w:tabs>
        <w:jc w:val="center"/>
        <w:rPr>
          <w:rFonts w:eastAsia="黑体"/>
          <w:sz w:val="30"/>
        </w:rPr>
      </w:pPr>
      <w:r>
        <w:rPr>
          <w:rFonts w:eastAsia="黑体"/>
          <w:sz w:val="30"/>
        </w:rPr>
        <w:t>目</w:t>
      </w:r>
      <w:r>
        <w:rPr>
          <w:rFonts w:hint="eastAsia" w:eastAsia="黑体"/>
          <w:sz w:val="30"/>
        </w:rPr>
        <w:t xml:space="preserve">  </w:t>
      </w:r>
      <w:r>
        <w:rPr>
          <w:rFonts w:eastAsia="黑体"/>
          <w:sz w:val="30"/>
        </w:rPr>
        <w:t>录</w:t>
      </w:r>
    </w:p>
    <w:p>
      <w:pPr>
        <w:pStyle w:val="16"/>
        <w:tabs>
          <w:tab w:val="right" w:leader="dot" w:pos="9344"/>
        </w:tabs>
        <w:rPr>
          <w:rFonts w:asciiTheme="minorHAnsi" w:hAnsiTheme="minorHAnsi" w:eastAsiaTheme="minorEastAsia" w:cstheme="minorBidi"/>
          <w:bCs w:val="0"/>
          <w:sz w:val="22"/>
          <w:szCs w:val="24"/>
          <w14:ligatures w14:val="standardContextual"/>
        </w:rPr>
      </w:pPr>
      <w:commentRangeStart w:id="1"/>
      <w:commentRangeStart w:id="2"/>
      <w:r>
        <w:rPr>
          <w:caps/>
        </w:rPr>
        <w:fldChar w:fldCharType="begin"/>
      </w:r>
      <w:r>
        <w:rPr>
          <w:caps/>
        </w:rPr>
        <w:instrText xml:space="preserve"> TOC \o "1-3" \h \z \u </w:instrText>
      </w:r>
      <w:r>
        <w:rPr>
          <w:caps/>
        </w:rPr>
        <w:fldChar w:fldCharType="separate"/>
      </w:r>
      <w:r>
        <w:fldChar w:fldCharType="begin"/>
      </w:r>
      <w:r>
        <w:instrText xml:space="preserve"> HYPERLINK \l "_Toc229423310" </w:instrText>
      </w:r>
      <w:r>
        <w:fldChar w:fldCharType="separate"/>
      </w:r>
      <w:r>
        <w:rPr>
          <w:rStyle w:val="25"/>
        </w:rPr>
        <w:t>摘要</w:t>
      </w:r>
      <w:r>
        <w:rPr>
          <w:rFonts w:hint="eastAsia"/>
        </w:rPr>
        <w:tab/>
      </w:r>
      <w:r>
        <w:rPr>
          <w:rFonts w:hint="eastAsia"/>
        </w:rPr>
        <w:fldChar w:fldCharType="begin"/>
      </w:r>
      <w:r>
        <w:rPr>
          <w:rFonts w:hint="eastAsia"/>
        </w:rPr>
        <w:instrText xml:space="preserve"> </w:instrText>
      </w:r>
      <w:r>
        <w:instrText xml:space="preserve">PAGEREF _Toc229423310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"_Toc229423311" </w:instrText>
      </w:r>
      <w:r>
        <w:fldChar w:fldCharType="separate"/>
      </w:r>
      <w:r>
        <w:rPr>
          <w:rStyle w:val="25"/>
          <w:b/>
        </w:rPr>
        <w:t>Abstract</w:t>
      </w:r>
      <w:r>
        <w:rPr>
          <w:rFonts w:hint="eastAsia"/>
        </w:rPr>
        <w:tab/>
      </w:r>
      <w:r>
        <w:rPr>
          <w:rFonts w:hint="eastAsia"/>
        </w:rPr>
        <w:fldChar w:fldCharType="begin"/>
      </w:r>
      <w:r>
        <w:rPr>
          <w:rFonts w:hint="eastAsia"/>
        </w:rPr>
        <w:instrText xml:space="preserve"> </w:instrText>
      </w:r>
      <w:r>
        <w:instrText xml:space="preserve">PAGEREF _Toc229423311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"_Toc229423312" </w:instrText>
      </w:r>
      <w:r>
        <w:fldChar w:fldCharType="separate"/>
      </w:r>
      <w:r>
        <w:rPr>
          <w:rStyle w:val="25"/>
        </w:rPr>
        <w:t>1 引言</w:t>
      </w:r>
      <w:r>
        <w:rPr>
          <w:rFonts w:hint="eastAsia"/>
        </w:rPr>
        <w:tab/>
      </w:r>
      <w:r>
        <w:rPr>
          <w:rFonts w:hint="eastAsia"/>
        </w:rPr>
        <w:fldChar w:fldCharType="begin"/>
      </w:r>
      <w:r>
        <w:rPr>
          <w:rFonts w:hint="eastAsia"/>
        </w:rPr>
        <w:instrText xml:space="preserve"> </w:instrText>
      </w:r>
      <w:r>
        <w:instrText xml:space="preserve">PAGEREF _Toc229423312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"_Toc229423313" </w:instrText>
      </w:r>
      <w:r>
        <w:fldChar w:fldCharType="separate"/>
      </w:r>
      <w:r>
        <w:rPr>
          <w:rStyle w:val="25"/>
        </w:rPr>
        <w:t>1.1 研究背景及意义</w:t>
      </w:r>
      <w:r>
        <w:rPr>
          <w:rFonts w:hint="eastAsia"/>
        </w:rPr>
        <w:tab/>
      </w:r>
      <w:r>
        <w:rPr>
          <w:rFonts w:hint="eastAsia"/>
        </w:rPr>
        <w:fldChar w:fldCharType="begin"/>
      </w:r>
      <w:r>
        <w:rPr>
          <w:rFonts w:hint="eastAsia"/>
        </w:rPr>
        <w:instrText xml:space="preserve"> </w:instrText>
      </w:r>
      <w:r>
        <w:instrText xml:space="preserve">PAGEREF _Toc229423313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"_Toc229423314" </w:instrText>
      </w:r>
      <w:r>
        <w:fldChar w:fldCharType="separate"/>
      </w:r>
      <w:r>
        <w:rPr>
          <w:rStyle w:val="25"/>
        </w:rPr>
        <w:t>1.2 国内外研究现状</w:t>
      </w:r>
      <w:r>
        <w:rPr>
          <w:rFonts w:hint="eastAsia"/>
        </w:rPr>
        <w:tab/>
      </w:r>
      <w:r>
        <w:rPr>
          <w:rFonts w:hint="eastAsia"/>
        </w:rPr>
        <w:fldChar w:fldCharType="begin"/>
      </w:r>
      <w:r>
        <w:rPr>
          <w:rFonts w:hint="eastAsia"/>
        </w:rPr>
        <w:instrText xml:space="preserve"> </w:instrText>
      </w:r>
      <w:r>
        <w:instrText xml:space="preserve">PAGEREF _Toc229423314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"_Toc229423315" </w:instrText>
      </w:r>
      <w:r>
        <w:fldChar w:fldCharType="separate"/>
      </w:r>
      <w:r>
        <w:rPr>
          <w:rStyle w:val="25"/>
        </w:rPr>
        <w:t>1.2.1 基于单模态的分子性质预测方法</w:t>
      </w:r>
      <w:r>
        <w:rPr>
          <w:rFonts w:hint="eastAsia"/>
        </w:rPr>
        <w:tab/>
      </w:r>
      <w:r>
        <w:rPr>
          <w:rFonts w:hint="eastAsia"/>
        </w:rPr>
        <w:fldChar w:fldCharType="begin"/>
      </w:r>
      <w:r>
        <w:rPr>
          <w:rFonts w:hint="eastAsia"/>
        </w:rPr>
        <w:instrText xml:space="preserve"> </w:instrText>
      </w:r>
      <w:r>
        <w:instrText xml:space="preserve">PAGEREF _Toc229423315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"_Toc229423316" </w:instrText>
      </w:r>
      <w:r>
        <w:fldChar w:fldCharType="separate"/>
      </w:r>
      <w:r>
        <w:rPr>
          <w:rStyle w:val="25"/>
        </w:rPr>
        <w:t>1.2.2 基于多模态的分子性质预测方法</w:t>
      </w:r>
      <w:r>
        <w:rPr>
          <w:rFonts w:hint="eastAsia"/>
        </w:rPr>
        <w:tab/>
      </w:r>
      <w:r>
        <w:rPr>
          <w:rFonts w:hint="eastAsia"/>
        </w:rPr>
        <w:fldChar w:fldCharType="begin"/>
      </w:r>
      <w:r>
        <w:rPr>
          <w:rFonts w:hint="eastAsia"/>
        </w:rPr>
        <w:instrText xml:space="preserve"> </w:instrText>
      </w:r>
      <w:r>
        <w:instrText xml:space="preserve">PAGEREF _Toc229423316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"_Toc229423317" </w:instrText>
      </w:r>
      <w:r>
        <w:fldChar w:fldCharType="separate"/>
      </w:r>
      <w:r>
        <w:rPr>
          <w:rStyle w:val="25"/>
        </w:rPr>
        <w:t>1.3 当前研究不足</w:t>
      </w:r>
      <w:r>
        <w:rPr>
          <w:rFonts w:hint="eastAsia"/>
        </w:rPr>
        <w:tab/>
      </w:r>
      <w:r>
        <w:rPr>
          <w:rFonts w:hint="eastAsia"/>
        </w:rPr>
        <w:fldChar w:fldCharType="begin"/>
      </w:r>
      <w:r>
        <w:rPr>
          <w:rFonts w:hint="eastAsia"/>
        </w:rPr>
        <w:instrText xml:space="preserve"> </w:instrText>
      </w:r>
      <w:r>
        <w:instrText xml:space="preserve">PAGEREF _Toc229423317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"_Toc229423318" </w:instrText>
      </w:r>
      <w:r>
        <w:fldChar w:fldCharType="separate"/>
      </w:r>
      <w:r>
        <w:rPr>
          <w:rStyle w:val="25"/>
        </w:rPr>
        <w:t>1.4 研究内容以及论文结构</w:t>
      </w:r>
      <w:r>
        <w:rPr>
          <w:rFonts w:hint="eastAsia"/>
        </w:rPr>
        <w:tab/>
      </w:r>
      <w:r>
        <w:rPr>
          <w:rFonts w:hint="eastAsia"/>
        </w:rPr>
        <w:fldChar w:fldCharType="begin"/>
      </w:r>
      <w:r>
        <w:rPr>
          <w:rFonts w:hint="eastAsia"/>
        </w:rPr>
        <w:instrText xml:space="preserve"> </w:instrText>
      </w:r>
      <w:r>
        <w:instrText xml:space="preserve">PAGEREF _Toc229423318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"_Toc229423319" </w:instrText>
      </w:r>
      <w:r>
        <w:fldChar w:fldCharType="separate"/>
      </w:r>
      <w:r>
        <w:rPr>
          <w:rStyle w:val="25"/>
        </w:rPr>
        <w:t>1.4.1 研究内容</w:t>
      </w:r>
      <w:r>
        <w:rPr>
          <w:rFonts w:hint="eastAsia"/>
        </w:rPr>
        <w:tab/>
      </w:r>
      <w:r>
        <w:rPr>
          <w:rFonts w:hint="eastAsia"/>
        </w:rPr>
        <w:fldChar w:fldCharType="begin"/>
      </w:r>
      <w:r>
        <w:rPr>
          <w:rFonts w:hint="eastAsia"/>
        </w:rPr>
        <w:instrText xml:space="preserve"> </w:instrText>
      </w:r>
      <w:r>
        <w:instrText xml:space="preserve">PAGEREF _Toc229423319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"_Toc229423320" </w:instrText>
      </w:r>
      <w:r>
        <w:fldChar w:fldCharType="separate"/>
      </w:r>
      <w:r>
        <w:rPr>
          <w:rStyle w:val="25"/>
        </w:rPr>
        <w:t>1.4.2 文章架构</w:t>
      </w:r>
      <w:r>
        <w:rPr>
          <w:rFonts w:hint="eastAsia"/>
        </w:rPr>
        <w:tab/>
      </w:r>
      <w:r>
        <w:rPr>
          <w:rFonts w:hint="eastAsia"/>
        </w:rPr>
        <w:fldChar w:fldCharType="begin"/>
      </w:r>
      <w:r>
        <w:rPr>
          <w:rFonts w:hint="eastAsia"/>
        </w:rPr>
        <w:instrText xml:space="preserve"> </w:instrText>
      </w:r>
      <w:r>
        <w:instrText xml:space="preserve">PAGEREF _Toc229423320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"_Toc229423321" </w:instrText>
      </w:r>
      <w:r>
        <w:fldChar w:fldCharType="separate"/>
      </w:r>
      <w:r>
        <w:rPr>
          <w:rStyle w:val="25"/>
        </w:rPr>
        <w:t>2 相关理论基础</w:t>
      </w:r>
      <w:r>
        <w:rPr>
          <w:rFonts w:hint="eastAsia"/>
        </w:rPr>
        <w:tab/>
      </w:r>
      <w:r>
        <w:rPr>
          <w:rFonts w:hint="eastAsia"/>
        </w:rPr>
        <w:fldChar w:fldCharType="begin"/>
      </w:r>
      <w:r>
        <w:rPr>
          <w:rFonts w:hint="eastAsia"/>
        </w:rPr>
        <w:instrText xml:space="preserve"> </w:instrText>
      </w:r>
      <w:r>
        <w:instrText xml:space="preserve">PAGEREF _Toc229423321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"_Toc229423322" </w:instrText>
      </w:r>
      <w:r>
        <w:fldChar w:fldCharType="separate"/>
      </w:r>
      <w:r>
        <w:rPr>
          <w:rStyle w:val="25"/>
        </w:rPr>
        <w:t>2.1 数据表征方法</w:t>
      </w:r>
      <w:r>
        <w:rPr>
          <w:rFonts w:hint="eastAsia"/>
        </w:rPr>
        <w:tab/>
      </w:r>
      <w:r>
        <w:rPr>
          <w:rFonts w:hint="eastAsia"/>
        </w:rPr>
        <w:fldChar w:fldCharType="begin"/>
      </w:r>
      <w:r>
        <w:rPr>
          <w:rFonts w:hint="eastAsia"/>
        </w:rPr>
        <w:instrText xml:space="preserve"> </w:instrText>
      </w:r>
      <w:r>
        <w:instrText xml:space="preserve">PAGEREF _Toc229423322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"_Toc229423323" </w:instrText>
      </w:r>
      <w:r>
        <w:fldChar w:fldCharType="separate"/>
      </w:r>
      <w:r>
        <w:rPr>
          <w:rStyle w:val="25"/>
        </w:rPr>
        <w:t>2.1.1 SMILES</w:t>
      </w:r>
      <w:r>
        <w:rPr>
          <w:rFonts w:hint="eastAsia"/>
        </w:rPr>
        <w:tab/>
      </w:r>
      <w:r>
        <w:rPr>
          <w:rFonts w:hint="eastAsia"/>
        </w:rPr>
        <w:fldChar w:fldCharType="begin"/>
      </w:r>
      <w:r>
        <w:rPr>
          <w:rFonts w:hint="eastAsia"/>
        </w:rPr>
        <w:instrText xml:space="preserve"> </w:instrText>
      </w:r>
      <w:r>
        <w:instrText xml:space="preserve">PAGEREF _Toc229423323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"_Toc229423324" </w:instrText>
      </w:r>
      <w:r>
        <w:fldChar w:fldCharType="separate"/>
      </w:r>
      <w:r>
        <w:rPr>
          <w:rStyle w:val="25"/>
        </w:rPr>
        <w:t>2.1.2 二维拓扑图</w:t>
      </w:r>
      <w:r>
        <w:rPr>
          <w:rFonts w:hint="eastAsia"/>
        </w:rPr>
        <w:tab/>
      </w:r>
      <w:r>
        <w:rPr>
          <w:rFonts w:hint="eastAsia"/>
        </w:rPr>
        <w:fldChar w:fldCharType="begin"/>
      </w:r>
      <w:r>
        <w:rPr>
          <w:rFonts w:hint="eastAsia"/>
        </w:rPr>
        <w:instrText xml:space="preserve"> </w:instrText>
      </w:r>
      <w:r>
        <w:instrText xml:space="preserve">PAGEREF _Toc229423324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"_Toc229423325" </w:instrText>
      </w:r>
      <w:r>
        <w:fldChar w:fldCharType="separate"/>
      </w:r>
      <w:r>
        <w:rPr>
          <w:rStyle w:val="25"/>
        </w:rPr>
        <w:t>2.1.3 分子指纹</w:t>
      </w:r>
      <w:r>
        <w:rPr>
          <w:rFonts w:hint="eastAsia"/>
        </w:rPr>
        <w:tab/>
      </w:r>
      <w:r>
        <w:rPr>
          <w:rFonts w:hint="eastAsia"/>
        </w:rPr>
        <w:fldChar w:fldCharType="begin"/>
      </w:r>
      <w:r>
        <w:rPr>
          <w:rFonts w:hint="eastAsia"/>
        </w:rPr>
        <w:instrText xml:space="preserve"> </w:instrText>
      </w:r>
      <w:r>
        <w:instrText xml:space="preserve">PAGEREF _Toc229423325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"_Toc229423326" </w:instrText>
      </w:r>
      <w:r>
        <w:fldChar w:fldCharType="separate"/>
      </w:r>
      <w:r>
        <w:rPr>
          <w:rStyle w:val="25"/>
        </w:rPr>
        <w:t>2.1.4 文本语义</w:t>
      </w:r>
      <w:r>
        <w:rPr>
          <w:rFonts w:hint="eastAsia"/>
        </w:rPr>
        <w:tab/>
      </w:r>
      <w:r>
        <w:rPr>
          <w:rFonts w:hint="eastAsia"/>
        </w:rPr>
        <w:fldChar w:fldCharType="begin"/>
      </w:r>
      <w:r>
        <w:rPr>
          <w:rFonts w:hint="eastAsia"/>
        </w:rPr>
        <w:instrText xml:space="preserve"> </w:instrText>
      </w:r>
      <w:r>
        <w:instrText xml:space="preserve">PAGEREF _Toc229423326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"_Toc229423327" </w:instrText>
      </w:r>
      <w:r>
        <w:fldChar w:fldCharType="separate"/>
      </w:r>
      <w:r>
        <w:rPr>
          <w:rStyle w:val="25"/>
        </w:rPr>
        <w:t>2.2 图神经网络</w:t>
      </w:r>
      <w:r>
        <w:rPr>
          <w:rFonts w:hint="eastAsia"/>
        </w:rPr>
        <w:tab/>
      </w:r>
      <w:r>
        <w:rPr>
          <w:rFonts w:hint="eastAsia"/>
        </w:rPr>
        <w:fldChar w:fldCharType="begin"/>
      </w:r>
      <w:r>
        <w:rPr>
          <w:rFonts w:hint="eastAsia"/>
        </w:rPr>
        <w:instrText xml:space="preserve"> </w:instrText>
      </w:r>
      <w:r>
        <w:instrText xml:space="preserve">PAGEREF _Toc229423327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"_Toc229423328" </w:instrText>
      </w:r>
      <w:r>
        <w:fldChar w:fldCharType="separate"/>
      </w:r>
      <w:r>
        <w:rPr>
          <w:rStyle w:val="25"/>
        </w:rPr>
        <w:t>2.2.1 消息传递机制</w:t>
      </w:r>
      <w:r>
        <w:rPr>
          <w:rFonts w:hint="eastAsia"/>
        </w:rPr>
        <w:tab/>
      </w:r>
      <w:r>
        <w:rPr>
          <w:rFonts w:hint="eastAsia"/>
        </w:rPr>
        <w:fldChar w:fldCharType="begin"/>
      </w:r>
      <w:r>
        <w:rPr>
          <w:rFonts w:hint="eastAsia"/>
        </w:rPr>
        <w:instrText xml:space="preserve"> </w:instrText>
      </w:r>
      <w:r>
        <w:instrText xml:space="preserve">PAGEREF _Toc229423328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"_Toc229423329" </w:instrText>
      </w:r>
      <w:r>
        <w:fldChar w:fldCharType="separate"/>
      </w:r>
      <w:r>
        <w:rPr>
          <w:rStyle w:val="25"/>
        </w:rPr>
        <w:t>2.2.2 图卷积网络</w:t>
      </w:r>
      <w:r>
        <w:rPr>
          <w:rFonts w:hint="eastAsia"/>
        </w:rPr>
        <w:tab/>
      </w:r>
      <w:r>
        <w:rPr>
          <w:rFonts w:hint="eastAsia"/>
        </w:rPr>
        <w:fldChar w:fldCharType="begin"/>
      </w:r>
      <w:r>
        <w:rPr>
          <w:rFonts w:hint="eastAsia"/>
        </w:rPr>
        <w:instrText xml:space="preserve"> </w:instrText>
      </w:r>
      <w:r>
        <w:instrText xml:space="preserve">PAGEREF _Toc229423329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"_Toc229423330" </w:instrText>
      </w:r>
      <w:r>
        <w:fldChar w:fldCharType="separate"/>
      </w:r>
      <w:r>
        <w:rPr>
          <w:rStyle w:val="25"/>
        </w:rPr>
        <w:t>2.2.3 基于注意力机制的图神经网络</w:t>
      </w:r>
      <w:r>
        <w:rPr>
          <w:rFonts w:hint="eastAsia"/>
        </w:rPr>
        <w:tab/>
      </w:r>
      <w:r>
        <w:rPr>
          <w:rFonts w:hint="eastAsia"/>
        </w:rPr>
        <w:fldChar w:fldCharType="begin"/>
      </w:r>
      <w:r>
        <w:rPr>
          <w:rFonts w:hint="eastAsia"/>
        </w:rPr>
        <w:instrText xml:space="preserve"> </w:instrText>
      </w:r>
      <w:r>
        <w:instrText xml:space="preserve">PAGEREF _Toc229423330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"_Toc229423331" </w:instrText>
      </w:r>
      <w:r>
        <w:fldChar w:fldCharType="separate"/>
      </w:r>
      <w:r>
        <w:rPr>
          <w:rStyle w:val="25"/>
        </w:rPr>
        <w:t>2.3 大语言模型与提示词工程</w:t>
      </w:r>
      <w:r>
        <w:rPr>
          <w:rFonts w:hint="eastAsia"/>
        </w:rPr>
        <w:tab/>
      </w:r>
      <w:r>
        <w:rPr>
          <w:rFonts w:hint="eastAsia"/>
        </w:rPr>
        <w:fldChar w:fldCharType="begin"/>
      </w:r>
      <w:r>
        <w:rPr>
          <w:rFonts w:hint="eastAsia"/>
        </w:rPr>
        <w:instrText xml:space="preserve"> </w:instrText>
      </w:r>
      <w:r>
        <w:instrText xml:space="preserve">PAGEREF _Toc229423331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"_Toc229423332" </w:instrText>
      </w:r>
      <w:r>
        <w:fldChar w:fldCharType="separate"/>
      </w:r>
      <w:r>
        <w:rPr>
          <w:rStyle w:val="25"/>
        </w:rPr>
        <w:t>2.3.1 Transformer架构</w:t>
      </w:r>
      <w:r>
        <w:rPr>
          <w:rFonts w:hint="eastAsia"/>
        </w:rPr>
        <w:tab/>
      </w:r>
      <w:r>
        <w:rPr>
          <w:rFonts w:hint="eastAsia"/>
        </w:rPr>
        <w:fldChar w:fldCharType="begin"/>
      </w:r>
      <w:r>
        <w:rPr>
          <w:rFonts w:hint="eastAsia"/>
        </w:rPr>
        <w:instrText xml:space="preserve"> </w:instrText>
      </w:r>
      <w:r>
        <w:instrText xml:space="preserve">PAGEREF _Toc229423332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"_Toc229423333" </w:instrText>
      </w:r>
      <w:r>
        <w:fldChar w:fldCharType="separate"/>
      </w:r>
      <w:r>
        <w:rPr>
          <w:rStyle w:val="25"/>
        </w:rPr>
        <w:t>2.3.2 LoRA技术</w:t>
      </w:r>
      <w:r>
        <w:rPr>
          <w:rFonts w:hint="eastAsia"/>
        </w:rPr>
        <w:tab/>
      </w:r>
      <w:r>
        <w:rPr>
          <w:rFonts w:hint="eastAsia"/>
        </w:rPr>
        <w:fldChar w:fldCharType="begin"/>
      </w:r>
      <w:r>
        <w:rPr>
          <w:rFonts w:hint="eastAsia"/>
        </w:rPr>
        <w:instrText xml:space="preserve"> </w:instrText>
      </w:r>
      <w:r>
        <w:instrText xml:space="preserve">PAGEREF _Toc229423333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"_Toc229423334" </w:instrText>
      </w:r>
      <w:r>
        <w:fldChar w:fldCharType="separate"/>
      </w:r>
      <w:r>
        <w:rPr>
          <w:rStyle w:val="25"/>
        </w:rPr>
        <w:t>2.3.3 思维链</w:t>
      </w:r>
      <w:r>
        <w:rPr>
          <w:rFonts w:hint="eastAsia"/>
        </w:rPr>
        <w:tab/>
      </w:r>
      <w:r>
        <w:rPr>
          <w:rFonts w:hint="eastAsia"/>
        </w:rPr>
        <w:fldChar w:fldCharType="begin"/>
      </w:r>
      <w:r>
        <w:rPr>
          <w:rFonts w:hint="eastAsia"/>
        </w:rPr>
        <w:instrText xml:space="preserve"> </w:instrText>
      </w:r>
      <w:r>
        <w:instrText xml:space="preserve">PAGEREF _Toc229423334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"_Toc229423335" </w:instrText>
      </w:r>
      <w:r>
        <w:fldChar w:fldCharType="separate"/>
      </w:r>
      <w:r>
        <w:rPr>
          <w:rStyle w:val="25"/>
        </w:rPr>
        <w:t>2.4 本章小结</w:t>
      </w:r>
      <w:r>
        <w:rPr>
          <w:rFonts w:hint="eastAsia"/>
        </w:rPr>
        <w:tab/>
      </w:r>
      <w:r>
        <w:rPr>
          <w:rFonts w:hint="eastAsia"/>
        </w:rPr>
        <w:fldChar w:fldCharType="begin"/>
      </w:r>
      <w:r>
        <w:rPr>
          <w:rFonts w:hint="eastAsia"/>
        </w:rPr>
        <w:instrText xml:space="preserve"> </w:instrText>
      </w:r>
      <w:r>
        <w:instrText xml:space="preserve">PAGEREF _Toc229423335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"_Toc229423336" </w:instrText>
      </w:r>
      <w:r>
        <w:fldChar w:fldCharType="separate"/>
      </w:r>
      <w:r>
        <w:rPr>
          <w:rStyle w:val="25"/>
        </w:rPr>
        <w:t>3 基于思维链增强与消息传递的分子性质预测方法</w:t>
      </w:r>
      <w:r>
        <w:rPr>
          <w:rFonts w:hint="eastAsia"/>
        </w:rPr>
        <w:tab/>
      </w:r>
      <w:r>
        <w:rPr>
          <w:rFonts w:hint="eastAsia"/>
        </w:rPr>
        <w:fldChar w:fldCharType="begin"/>
      </w:r>
      <w:r>
        <w:rPr>
          <w:rFonts w:hint="eastAsia"/>
        </w:rPr>
        <w:instrText xml:space="preserve"> </w:instrText>
      </w:r>
      <w:r>
        <w:instrText xml:space="preserve">PAGEREF _Toc229423336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"_Toc229423337" </w:instrText>
      </w:r>
      <w:r>
        <w:fldChar w:fldCharType="separate"/>
      </w:r>
      <w:r>
        <w:rPr>
          <w:rStyle w:val="25"/>
        </w:rPr>
        <w:t>3.1 模型设计与描述</w:t>
      </w:r>
      <w:r>
        <w:rPr>
          <w:rFonts w:hint="eastAsia"/>
        </w:rPr>
        <w:tab/>
      </w:r>
      <w:r>
        <w:rPr>
          <w:rFonts w:hint="eastAsia"/>
        </w:rPr>
        <w:fldChar w:fldCharType="begin"/>
      </w:r>
      <w:r>
        <w:rPr>
          <w:rFonts w:hint="eastAsia"/>
        </w:rPr>
        <w:instrText xml:space="preserve"> </w:instrText>
      </w:r>
      <w:r>
        <w:instrText xml:space="preserve">PAGEREF _Toc229423337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"_Toc229423338" </w:instrText>
      </w:r>
      <w:r>
        <w:fldChar w:fldCharType="separate"/>
      </w:r>
      <w:r>
        <w:rPr>
          <w:rStyle w:val="25"/>
        </w:rPr>
        <w:t>3.1.1 CoT-CMP架构概述</w:t>
      </w:r>
      <w:r>
        <w:rPr>
          <w:rFonts w:hint="eastAsia"/>
        </w:rPr>
        <w:tab/>
      </w:r>
      <w:r>
        <w:rPr>
          <w:rFonts w:hint="eastAsia"/>
        </w:rPr>
        <w:fldChar w:fldCharType="begin"/>
      </w:r>
      <w:r>
        <w:rPr>
          <w:rFonts w:hint="eastAsia"/>
        </w:rPr>
        <w:instrText xml:space="preserve"> </w:instrText>
      </w:r>
      <w:r>
        <w:instrText xml:space="preserve">PAGEREF _Toc229423338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"_Toc229423339" </w:instrText>
      </w:r>
      <w:r>
        <w:fldChar w:fldCharType="separate"/>
      </w:r>
      <w:r>
        <w:rPr>
          <w:rStyle w:val="25"/>
        </w:rPr>
        <w:t>3.1.2</w:t>
      </w:r>
      <w:r>
        <w:rPr>
          <w:rStyle w:val="25"/>
          <w:rFonts w:ascii="宋体" w:hAnsi="宋体" w:cs="宋体"/>
        </w:rPr>
        <w:t xml:space="preserve"> 思维链增强的文本编码器</w:t>
      </w:r>
      <w:r>
        <w:rPr>
          <w:rFonts w:hint="eastAsia"/>
        </w:rPr>
        <w:tab/>
      </w:r>
      <w:r>
        <w:rPr>
          <w:rFonts w:hint="eastAsia"/>
        </w:rPr>
        <w:fldChar w:fldCharType="begin"/>
      </w:r>
      <w:r>
        <w:rPr>
          <w:rFonts w:hint="eastAsia"/>
        </w:rPr>
        <w:instrText xml:space="preserve"> </w:instrText>
      </w:r>
      <w:r>
        <w:instrText xml:space="preserve">PAGEREF _Toc229423339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"_Toc229423340" </w:instrText>
      </w:r>
      <w:r>
        <w:fldChar w:fldCharType="separate"/>
      </w:r>
      <w:r>
        <w:rPr>
          <w:rStyle w:val="25"/>
        </w:rPr>
        <w:t>3.1.3</w:t>
      </w:r>
      <w:r>
        <w:rPr>
          <w:rStyle w:val="25"/>
          <w:rFonts w:ascii="宋体" w:hAnsi="宋体" w:cs="宋体"/>
        </w:rPr>
        <w:t xml:space="preserve"> 分子图编码器</w:t>
      </w:r>
      <w:r>
        <w:rPr>
          <w:rFonts w:hint="eastAsia"/>
        </w:rPr>
        <w:tab/>
      </w:r>
      <w:r>
        <w:rPr>
          <w:rFonts w:hint="eastAsia"/>
        </w:rPr>
        <w:fldChar w:fldCharType="begin"/>
      </w:r>
      <w:r>
        <w:rPr>
          <w:rFonts w:hint="eastAsia"/>
        </w:rPr>
        <w:instrText xml:space="preserve"> </w:instrText>
      </w:r>
      <w:r>
        <w:instrText xml:space="preserve">PAGEREF _Toc229423340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"_Toc229423341" </w:instrText>
      </w:r>
      <w:r>
        <w:fldChar w:fldCharType="separate"/>
      </w:r>
      <w:r>
        <w:rPr>
          <w:rStyle w:val="25"/>
        </w:rPr>
        <w:t>3.1.4 融合与预测模块</w:t>
      </w:r>
      <w:r>
        <w:rPr>
          <w:rFonts w:hint="eastAsia"/>
        </w:rPr>
        <w:tab/>
      </w:r>
      <w:r>
        <w:rPr>
          <w:rFonts w:hint="eastAsia"/>
        </w:rPr>
        <w:fldChar w:fldCharType="begin"/>
      </w:r>
      <w:r>
        <w:rPr>
          <w:rFonts w:hint="eastAsia"/>
        </w:rPr>
        <w:instrText xml:space="preserve"> </w:instrText>
      </w:r>
      <w:r>
        <w:instrText xml:space="preserve">PAGEREF _Toc229423341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"_Toc229423342" </w:instrText>
      </w:r>
      <w:r>
        <w:fldChar w:fldCharType="separate"/>
      </w:r>
      <w:r>
        <w:rPr>
          <w:rStyle w:val="25"/>
        </w:rPr>
        <w:t>3.2 实验设计</w:t>
      </w:r>
      <w:r>
        <w:rPr>
          <w:rFonts w:hint="eastAsia"/>
        </w:rPr>
        <w:tab/>
      </w:r>
      <w:r>
        <w:rPr>
          <w:rFonts w:hint="eastAsia"/>
        </w:rPr>
        <w:fldChar w:fldCharType="begin"/>
      </w:r>
      <w:r>
        <w:rPr>
          <w:rFonts w:hint="eastAsia"/>
        </w:rPr>
        <w:instrText xml:space="preserve"> </w:instrText>
      </w:r>
      <w:r>
        <w:instrText xml:space="preserve">PAGEREF _Toc229423342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"_Toc229423343" </w:instrText>
      </w:r>
      <w:r>
        <w:fldChar w:fldCharType="separate"/>
      </w:r>
      <w:r>
        <w:rPr>
          <w:rStyle w:val="25"/>
        </w:rPr>
        <w:t>3.2.1 数据集</w:t>
      </w:r>
      <w:r>
        <w:rPr>
          <w:rFonts w:hint="eastAsia"/>
        </w:rPr>
        <w:tab/>
      </w:r>
      <w:r>
        <w:rPr>
          <w:rFonts w:hint="eastAsia"/>
        </w:rPr>
        <w:fldChar w:fldCharType="begin"/>
      </w:r>
      <w:r>
        <w:rPr>
          <w:rFonts w:hint="eastAsia"/>
        </w:rPr>
        <w:instrText xml:space="preserve"> </w:instrText>
      </w:r>
      <w:r>
        <w:instrText xml:space="preserve">PAGEREF _Toc229423343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"_Toc229423344" </w:instrText>
      </w:r>
      <w:r>
        <w:fldChar w:fldCharType="separate"/>
      </w:r>
      <w:r>
        <w:rPr>
          <w:rStyle w:val="25"/>
        </w:rPr>
        <w:t>3.2.2 划分方式</w:t>
      </w:r>
      <w:r>
        <w:rPr>
          <w:rFonts w:hint="eastAsia"/>
        </w:rPr>
        <w:tab/>
      </w:r>
      <w:r>
        <w:rPr>
          <w:rFonts w:hint="eastAsia"/>
        </w:rPr>
        <w:fldChar w:fldCharType="begin"/>
      </w:r>
      <w:r>
        <w:rPr>
          <w:rFonts w:hint="eastAsia"/>
        </w:rPr>
        <w:instrText xml:space="preserve"> </w:instrText>
      </w:r>
      <w:r>
        <w:instrText xml:space="preserve">PAGEREF _Toc229423344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"_Toc229423345" </w:instrText>
      </w:r>
      <w:r>
        <w:fldChar w:fldCharType="separate"/>
      </w:r>
      <w:r>
        <w:rPr>
          <w:rStyle w:val="25"/>
        </w:rPr>
        <w:t>3.2.3 实验设置</w:t>
      </w:r>
      <w:r>
        <w:rPr>
          <w:rFonts w:hint="eastAsia"/>
        </w:rPr>
        <w:tab/>
      </w:r>
      <w:r>
        <w:rPr>
          <w:rFonts w:hint="eastAsia"/>
        </w:rPr>
        <w:fldChar w:fldCharType="begin"/>
      </w:r>
      <w:r>
        <w:rPr>
          <w:rFonts w:hint="eastAsia"/>
        </w:rPr>
        <w:instrText xml:space="preserve"> </w:instrText>
      </w:r>
      <w:r>
        <w:instrText xml:space="preserve">PAGEREF _Toc229423345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"_Toc229423346" </w:instrText>
      </w:r>
      <w:r>
        <w:fldChar w:fldCharType="separate"/>
      </w:r>
      <w:r>
        <w:rPr>
          <w:rStyle w:val="25"/>
        </w:rPr>
        <w:t>3.2.4 评价指标</w:t>
      </w:r>
      <w:r>
        <w:rPr>
          <w:rFonts w:hint="eastAsia"/>
        </w:rPr>
        <w:tab/>
      </w:r>
      <w:r>
        <w:rPr>
          <w:rFonts w:hint="eastAsia"/>
        </w:rPr>
        <w:fldChar w:fldCharType="begin"/>
      </w:r>
      <w:r>
        <w:rPr>
          <w:rFonts w:hint="eastAsia"/>
        </w:rPr>
        <w:instrText xml:space="preserve"> </w:instrText>
      </w:r>
      <w:r>
        <w:instrText xml:space="preserve">PAGEREF _Toc229423346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"_Toc229423347" </w:instrText>
      </w:r>
      <w:r>
        <w:fldChar w:fldCharType="separate"/>
      </w:r>
      <w:r>
        <w:rPr>
          <w:rStyle w:val="25"/>
        </w:rPr>
        <w:t>3.2.5 对比模型</w:t>
      </w:r>
      <w:r>
        <w:rPr>
          <w:rFonts w:hint="eastAsia"/>
        </w:rPr>
        <w:tab/>
      </w:r>
      <w:r>
        <w:rPr>
          <w:rFonts w:hint="eastAsia"/>
        </w:rPr>
        <w:fldChar w:fldCharType="begin"/>
      </w:r>
      <w:r>
        <w:rPr>
          <w:rFonts w:hint="eastAsia"/>
        </w:rPr>
        <w:instrText xml:space="preserve"> </w:instrText>
      </w:r>
      <w:r>
        <w:instrText xml:space="preserve">PAGEREF _Toc229423347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"_Toc229423348" </w:instrText>
      </w:r>
      <w:r>
        <w:fldChar w:fldCharType="separate"/>
      </w:r>
      <w:r>
        <w:rPr>
          <w:rStyle w:val="25"/>
        </w:rPr>
        <w:t>3.3 实验及结果分析</w:t>
      </w:r>
      <w:r>
        <w:rPr>
          <w:rFonts w:hint="eastAsia"/>
        </w:rPr>
        <w:tab/>
      </w:r>
      <w:r>
        <w:rPr>
          <w:rFonts w:hint="eastAsia"/>
        </w:rPr>
        <w:fldChar w:fldCharType="begin"/>
      </w:r>
      <w:r>
        <w:rPr>
          <w:rFonts w:hint="eastAsia"/>
        </w:rPr>
        <w:instrText xml:space="preserve"> </w:instrText>
      </w:r>
      <w:r>
        <w:instrText xml:space="preserve">PAGEREF _Toc229423348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"_Toc229423349" </w:instrText>
      </w:r>
      <w:r>
        <w:fldChar w:fldCharType="separate"/>
      </w:r>
      <w:r>
        <w:rPr>
          <w:rStyle w:val="25"/>
        </w:rPr>
        <w:t>3.3.1 对比实验</w:t>
      </w:r>
      <w:r>
        <w:rPr>
          <w:rFonts w:hint="eastAsia"/>
        </w:rPr>
        <w:tab/>
      </w:r>
      <w:r>
        <w:rPr>
          <w:rFonts w:hint="eastAsia"/>
        </w:rPr>
        <w:fldChar w:fldCharType="begin"/>
      </w:r>
      <w:r>
        <w:rPr>
          <w:rFonts w:hint="eastAsia"/>
        </w:rPr>
        <w:instrText xml:space="preserve"> </w:instrText>
      </w:r>
      <w:r>
        <w:instrText xml:space="preserve">PAGEREF _Toc229423349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"_Toc229423350" </w:instrText>
      </w:r>
      <w:r>
        <w:fldChar w:fldCharType="separate"/>
      </w:r>
      <w:r>
        <w:rPr>
          <w:rStyle w:val="25"/>
        </w:rPr>
        <w:t>3.3.2 消融实验</w:t>
      </w:r>
      <w:r>
        <w:rPr>
          <w:rFonts w:hint="eastAsia"/>
        </w:rPr>
        <w:tab/>
      </w:r>
      <w:r>
        <w:rPr>
          <w:rFonts w:hint="eastAsia"/>
        </w:rPr>
        <w:fldChar w:fldCharType="begin"/>
      </w:r>
      <w:r>
        <w:rPr>
          <w:rFonts w:hint="eastAsia"/>
        </w:rPr>
        <w:instrText xml:space="preserve"> </w:instrText>
      </w:r>
      <w:r>
        <w:instrText xml:space="preserve">PAGEREF _Toc229423350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"_Toc229423351" </w:instrText>
      </w:r>
      <w:r>
        <w:fldChar w:fldCharType="separate"/>
      </w:r>
      <w:r>
        <w:rPr>
          <w:rStyle w:val="25"/>
        </w:rPr>
        <w:t>3.3.3 可视化分析</w:t>
      </w:r>
      <w:r>
        <w:rPr>
          <w:rFonts w:hint="eastAsia"/>
        </w:rPr>
        <w:tab/>
      </w:r>
      <w:r>
        <w:rPr>
          <w:rFonts w:hint="eastAsia"/>
        </w:rPr>
        <w:fldChar w:fldCharType="begin"/>
      </w:r>
      <w:r>
        <w:rPr>
          <w:rFonts w:hint="eastAsia"/>
        </w:rPr>
        <w:instrText xml:space="preserve"> </w:instrText>
      </w:r>
      <w:r>
        <w:instrText xml:space="preserve">PAGEREF _Toc229423351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"_Toc229423352" </w:instrText>
      </w:r>
      <w:r>
        <w:fldChar w:fldCharType="separate"/>
      </w:r>
      <w:r>
        <w:rPr>
          <w:rStyle w:val="25"/>
        </w:rPr>
        <w:t>3.3.4 参数敏感实验</w:t>
      </w:r>
      <w:r>
        <w:rPr>
          <w:rFonts w:hint="eastAsia"/>
        </w:rPr>
        <w:tab/>
      </w:r>
      <w:r>
        <w:rPr>
          <w:rFonts w:hint="eastAsia"/>
        </w:rPr>
        <w:fldChar w:fldCharType="begin"/>
      </w:r>
      <w:r>
        <w:rPr>
          <w:rFonts w:hint="eastAsia"/>
        </w:rPr>
        <w:instrText xml:space="preserve"> </w:instrText>
      </w:r>
      <w:r>
        <w:instrText xml:space="preserve">PAGEREF _Toc229423352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"_Toc229423353" </w:instrText>
      </w:r>
      <w:r>
        <w:fldChar w:fldCharType="separate"/>
      </w:r>
      <w:r>
        <w:rPr>
          <w:rStyle w:val="25"/>
        </w:rPr>
        <w:t>3.4 本章小结</w:t>
      </w:r>
      <w:r>
        <w:rPr>
          <w:rFonts w:hint="eastAsia"/>
        </w:rPr>
        <w:tab/>
      </w:r>
      <w:r>
        <w:rPr>
          <w:rFonts w:hint="eastAsia"/>
        </w:rPr>
        <w:fldChar w:fldCharType="begin"/>
      </w:r>
      <w:r>
        <w:rPr>
          <w:rFonts w:hint="eastAsia"/>
        </w:rPr>
        <w:instrText xml:space="preserve"> </w:instrText>
      </w:r>
      <w:r>
        <w:instrText xml:space="preserve">PAGEREF _Toc229423353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"_Toc229423354" </w:instrText>
      </w:r>
      <w:r>
        <w:fldChar w:fldCharType="separate"/>
      </w:r>
      <w:r>
        <w:rPr>
          <w:rStyle w:val="25"/>
        </w:rPr>
        <w:t>4 基于知识增强与图对齐的分子性质预测方法</w:t>
      </w:r>
      <w:r>
        <w:rPr>
          <w:rFonts w:hint="eastAsia"/>
        </w:rPr>
        <w:tab/>
      </w:r>
      <w:r>
        <w:rPr>
          <w:rFonts w:hint="eastAsia"/>
        </w:rPr>
        <w:fldChar w:fldCharType="begin"/>
      </w:r>
      <w:r>
        <w:rPr>
          <w:rFonts w:hint="eastAsia"/>
        </w:rPr>
        <w:instrText xml:space="preserve"> </w:instrText>
      </w:r>
      <w:r>
        <w:instrText xml:space="preserve">PAGEREF _Toc229423354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"_Toc229423355" </w:instrText>
      </w:r>
      <w:r>
        <w:fldChar w:fldCharType="separate"/>
      </w:r>
      <w:r>
        <w:rPr>
          <w:rStyle w:val="25"/>
        </w:rPr>
        <w:t>4.1 模型设计与描述</w:t>
      </w:r>
      <w:r>
        <w:rPr>
          <w:rFonts w:hint="eastAsia"/>
        </w:rPr>
        <w:tab/>
      </w:r>
      <w:r>
        <w:rPr>
          <w:rFonts w:hint="eastAsia"/>
        </w:rPr>
        <w:fldChar w:fldCharType="begin"/>
      </w:r>
      <w:r>
        <w:rPr>
          <w:rFonts w:hint="eastAsia"/>
        </w:rPr>
        <w:instrText xml:space="preserve"> </w:instrText>
      </w:r>
      <w:r>
        <w:instrText xml:space="preserve">PAGEREF _Toc229423355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"_Toc229423356" </w:instrText>
      </w:r>
      <w:r>
        <w:fldChar w:fldCharType="separate"/>
      </w:r>
      <w:r>
        <w:rPr>
          <w:rStyle w:val="25"/>
        </w:rPr>
        <w:t>4.1.1 KGAMA框架概述</w:t>
      </w:r>
      <w:r>
        <w:rPr>
          <w:rFonts w:hint="eastAsia"/>
        </w:rPr>
        <w:tab/>
      </w:r>
      <w:r>
        <w:rPr>
          <w:rFonts w:hint="eastAsia"/>
        </w:rPr>
        <w:fldChar w:fldCharType="begin"/>
      </w:r>
      <w:r>
        <w:rPr>
          <w:rFonts w:hint="eastAsia"/>
        </w:rPr>
        <w:instrText xml:space="preserve"> </w:instrText>
      </w:r>
      <w:r>
        <w:instrText xml:space="preserve">PAGEREF _Toc229423356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"_Toc229423357" </w:instrText>
      </w:r>
      <w:r>
        <w:fldChar w:fldCharType="separate"/>
      </w:r>
      <w:r>
        <w:rPr>
          <w:rStyle w:val="25"/>
        </w:rPr>
        <w:t>4.1.2 图编码器</w:t>
      </w:r>
      <w:r>
        <w:rPr>
          <w:rFonts w:hint="eastAsia"/>
        </w:rPr>
        <w:tab/>
      </w:r>
      <w:r>
        <w:rPr>
          <w:rFonts w:hint="eastAsia"/>
        </w:rPr>
        <w:fldChar w:fldCharType="begin"/>
      </w:r>
      <w:r>
        <w:rPr>
          <w:rFonts w:hint="eastAsia"/>
        </w:rPr>
        <w:instrText xml:space="preserve"> </w:instrText>
      </w:r>
      <w:r>
        <w:instrText xml:space="preserve">PAGEREF _Toc229423357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"_Toc229423358" </w:instrText>
      </w:r>
      <w:r>
        <w:fldChar w:fldCharType="separate"/>
      </w:r>
      <w:r>
        <w:rPr>
          <w:rStyle w:val="25"/>
        </w:rPr>
        <w:t>4.1.3 指纹编码器</w:t>
      </w:r>
      <w:r>
        <w:rPr>
          <w:rFonts w:hint="eastAsia"/>
        </w:rPr>
        <w:tab/>
      </w:r>
      <w:r>
        <w:rPr>
          <w:rFonts w:hint="eastAsia"/>
        </w:rPr>
        <w:fldChar w:fldCharType="begin"/>
      </w:r>
      <w:r>
        <w:rPr>
          <w:rFonts w:hint="eastAsia"/>
        </w:rPr>
        <w:instrText xml:space="preserve"> </w:instrText>
      </w:r>
      <w:r>
        <w:instrText xml:space="preserve">PAGEREF _Toc229423358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"_Toc229423359" </w:instrText>
      </w:r>
      <w:r>
        <w:fldChar w:fldCharType="separate"/>
      </w:r>
      <w:r>
        <w:rPr>
          <w:rStyle w:val="25"/>
        </w:rPr>
        <w:t>4.1.4 序列编码器</w:t>
      </w:r>
      <w:r>
        <w:rPr>
          <w:rFonts w:hint="eastAsia"/>
        </w:rPr>
        <w:tab/>
      </w:r>
      <w:r>
        <w:rPr>
          <w:rFonts w:hint="eastAsia"/>
        </w:rPr>
        <w:fldChar w:fldCharType="begin"/>
      </w:r>
      <w:r>
        <w:rPr>
          <w:rFonts w:hint="eastAsia"/>
        </w:rPr>
        <w:instrText xml:space="preserve"> </w:instrText>
      </w:r>
      <w:r>
        <w:instrText xml:space="preserve">PAGEREF _Toc229423359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"_Toc229423360" </w:instrText>
      </w:r>
      <w:r>
        <w:fldChar w:fldCharType="separate"/>
      </w:r>
      <w:r>
        <w:rPr>
          <w:rStyle w:val="25"/>
        </w:rPr>
        <w:t>4.1.5 文本编码器</w:t>
      </w:r>
      <w:r>
        <w:rPr>
          <w:rFonts w:hint="eastAsia"/>
        </w:rPr>
        <w:tab/>
      </w:r>
      <w:r>
        <w:rPr>
          <w:rFonts w:hint="eastAsia"/>
        </w:rPr>
        <w:fldChar w:fldCharType="begin"/>
      </w:r>
      <w:r>
        <w:rPr>
          <w:rFonts w:hint="eastAsia"/>
        </w:rPr>
        <w:instrText xml:space="preserve"> </w:instrText>
      </w:r>
      <w:r>
        <w:instrText xml:space="preserve">PAGEREF _Toc229423360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"_Toc229423361" </w:instrText>
      </w:r>
      <w:r>
        <w:fldChar w:fldCharType="separate"/>
      </w:r>
      <w:r>
        <w:rPr>
          <w:rStyle w:val="25"/>
        </w:rPr>
        <w:t>4.1.6 融合与预测</w:t>
      </w:r>
      <w:r>
        <w:rPr>
          <w:rFonts w:hint="eastAsia"/>
        </w:rPr>
        <w:tab/>
      </w:r>
      <w:r>
        <w:rPr>
          <w:rFonts w:hint="eastAsia"/>
        </w:rPr>
        <w:fldChar w:fldCharType="begin"/>
      </w:r>
      <w:r>
        <w:rPr>
          <w:rFonts w:hint="eastAsia"/>
        </w:rPr>
        <w:instrText xml:space="preserve"> </w:instrText>
      </w:r>
      <w:r>
        <w:instrText xml:space="preserve">PAGEREF _Toc229423361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"_Toc229423362" </w:instrText>
      </w:r>
      <w:r>
        <w:fldChar w:fldCharType="separate"/>
      </w:r>
      <w:r>
        <w:rPr>
          <w:rStyle w:val="25"/>
        </w:rPr>
        <w:t>4.2 实验设计</w:t>
      </w:r>
      <w:r>
        <w:rPr>
          <w:rFonts w:hint="eastAsia"/>
        </w:rPr>
        <w:tab/>
      </w:r>
      <w:r>
        <w:rPr>
          <w:rFonts w:hint="eastAsia"/>
        </w:rPr>
        <w:fldChar w:fldCharType="begin"/>
      </w:r>
      <w:r>
        <w:rPr>
          <w:rFonts w:hint="eastAsia"/>
        </w:rPr>
        <w:instrText xml:space="preserve"> </w:instrText>
      </w:r>
      <w:r>
        <w:instrText xml:space="preserve">PAGEREF _Toc229423362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"_Toc229423363" </w:instrText>
      </w:r>
      <w:r>
        <w:fldChar w:fldCharType="separate"/>
      </w:r>
      <w:r>
        <w:rPr>
          <w:rStyle w:val="25"/>
        </w:rPr>
        <w:t>4.2.1 预训练数据</w:t>
      </w:r>
      <w:r>
        <w:rPr>
          <w:rFonts w:hint="eastAsia"/>
        </w:rPr>
        <w:tab/>
      </w:r>
      <w:r>
        <w:rPr>
          <w:rFonts w:hint="eastAsia"/>
        </w:rPr>
        <w:fldChar w:fldCharType="begin"/>
      </w:r>
      <w:r>
        <w:rPr>
          <w:rFonts w:hint="eastAsia"/>
        </w:rPr>
        <w:instrText xml:space="preserve"> </w:instrText>
      </w:r>
      <w:r>
        <w:instrText xml:space="preserve">PAGEREF _Toc229423363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"_Toc229423364" </w:instrText>
      </w:r>
      <w:r>
        <w:fldChar w:fldCharType="separate"/>
      </w:r>
      <w:r>
        <w:rPr>
          <w:rStyle w:val="25"/>
        </w:rPr>
        <w:t>4.2.2 下游数据集</w:t>
      </w:r>
      <w:r>
        <w:rPr>
          <w:rFonts w:hint="eastAsia"/>
        </w:rPr>
        <w:tab/>
      </w:r>
      <w:r>
        <w:rPr>
          <w:rFonts w:hint="eastAsia"/>
        </w:rPr>
        <w:fldChar w:fldCharType="begin"/>
      </w:r>
      <w:r>
        <w:rPr>
          <w:rFonts w:hint="eastAsia"/>
        </w:rPr>
        <w:instrText xml:space="preserve"> </w:instrText>
      </w:r>
      <w:r>
        <w:instrText xml:space="preserve">PAGEREF _Toc229423364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"_Toc229423365" </w:instrText>
      </w:r>
      <w:r>
        <w:fldChar w:fldCharType="separate"/>
      </w:r>
      <w:r>
        <w:rPr>
          <w:rStyle w:val="25"/>
        </w:rPr>
        <w:t>4.2.3 实验设置</w:t>
      </w:r>
      <w:r>
        <w:rPr>
          <w:rFonts w:hint="eastAsia"/>
        </w:rPr>
        <w:tab/>
      </w:r>
      <w:r>
        <w:rPr>
          <w:rFonts w:hint="eastAsia"/>
        </w:rPr>
        <w:fldChar w:fldCharType="begin"/>
      </w:r>
      <w:r>
        <w:rPr>
          <w:rFonts w:hint="eastAsia"/>
        </w:rPr>
        <w:instrText xml:space="preserve"> </w:instrText>
      </w:r>
      <w:r>
        <w:instrText xml:space="preserve">PAGEREF _Toc229423365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"_Toc229423366" </w:instrText>
      </w:r>
      <w:r>
        <w:fldChar w:fldCharType="separate"/>
      </w:r>
      <w:r>
        <w:rPr>
          <w:rStyle w:val="25"/>
        </w:rPr>
        <w:t>4.2.4 评价指标</w:t>
      </w:r>
      <w:r>
        <w:rPr>
          <w:rFonts w:hint="eastAsia"/>
        </w:rPr>
        <w:tab/>
      </w:r>
      <w:r>
        <w:rPr>
          <w:rFonts w:hint="eastAsia"/>
        </w:rPr>
        <w:fldChar w:fldCharType="begin"/>
      </w:r>
      <w:r>
        <w:rPr>
          <w:rFonts w:hint="eastAsia"/>
        </w:rPr>
        <w:instrText xml:space="preserve"> </w:instrText>
      </w:r>
      <w:r>
        <w:instrText xml:space="preserve">PAGEREF _Toc229423366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"_Toc229423367" </w:instrText>
      </w:r>
      <w:r>
        <w:fldChar w:fldCharType="separate"/>
      </w:r>
      <w:r>
        <w:rPr>
          <w:rStyle w:val="25"/>
        </w:rPr>
        <w:t>4.2.5 损失函数</w:t>
      </w:r>
      <w:r>
        <w:rPr>
          <w:rFonts w:hint="eastAsia"/>
        </w:rPr>
        <w:tab/>
      </w:r>
      <w:r>
        <w:rPr>
          <w:rFonts w:hint="eastAsia"/>
        </w:rPr>
        <w:fldChar w:fldCharType="begin"/>
      </w:r>
      <w:r>
        <w:rPr>
          <w:rFonts w:hint="eastAsia"/>
        </w:rPr>
        <w:instrText xml:space="preserve"> </w:instrText>
      </w:r>
      <w:r>
        <w:instrText xml:space="preserve">PAGEREF _Toc229423367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"_Toc229423368" </w:instrText>
      </w:r>
      <w:r>
        <w:fldChar w:fldCharType="separate"/>
      </w:r>
      <w:r>
        <w:rPr>
          <w:rStyle w:val="25"/>
        </w:rPr>
        <w:t>4.2.6 对比模型</w:t>
      </w:r>
      <w:r>
        <w:rPr>
          <w:rFonts w:hint="eastAsia"/>
        </w:rPr>
        <w:tab/>
      </w:r>
      <w:r>
        <w:rPr>
          <w:rFonts w:hint="eastAsia"/>
        </w:rPr>
        <w:fldChar w:fldCharType="begin"/>
      </w:r>
      <w:r>
        <w:rPr>
          <w:rFonts w:hint="eastAsia"/>
        </w:rPr>
        <w:instrText xml:space="preserve"> </w:instrText>
      </w:r>
      <w:r>
        <w:instrText xml:space="preserve">PAGEREF _Toc229423368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"_Toc229423369" </w:instrText>
      </w:r>
      <w:r>
        <w:fldChar w:fldCharType="separate"/>
      </w:r>
      <w:r>
        <w:rPr>
          <w:rStyle w:val="25"/>
        </w:rPr>
        <w:t>4.3 实验及结果分析</w:t>
      </w:r>
      <w:r>
        <w:rPr>
          <w:rFonts w:hint="eastAsia"/>
        </w:rPr>
        <w:tab/>
      </w:r>
      <w:r>
        <w:rPr>
          <w:rFonts w:hint="eastAsia"/>
        </w:rPr>
        <w:fldChar w:fldCharType="begin"/>
      </w:r>
      <w:r>
        <w:rPr>
          <w:rFonts w:hint="eastAsia"/>
        </w:rPr>
        <w:instrText xml:space="preserve"> </w:instrText>
      </w:r>
      <w:r>
        <w:instrText xml:space="preserve">PAGEREF _Toc229423369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"_Toc229423370" </w:instrText>
      </w:r>
      <w:r>
        <w:fldChar w:fldCharType="separate"/>
      </w:r>
      <w:r>
        <w:rPr>
          <w:rStyle w:val="25"/>
        </w:rPr>
        <w:t>4.3.1 对比实验</w:t>
      </w:r>
      <w:r>
        <w:rPr>
          <w:rFonts w:hint="eastAsia"/>
        </w:rPr>
        <w:tab/>
      </w:r>
      <w:r>
        <w:rPr>
          <w:rFonts w:hint="eastAsia"/>
        </w:rPr>
        <w:fldChar w:fldCharType="begin"/>
      </w:r>
      <w:r>
        <w:rPr>
          <w:rFonts w:hint="eastAsia"/>
        </w:rPr>
        <w:instrText xml:space="preserve"> </w:instrText>
      </w:r>
      <w:r>
        <w:instrText xml:space="preserve">PAGEREF _Toc229423370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"_Toc229423371" </w:instrText>
      </w:r>
      <w:r>
        <w:fldChar w:fldCharType="separate"/>
      </w:r>
      <w:r>
        <w:rPr>
          <w:rStyle w:val="25"/>
        </w:rPr>
        <w:t>4.3.2 消融实验</w:t>
      </w:r>
      <w:r>
        <w:rPr>
          <w:rFonts w:hint="eastAsia"/>
        </w:rPr>
        <w:tab/>
      </w:r>
      <w:r>
        <w:rPr>
          <w:rFonts w:hint="eastAsia"/>
        </w:rPr>
        <w:fldChar w:fldCharType="begin"/>
      </w:r>
      <w:r>
        <w:rPr>
          <w:rFonts w:hint="eastAsia"/>
        </w:rPr>
        <w:instrText xml:space="preserve"> </w:instrText>
      </w:r>
      <w:r>
        <w:instrText xml:space="preserve">PAGEREF _Toc229423371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"_Toc229423372" </w:instrText>
      </w:r>
      <w:r>
        <w:fldChar w:fldCharType="separate"/>
      </w:r>
      <w:r>
        <w:rPr>
          <w:rStyle w:val="25"/>
        </w:rPr>
        <w:t>4.3.3 可视化分析</w:t>
      </w:r>
      <w:r>
        <w:rPr>
          <w:rFonts w:hint="eastAsia"/>
        </w:rPr>
        <w:tab/>
      </w:r>
      <w:r>
        <w:rPr>
          <w:rFonts w:hint="eastAsia"/>
        </w:rPr>
        <w:fldChar w:fldCharType="begin"/>
      </w:r>
      <w:r>
        <w:rPr>
          <w:rFonts w:hint="eastAsia"/>
        </w:rPr>
        <w:instrText xml:space="preserve"> </w:instrText>
      </w:r>
      <w:r>
        <w:instrText xml:space="preserve">PAGEREF _Toc229423372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"_Toc229423373" </w:instrText>
      </w:r>
      <w:r>
        <w:fldChar w:fldCharType="separate"/>
      </w:r>
      <w:r>
        <w:rPr>
          <w:rStyle w:val="25"/>
        </w:rPr>
        <w:t>4.3.4 参数敏感实验</w:t>
      </w:r>
      <w:r>
        <w:rPr>
          <w:rFonts w:hint="eastAsia"/>
        </w:rPr>
        <w:tab/>
      </w:r>
      <w:r>
        <w:rPr>
          <w:rFonts w:hint="eastAsia"/>
        </w:rPr>
        <w:fldChar w:fldCharType="begin"/>
      </w:r>
      <w:r>
        <w:rPr>
          <w:rFonts w:hint="eastAsia"/>
        </w:rPr>
        <w:instrText xml:space="preserve"> </w:instrText>
      </w:r>
      <w:r>
        <w:instrText xml:space="preserve">PAGEREF _Toc229423373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"_Toc229423374" </w:instrText>
      </w:r>
      <w:r>
        <w:fldChar w:fldCharType="separate"/>
      </w:r>
      <w:r>
        <w:rPr>
          <w:rStyle w:val="25"/>
        </w:rPr>
        <w:t>4.4 本章小结</w:t>
      </w:r>
      <w:r>
        <w:rPr>
          <w:rFonts w:hint="eastAsia"/>
        </w:rPr>
        <w:tab/>
      </w:r>
      <w:r>
        <w:rPr>
          <w:rFonts w:hint="eastAsia"/>
        </w:rPr>
        <w:fldChar w:fldCharType="begin"/>
      </w:r>
      <w:r>
        <w:rPr>
          <w:rFonts w:hint="eastAsia"/>
        </w:rPr>
        <w:instrText xml:space="preserve"> </w:instrText>
      </w:r>
      <w:r>
        <w:instrText xml:space="preserve">PAGEREF _Toc229423374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"_Toc229423375" </w:instrText>
      </w:r>
      <w:r>
        <w:fldChar w:fldCharType="separate"/>
      </w:r>
      <w:r>
        <w:rPr>
          <w:rStyle w:val="25"/>
        </w:rPr>
        <w:t>5 总结与展望</w:t>
      </w:r>
      <w:r>
        <w:rPr>
          <w:rFonts w:hint="eastAsia"/>
        </w:rPr>
        <w:tab/>
      </w:r>
      <w:r>
        <w:rPr>
          <w:rFonts w:hint="eastAsia"/>
        </w:rPr>
        <w:fldChar w:fldCharType="begin"/>
      </w:r>
      <w:r>
        <w:rPr>
          <w:rFonts w:hint="eastAsia"/>
        </w:rPr>
        <w:instrText xml:space="preserve"> </w:instrText>
      </w:r>
      <w:r>
        <w:instrText xml:space="preserve">PAGEREF _Toc229423375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"_Toc229423376" </w:instrText>
      </w:r>
      <w:r>
        <w:fldChar w:fldCharType="separate"/>
      </w:r>
      <w:r>
        <w:rPr>
          <w:rStyle w:val="25"/>
        </w:rPr>
        <w:t>5.1 工作总结</w:t>
      </w:r>
      <w:r>
        <w:rPr>
          <w:rFonts w:hint="eastAsia"/>
        </w:rPr>
        <w:tab/>
      </w:r>
      <w:r>
        <w:rPr>
          <w:rFonts w:hint="eastAsia"/>
        </w:rPr>
        <w:fldChar w:fldCharType="begin"/>
      </w:r>
      <w:r>
        <w:rPr>
          <w:rFonts w:hint="eastAsia"/>
        </w:rPr>
        <w:instrText xml:space="preserve"> </w:instrText>
      </w:r>
      <w:r>
        <w:instrText xml:space="preserve">PAGEREF _Toc229423376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"_Toc229423377" </w:instrText>
      </w:r>
      <w:r>
        <w:fldChar w:fldCharType="separate"/>
      </w:r>
      <w:r>
        <w:rPr>
          <w:rStyle w:val="25"/>
        </w:rPr>
        <w:t>5.2 工作展望</w:t>
      </w:r>
      <w:r>
        <w:rPr>
          <w:rFonts w:hint="eastAsia"/>
        </w:rPr>
        <w:tab/>
      </w:r>
      <w:r>
        <w:rPr>
          <w:rFonts w:hint="eastAsia"/>
        </w:rPr>
        <w:fldChar w:fldCharType="begin"/>
      </w:r>
      <w:r>
        <w:rPr>
          <w:rFonts w:hint="eastAsia"/>
        </w:rPr>
        <w:instrText xml:space="preserve"> </w:instrText>
      </w:r>
      <w:r>
        <w:instrText xml:space="preserve">PAGEREF _Toc229423377 \h</w:instrText>
      </w:r>
      <w:r>
        <w:rPr>
          <w:rFonts w:hint="eastAsia"/>
        </w:rPr>
        <w:instrText xml:space="preserve"> </w:instrText>
      </w:r>
      <w:r>
        <w:rPr>
          <w:rFonts w:hint="eastAsia"/>
        </w:rPr>
        <w:fldChar w:fldCharType="separate"/>
      </w:r>
      <w:r>
        <w:t>63</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"_Toc229423378" </w:instrText>
      </w:r>
      <w:r>
        <w:fldChar w:fldCharType="separate"/>
      </w:r>
      <w:r>
        <w:rPr>
          <w:rStyle w:val="25"/>
        </w:rPr>
        <w:t>参考文献</w:t>
      </w:r>
      <w:r>
        <w:rPr>
          <w:rFonts w:hint="eastAsia"/>
        </w:rPr>
        <w:tab/>
      </w:r>
      <w:r>
        <w:rPr>
          <w:rFonts w:hint="eastAsia"/>
        </w:rPr>
        <w:fldChar w:fldCharType="begin"/>
      </w:r>
      <w:r>
        <w:rPr>
          <w:rFonts w:hint="eastAsia"/>
        </w:rPr>
        <w:instrText xml:space="preserve"> </w:instrText>
      </w:r>
      <w:r>
        <w:instrText xml:space="preserve">PAGEREF _Toc229423378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"_Toc229423379" </w:instrText>
      </w:r>
      <w:r>
        <w:fldChar w:fldCharType="separate"/>
      </w:r>
      <w:r>
        <w:rPr>
          <w:rStyle w:val="25"/>
        </w:rPr>
        <w:t>致谢</w:t>
      </w:r>
      <w:r>
        <w:rPr>
          <w:rFonts w:hint="eastAsia"/>
        </w:rPr>
        <w:tab/>
      </w:r>
      <w:r>
        <w:rPr>
          <w:rFonts w:hint="eastAsia"/>
        </w:rPr>
        <w:fldChar w:fldCharType="begin"/>
      </w:r>
      <w:r>
        <w:rPr>
          <w:rFonts w:hint="eastAsia"/>
        </w:rPr>
        <w:instrText xml:space="preserve"> </w:instrText>
      </w:r>
      <w:r>
        <w:instrText xml:space="preserve">PAGEREF _Toc229423379 \h</w:instrText>
      </w:r>
      <w:r>
        <w:rPr>
          <w:rFonts w:hint="eastAsia"/>
        </w:rPr>
        <w:instrText xml:space="preserve"> </w:instrText>
      </w:r>
      <w:r>
        <w:rPr>
          <w:rFonts w:hint="eastAsia"/>
        </w:rPr>
        <w:fldChar w:fldCharType="separate"/>
      </w:r>
      <w:r>
        <w:t>70</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"_Toc229423380" </w:instrText>
      </w:r>
      <w:r>
        <w:fldChar w:fldCharType="separate"/>
      </w:r>
      <w:r>
        <w:rPr>
          <w:rStyle w:val="25"/>
        </w:rPr>
        <w:t>附录</w:t>
      </w:r>
      <w:r>
        <w:rPr>
          <w:rFonts w:hint="eastAsia"/>
        </w:rPr>
        <w:tab/>
      </w:r>
      <w:r>
        <w:rPr>
          <w:rFonts w:hint="eastAsia"/>
        </w:rPr>
        <w:fldChar w:fldCharType="begin"/>
      </w:r>
      <w:r>
        <w:rPr>
          <w:rFonts w:hint="eastAsia"/>
        </w:rPr>
        <w:instrText xml:space="preserve"> </w:instrText>
      </w:r>
      <w:r>
        <w:instrText xml:space="preserve">PAGEREF _Toc229423380 \h</w:instrText>
      </w:r>
      <w:r>
        <w:rPr>
          <w:rFonts w:hint="eastAsia"/>
        </w:rPr>
        <w:instrText xml:space="preserve"> </w:instrText>
      </w:r>
      <w:r>
        <w:rPr>
          <w:rFonts w:hint="eastAsia"/>
        </w:rPr>
        <w:fldChar w:fldCharType="separate"/>
      </w:r>
      <w:r>
        <w:t>71</w:t>
      </w:r>
      <w:r>
        <w:rPr>
          <w:rFonts w:hint="eastAsia"/>
        </w:rPr>
        <w:fldChar w:fldCharType="end"/>
      </w:r>
      <w:r>
        <w:rPr>
          <w:rFonts w:hint="eastAsia"/>
        </w:rPr>
        <w:fldChar w:fldCharType="end"/>
      </w:r>
    </w:p>
    <w:p>
      <w:pPr>
        <w:ind w:firstLine="0" w:firstLineChars="0"/>
      </w:pPr>
      <w:r>
        <w:rPr>
          <w:rFonts w:cstheme="minorHAnsi"/>
          <w:caps/>
          <w:szCs w:val="20"/>
        </w:rPr>
        <w:fldChar w:fldCharType="end"/>
      </w:r>
      <w:commentRangeEnd w:id="1"/>
      <w:r>
        <w:commentReference w:id="1"/>
      </w:r>
      <w:commentRangeEnd w:id="2"/>
      <w:r>
        <w:commentReference w:id="2"/>
      </w:r>
    </w:p>
    <w:p>
      <w:pPr>
        <w:ind w:firstLine="0" w:firstLineChars="0"/>
        <w:sectPr>
          <w:headerReference r:id="rId11" w:type="default"/>
          <w:footerReference r:id="rId12" w:type="default"/>
          <w:footerReference r:id="rId13" w:type="even"/>
          <w:pgSz w:w="11906" w:h="16838"/>
          <w:pgMar w:top="1418" w:right="1134" w:bottom="1134" w:left="1418" w:header="851" w:footer="851" w:gutter="0"/>
          <w:pgNumType w:start="1"/>
          <w:cols w:space="425" w:num="1"/>
          <w:docGrid w:type="lines" w:linePitch="326" w:charSpace="0"/>
        </w:sectPr>
      </w:pPr>
    </w:p>
    <w:p>
      <w:pPr>
        <w:pStyle w:val="2"/>
      </w:pPr>
      <w:bookmarkStart w:id="4" w:name="_Toc229423312"/>
      <w:r>
        <w:rPr>
          <w:rFonts w:hint="eastAsia"/>
        </w:rPr>
        <w:t>引言</w:t>
      </w:r>
      <w:bookmarkEnd w:id="4"/>
    </w:p>
    <w:p>
      <w:pPr>
        <w:pStyle w:val="3"/>
      </w:pPr>
      <w:bookmarkStart w:id="5" w:name="_Toc229423313"/>
      <w:bookmarkStart w:id="6" w:name="OLE_LINK3"/>
      <w:r>
        <w:rPr>
          <w:rFonts w:hint="eastAsia"/>
        </w:rPr>
        <w:t>研究背景及意义</w:t>
      </w:r>
      <w:bookmarkEnd w:id="5"/>
    </w:p>
    <w:bookmarkEnd w:id="6"/>
    <w:p>
      <w:r>
        <w:rPr>
          <w:rFonts w:hint="eastAsia"/>
        </w:rPr>
        <w:t>现代创新药物的研发是一个高度复杂、多学科交叉、系统性且极具风险的庞大科学工程</w:t>
      </w:r>
      <w:r>
        <w:rPr>
          <w:vertAlign w:val="superscript"/>
        </w:rPr>
        <w:fldChar w:fldCharType="begin"/>
      </w:r>
      <w:r>
        <w:rPr>
          <w:vertAlign w:val="superscript"/>
        </w:rPr>
        <w:instrText xml:space="preserve"> REF _Ref225723236 \r \h  \* MERGEFORMAT </w:instrText>
      </w:r>
      <w:r>
        <w:rPr>
          <w:vertAlign w:val="superscript"/>
        </w:rPr>
        <w:fldChar w:fldCharType="separate"/>
      </w:r>
      <w:r>
        <w:rPr>
          <w:vertAlign w:val="superscript"/>
        </w:rPr>
        <w:t>[1]</w:t>
      </w:r>
      <w:r>
        <w:rPr>
          <w:vertAlign w:val="superscript"/>
        </w:rPr>
        <w:fldChar w:fldCharType="end"/>
      </w:r>
      <w:r>
        <w:rPr>
          <w:rFonts w:hint="eastAsia"/>
        </w:rPr>
        <w:t>。其绵长的生命周期通常横跨数十年的时间，研发的成本也通常会达到数十亿美元</w:t>
      </w:r>
      <w:r>
        <w:rPr>
          <w:vertAlign w:val="superscript"/>
        </w:rPr>
        <w:fldChar w:fldCharType="begin"/>
      </w:r>
      <w:r>
        <w:rPr>
          <w:vertAlign w:val="superscript"/>
        </w:rPr>
        <w:instrText xml:space="preserve"> </w:instrText>
      </w:r>
      <w:r>
        <w:rPr>
          <w:rFonts w:hint="eastAsia"/>
          <w:vertAlign w:val="superscript"/>
        </w:rPr>
        <w:instrText xml:space="preserve">REF _Ref225723285 \r \h</w:instrText>
      </w:r>
      <w:r>
        <w:rPr>
          <w:vertAlign w:val="superscript"/>
        </w:rPr>
        <w:instrText xml:space="preserve"> \#[0"</w:instrText>
      </w:r>
      <w:r>
        <w:rPr>
          <w:vertAlign w:val="superscript"/>
        </w:rPr>
        <w:fldChar w:fldCharType="separate"/>
      </w:r>
      <w:r>
        <w:rPr>
          <w:vertAlign w:val="superscript"/>
        </w:rPr>
        <w:t>[2</w:t>
      </w:r>
      <w:r>
        <w:rPr>
          <w:vertAlign w:val="superscript"/>
        </w:rPr>
        <w:fldChar w:fldCharType="end"/>
      </w:r>
      <w:r>
        <w:rPr>
          <w:rFonts w:hint="eastAsia"/>
          <w:vertAlign w:val="superscript"/>
        </w:rPr>
        <w:t>-</w:t>
      </w:r>
      <w:r>
        <w:rPr>
          <w:vertAlign w:val="superscript"/>
        </w:rPr>
        <w:fldChar w:fldCharType="begin"/>
      </w:r>
      <w:r>
        <w:rPr>
          <w:vertAlign w:val="superscript"/>
        </w:rPr>
        <w:instrText xml:space="preserve"> REF _Ref225723287 \r \h \#0]"</w:instrText>
      </w:r>
      <w:r>
        <w:rPr>
          <w:vertAlign w:val="superscript"/>
        </w:rPr>
        <w:fldChar w:fldCharType="separate"/>
      </w:r>
      <w:r>
        <w:rPr>
          <w:vertAlign w:val="superscript"/>
        </w:rPr>
        <w:t>3]</w:t>
      </w:r>
      <w:r>
        <w:rPr>
          <w:vertAlign w:val="superscript"/>
        </w:rPr>
        <w:fldChar w:fldCharType="end"/>
      </w:r>
      <w:r>
        <w:rPr>
          <w:rFonts w:hint="eastAsia"/>
        </w:rPr>
        <w:t>。整个药物研发流程可划分为五个关键阶段：第一阶段为药物发现与开发，</w:t>
      </w:r>
      <w:r>
        <w:t>这一阶段是基于一种特定的疾病或者病症，</w:t>
      </w:r>
      <w:r>
        <w:rPr>
          <w:rFonts w:hint="eastAsia"/>
        </w:rPr>
        <w:t>研究人员通过多种寻找潜在候选药物的策略从百万量级的化合物库中遴选出具有关键作用的目标分子。第二阶段为临床前研究，这一阶段是</w:t>
      </w:r>
      <w:r>
        <w:t>初始发现阶段与人体测试之间的重要桥梁</w:t>
      </w:r>
      <w:r>
        <w:rPr>
          <w:rFonts w:hint="eastAsia"/>
        </w:rPr>
        <w:t>。通过体外细胞实验与体内动物模型对候选分子的安全性、毒性及药代动力学特性进行系统评估；第三阶段为临床研究，候选药物依次经历多期的临床试验，在不同规模的人群中逐步验证其安全性与有效性；第四阶段为监管审批，药物开发商向监管机构提交新药申请，由专家团队对全部临床数据进行严格审查；第五阶段为上市后安全监控，已获批药物在真实世界的大规模使用中持续接受不良事件监测与长期安全性评估。上述五个阶段环环相扣、层层递进，这一严苛而漫长的研发流程迫切需要更高效的技术手段介入，以加速候选分子的早期筛选与优化过程，降低研发成本与失败风险。</w:t>
      </w:r>
      <w:r>
        <w:fldChar w:fldCharType="begin"/>
      </w:r>
      <w:r>
        <w:instrText xml:space="preserve"> MACROBUTTON MTEditEquationSection2 </w:instrText>
      </w:r>
      <w:r>
        <w:rPr>
          <w:rStyle w:val="43"/>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bookmarkStart w:id="7" w:name="OLE_LINK4"/>
      <w:r>
        <w:rPr>
          <w:rFonts w:hint="eastAsia"/>
        </w:rPr>
        <w:t>分子性质预测在药物研发的早期阶段扮演着至关重要的角色。其目的是匹配目标分子相应的生化性质。通过在实验验证之前对候选分子的关键性质进行快速评估，研究人员得以从百万量级的化合物库中迅速剔除不符合要求的分子，将候选范围大幅缩小到少量具有成药潜力的候选分子，从而在源头上避免大量无效的实验资源消耗</w:t>
      </w:r>
      <w:r>
        <w:rPr>
          <w:vertAlign w:val="superscript"/>
        </w:rPr>
        <w:fldChar w:fldCharType="begin"/>
      </w:r>
      <w:r>
        <w:rPr>
          <w:vertAlign w:val="superscript"/>
        </w:rPr>
        <w:instrText xml:space="preserve"> </w:instrText>
      </w:r>
      <w:r>
        <w:rPr>
          <w:rFonts w:hint="eastAsia"/>
          <w:vertAlign w:val="superscript"/>
        </w:rPr>
        <w:instrText xml:space="preserve">REF _Ref225723321 \r \h</w:instrText>
      </w:r>
      <w:r>
        <w:rPr>
          <w:vertAlign w:val="superscript"/>
        </w:rPr>
        <w:instrText xml:space="preserve">  \* MERGEFORMAT </w:instrText>
      </w:r>
      <w:r>
        <w:rPr>
          <w:vertAlign w:val="superscript"/>
        </w:rPr>
        <w:fldChar w:fldCharType="separate"/>
      </w:r>
      <w:r>
        <w:rPr>
          <w:vertAlign w:val="superscript"/>
        </w:rPr>
        <w:t>[4]</w:t>
      </w:r>
      <w:r>
        <w:rPr>
          <w:vertAlign w:val="superscript"/>
        </w:rPr>
        <w:fldChar w:fldCharType="end"/>
      </w:r>
      <w:r>
        <w:rPr>
          <w:rFonts w:hint="eastAsia"/>
        </w:rPr>
        <w:t>。</w:t>
      </w:r>
    </w:p>
    <w:p>
      <w:pPr>
        <w:ind w:left="1" w:firstLine="477" w:firstLineChars="199"/>
      </w:pPr>
      <w:r>
        <w:rPr>
          <w:rFonts w:hint="eastAsia"/>
        </w:rPr>
        <w:t>然而，传统获取分子性质的手段面临着难以逾越的效率与成本瓶颈。长期以来，分子理化性质任务高度依赖于湿实验</w:t>
      </w:r>
      <w:r>
        <w:rPr>
          <w:vertAlign w:val="superscript"/>
        </w:rPr>
        <w:fldChar w:fldCharType="begin"/>
      </w:r>
      <w:r>
        <w:rPr>
          <w:vertAlign w:val="superscript"/>
        </w:rPr>
        <w:instrText xml:space="preserve"> </w:instrText>
      </w:r>
      <w:r>
        <w:rPr>
          <w:rFonts w:hint="eastAsia"/>
          <w:vertAlign w:val="superscript"/>
        </w:rPr>
        <w:instrText xml:space="preserve">REF _Ref225723366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rFonts w:hint="eastAsia"/>
        </w:rPr>
        <w:t>。尽管实验方法具有极高的数据可靠性，但其实施成本高昂，且操作流程复杂耗时。面对庞大的潜在化学成药空间，传统的湿实验显然无法满足现代医药工业的大规模高通量筛选需求</w:t>
      </w:r>
      <w:r>
        <w:rPr>
          <w:vertAlign w:val="superscript"/>
        </w:rPr>
        <w:fldChar w:fldCharType="begin"/>
      </w:r>
      <w:r>
        <w:rPr>
          <w:vertAlign w:val="superscript"/>
        </w:rPr>
        <w:instrText xml:space="preserve"> </w:instrText>
      </w:r>
      <w:r>
        <w:rPr>
          <w:rFonts w:hint="eastAsia"/>
          <w:vertAlign w:val="superscript"/>
        </w:rPr>
        <w:instrText xml:space="preserve">REF _Ref225723560 \r \h</w:instrText>
      </w:r>
      <w:r>
        <w:rPr>
          <w:vertAlign w:val="superscript"/>
        </w:rPr>
        <w:instrText xml:space="preserve">  \* MERGEFORMAT </w:instrText>
      </w:r>
      <w:r>
        <w:rPr>
          <w:vertAlign w:val="superscript"/>
        </w:rPr>
        <w:fldChar w:fldCharType="separate"/>
      </w:r>
      <w:r>
        <w:rPr>
          <w:vertAlign w:val="superscript"/>
        </w:rPr>
        <w:t>[6]</w:t>
      </w:r>
      <w:r>
        <w:rPr>
          <w:vertAlign w:val="superscript"/>
        </w:rPr>
        <w:fldChar w:fldCharType="end"/>
      </w:r>
      <w:r>
        <w:rPr>
          <w:rFonts w:hint="eastAsia"/>
        </w:rPr>
        <w:t>。另一方面，以量子力学计算为代表的理论计算方法，受限其高昂的计算成本和编码效率，尽管能够在比较微观的尺度上</w:t>
      </w:r>
      <w:r>
        <w:t>捕捉底层粒子交互与空间形态形变</w:t>
      </w:r>
      <w:r>
        <w:rPr>
          <w:rFonts w:hint="eastAsia"/>
        </w:rPr>
        <w:t>，但也难以在复杂生物分子体系中实现高效、快速的评估</w:t>
      </w:r>
      <w:r>
        <w:rPr>
          <w:vertAlign w:val="superscript"/>
        </w:rPr>
        <w:fldChar w:fldCharType="begin"/>
      </w:r>
      <w:r>
        <w:rPr>
          <w:vertAlign w:val="superscript"/>
        </w:rPr>
        <w:instrText xml:space="preserve"> </w:instrText>
      </w:r>
      <w:r>
        <w:rPr>
          <w:rFonts w:hint="eastAsia"/>
          <w:vertAlign w:val="superscript"/>
        </w:rPr>
        <w:instrText xml:space="preserve">REF _Ref225723576 \r \h</w:instrText>
      </w:r>
      <w:r>
        <w:rPr>
          <w:vertAlign w:val="superscript"/>
        </w:rPr>
        <w:instrText xml:space="preserve">  \* MERGEFORMAT </w:instrText>
      </w:r>
      <w:r>
        <w:rPr>
          <w:vertAlign w:val="superscript"/>
        </w:rPr>
        <w:fldChar w:fldCharType="separate"/>
      </w:r>
      <w:r>
        <w:rPr>
          <w:vertAlign w:val="superscript"/>
        </w:rPr>
        <w:t>[7]</w:t>
      </w:r>
      <w:r>
        <w:rPr>
          <w:vertAlign w:val="superscript"/>
        </w:rPr>
        <w:fldChar w:fldCharType="end"/>
      </w:r>
      <w:r>
        <w:rPr>
          <w:rFonts w:hint="eastAsia"/>
        </w:rPr>
        <w:t>。</w:t>
      </w:r>
    </w:p>
    <w:p>
      <w:pPr>
        <w:ind w:left="1" w:firstLine="477" w:firstLineChars="199"/>
      </w:pPr>
      <w:r>
        <w:rPr>
          <w:rFonts w:hint="eastAsia"/>
        </w:rPr>
        <w:t>近年来，伴随着计算机算力的不断提升与医药数据的积累，计算机辅助药物发现技术取得了显著进展。特别是深度学习等人工智能方法，凭借其强大的数据处理与非线性模式挖掘能力，能够在较短的时间内高效处理海量的分子数据，并借助多层神经网络实现对高维特征的自动学习与表征，从而实现对复杂分子结构到生化性质映射关系的精准建模与预测。从基于一维序列的Transformer到基于二维拓扑的图神经网络，深度学习技术正推动新药发现由传统的经验驱动全面转向数据驱动。这一前沿技术的加持，不仅打破了传统实验与理论计算的效率壁垒，更为精准预测分子药代动力学特性、大幅提升药物研发的成功率提供了智能辅助方案。</w:t>
      </w:r>
    </w:p>
    <w:bookmarkEnd w:id="7"/>
    <w:p>
      <w:pPr>
        <w:pStyle w:val="3"/>
      </w:pPr>
      <w:bookmarkStart w:id="8" w:name="_Toc229423314"/>
      <w:r>
        <w:rPr>
          <w:rFonts w:hint="eastAsia"/>
        </w:rPr>
        <w:t>国内外研究现状</w:t>
      </w:r>
      <w:bookmarkEnd w:id="8"/>
    </w:p>
    <w:p>
      <w:r>
        <w:t>在药物发现早期，准确预测分子的</w:t>
      </w:r>
      <w:r>
        <w:rPr>
          <w:rFonts w:hint="eastAsia"/>
        </w:rPr>
        <w:t>生化</w:t>
      </w:r>
      <w:r>
        <w:t>性质与药代动力学特性是加速</w:t>
      </w:r>
      <w:r>
        <w:rPr>
          <w:rFonts w:hint="eastAsia"/>
        </w:rPr>
        <w:t>目标分子筛选任务</w:t>
      </w:r>
      <w:r>
        <w:t>的核心。随着医药大数据的积累与计算</w:t>
      </w:r>
      <w:r>
        <w:rPr>
          <w:rFonts w:hint="eastAsia"/>
        </w:rPr>
        <w:t>机</w:t>
      </w:r>
      <w:r>
        <w:t>算力的爆发，计算机辅助分子性质预测经历了从传统机器学习到深度学习的范式跃迁。目前，国内外学术界在该领域的研究</w:t>
      </w:r>
      <w:r>
        <w:rPr>
          <w:rFonts w:hint="eastAsia"/>
        </w:rPr>
        <w:t>明显展现出</w:t>
      </w:r>
      <w:r>
        <w:t>两条</w:t>
      </w:r>
      <w:r>
        <w:rPr>
          <w:rFonts w:hint="eastAsia"/>
        </w:rPr>
        <w:t>主要的</w:t>
      </w:r>
      <w:r>
        <w:t>核心技术主线：基于单模态的分子表示</w:t>
      </w:r>
      <w:r>
        <w:rPr>
          <w:rFonts w:hint="eastAsia"/>
        </w:rPr>
        <w:t>方法</w:t>
      </w:r>
      <w:r>
        <w:t>与基于多模态的分子表示</w:t>
      </w:r>
      <w:r>
        <w:rPr>
          <w:rFonts w:hint="eastAsia"/>
        </w:rPr>
        <w:t>方法，这两种方法都是用来实现分子性质的精准预测</w:t>
      </w:r>
      <w:r>
        <w:t>。</w:t>
      </w:r>
    </w:p>
    <w:p>
      <w:pPr>
        <w:pStyle w:val="4"/>
        <w:rPr>
          <w:rFonts w:hint="default"/>
        </w:rPr>
      </w:pPr>
      <w:bookmarkStart w:id="9" w:name="_Toc229423315"/>
      <w:r>
        <w:t>基于单模态的分子性质预测方法</w:t>
      </w:r>
      <w:bookmarkEnd w:id="9"/>
    </w:p>
    <w:p>
      <w:r>
        <w:rPr>
          <w:rFonts w:hint="eastAsia"/>
        </w:rPr>
        <w:t>单模态方法是指依赖单一的数据形式，例如典型的一维数据SMILES序列，二维数据分子拓扑图、三维数据分子的坐标等，来进行分子表征的构建，进而预测分子性质。</w:t>
      </w:r>
    </w:p>
    <w:p>
      <w:r>
        <w:rPr>
          <w:rFonts w:hint="eastAsia"/>
        </w:rPr>
        <w:t>由于分子可以天然的被表示为由原子和化学键构成的非欧几里得图结构，因此图神经网络在分子单模态表征中成为了主流的工具。例如FragNet</w:t>
      </w:r>
      <w:r>
        <w:rPr>
          <w:vertAlign w:val="superscript"/>
        </w:rPr>
        <w:fldChar w:fldCharType="begin"/>
      </w:r>
      <w:r>
        <w:rPr>
          <w:vertAlign w:val="superscript"/>
        </w:rPr>
        <w:instrText xml:space="preserve"> </w:instrText>
      </w:r>
      <w:r>
        <w:rPr>
          <w:rFonts w:hint="eastAsia"/>
          <w:vertAlign w:val="superscript"/>
        </w:rPr>
        <w:instrText xml:space="preserve">REF _Ref225723595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将分子拆解为片段，通过构建多层级图表示在图神经网络中显示建模分子片段和整体的关系，</w:t>
      </w:r>
      <w:r>
        <w:t>从而提升性质预测的精度与可解释性。GA‑GNN</w:t>
      </w:r>
      <w:r>
        <w:rPr>
          <w:vertAlign w:val="superscript"/>
        </w:rPr>
        <w:fldChar w:fldCharType="begin"/>
      </w:r>
      <w:r>
        <w:rPr>
          <w:vertAlign w:val="superscript"/>
        </w:rPr>
        <w:instrText xml:space="preserve"> REF _Ref225723610 \r \h  \* MERGEFORMAT </w:instrText>
      </w:r>
      <w:r>
        <w:rPr>
          <w:vertAlign w:val="superscript"/>
        </w:rPr>
        <w:fldChar w:fldCharType="separate"/>
      </w:r>
      <w:r>
        <w:rPr>
          <w:vertAlign w:val="superscript"/>
        </w:rPr>
        <w:t>[9]</w:t>
      </w:r>
      <w:r>
        <w:rPr>
          <w:vertAlign w:val="superscript"/>
        </w:rPr>
        <w:fldChar w:fldCharType="end"/>
      </w:r>
      <w:r>
        <w:rPr>
          <w:rFonts w:hint="eastAsia"/>
        </w:rPr>
        <w:t>用几何代数作为底层数学工具，把向量、平面、旋转等几何对象统一表示，嵌入GNN中，增强对空间结构的建模。</w:t>
      </w:r>
      <w:r>
        <w:t>Add‑GNN</w:t>
      </w:r>
      <w:r>
        <w:rPr>
          <w:vertAlign w:val="superscript"/>
        </w:rPr>
        <w:fldChar w:fldCharType="begin"/>
      </w:r>
      <w:r>
        <w:rPr>
          <w:vertAlign w:val="superscript"/>
        </w:rPr>
        <w:instrText xml:space="preserve"> REF _Ref225723620 \r \h  \* MERGEFORMAT </w:instrText>
      </w:r>
      <w:r>
        <w:rPr>
          <w:vertAlign w:val="superscript"/>
        </w:rPr>
        <w:fldChar w:fldCharType="separate"/>
      </w:r>
      <w:r>
        <w:rPr>
          <w:vertAlign w:val="superscript"/>
        </w:rPr>
        <w:t>[10]</w:t>
      </w:r>
      <w:r>
        <w:rPr>
          <w:vertAlign w:val="superscript"/>
        </w:rPr>
        <w:fldChar w:fldCharType="end"/>
      </w:r>
      <w:r>
        <w:rPr>
          <w:rFonts w:hint="eastAsia"/>
        </w:rPr>
        <w:t>在GNN中引入可加性注意力，针对不同尺度的邻域信息，例如近邻和远邻，给予不同权重，实现更细粒度的图读出。CD-MVGNN</w:t>
      </w:r>
      <w:r>
        <w:rPr>
          <w:vertAlign w:val="superscript"/>
        </w:rPr>
        <w:fldChar w:fldCharType="begin"/>
      </w:r>
      <w:r>
        <w:rPr>
          <w:vertAlign w:val="superscript"/>
        </w:rPr>
        <w:instrText xml:space="preserve"> </w:instrText>
      </w:r>
      <w:r>
        <w:rPr>
          <w:rFonts w:hint="eastAsia"/>
          <w:vertAlign w:val="superscript"/>
        </w:rPr>
        <w:instrText xml:space="preserve">REF _Ref225762664 \r \h</w:instrText>
      </w:r>
      <w:r>
        <w:rPr>
          <w:vertAlign w:val="superscript"/>
        </w:rPr>
        <w:instrText xml:space="preserve">  \* MERGEFORMAT </w:instrText>
      </w:r>
      <w:r>
        <w:rPr>
          <w:vertAlign w:val="superscript"/>
        </w:rPr>
        <w:fldChar w:fldCharType="separate"/>
      </w:r>
      <w:r>
        <w:rPr>
          <w:vertAlign w:val="superscript"/>
        </w:rPr>
        <w:t>[11]</w:t>
      </w:r>
      <w:r>
        <w:rPr>
          <w:vertAlign w:val="superscript"/>
        </w:rPr>
        <w:fldChar w:fldCharType="end"/>
      </w:r>
      <w:r>
        <w:rPr>
          <w:rFonts w:hint="eastAsia"/>
        </w:rPr>
        <w:t>它打破了传统模型单一视角的局限，将原子和化学键视为同等重要，构建了双轨并行的多视图架构。通过</w:t>
      </w:r>
      <w:r>
        <w:t>交叉依赖消息传递机制</w:t>
      </w:r>
      <w:r>
        <w:rPr>
          <w:rFonts w:hint="eastAsia"/>
        </w:rPr>
        <w:t>，</w:t>
      </w:r>
      <w:r>
        <w:t>使得节点与边在每一步信息聚合时，都能实时交互并利用对方的最新状态，从而高效、精准地捕捉分子的底层拓扑特征</w:t>
      </w:r>
      <w:r>
        <w:rPr>
          <w:rFonts w:hint="eastAsia"/>
        </w:rPr>
        <w:t>。</w:t>
      </w:r>
      <w:r>
        <w:t>KA-GNN</w:t>
      </w:r>
      <w:r>
        <w:rPr>
          <w:vertAlign w:val="superscript"/>
        </w:rPr>
        <w:fldChar w:fldCharType="begin"/>
      </w:r>
      <w:r>
        <w:rPr>
          <w:vertAlign w:val="superscript"/>
        </w:rPr>
        <w:instrText xml:space="preserve"> REF _Ref225762811 \r \h  \* MERGEFORMAT </w:instrText>
      </w:r>
      <w:r>
        <w:rPr>
          <w:vertAlign w:val="superscript"/>
        </w:rPr>
        <w:fldChar w:fldCharType="separate"/>
      </w:r>
      <w:r>
        <w:rPr>
          <w:vertAlign w:val="superscript"/>
        </w:rPr>
        <w:t>[12]</w:t>
      </w:r>
      <w:r>
        <w:rPr>
          <w:vertAlign w:val="superscript"/>
        </w:rPr>
        <w:fldChar w:fldCharType="end"/>
      </w:r>
      <w:r>
        <w:rPr>
          <w:rFonts w:hint="eastAsia"/>
        </w:rPr>
        <w:t>抛弃了传统GNN中用于拟合数据的多层感知机（MLP），转而基于数学上的Kolmogorov-Arnold表示定理，将预测分子性质的复杂高维函数，拆解为多个一维的基础组合函数。</w:t>
      </w:r>
    </w:p>
    <w:p>
      <w:bookmarkStart w:id="10" w:name="OLE_LINK6"/>
      <w:r>
        <w:t>除图结构外，分子还可以通过标准化的编码规则转换为一维序列或特征向量，最典型的代表为SMILES字符串与分子指纹</w:t>
      </w:r>
      <w:r>
        <w:rPr>
          <w:rFonts w:hint="eastAsia"/>
        </w:rPr>
        <w:t>。</w:t>
      </w:r>
      <w:r>
        <w:t>这类一维模态天然</w:t>
      </w:r>
      <w:r>
        <w:rPr>
          <w:rFonts w:hint="eastAsia"/>
        </w:rPr>
        <w:t>符合</w:t>
      </w:r>
      <w:r>
        <w:t>自然语言处理（NLP）领域的底层架构，能够直接借助Transformer等模型开展大规模自监督预训练，在计算效率与特征表征上展现出</w:t>
      </w:r>
      <w:r>
        <w:rPr>
          <w:rFonts w:hint="eastAsia"/>
        </w:rPr>
        <w:t>了</w:t>
      </w:r>
      <w:r>
        <w:t>独特</w:t>
      </w:r>
      <w:r>
        <w:rPr>
          <w:rFonts w:hint="eastAsia"/>
        </w:rPr>
        <w:t>的</w:t>
      </w:r>
      <w:r>
        <w:t>优势。</w:t>
      </w:r>
      <w:r>
        <w:rPr>
          <w:rFonts w:hint="eastAsia"/>
        </w:rPr>
        <w:t>例如</w:t>
      </w:r>
      <w:r>
        <w:t>SMILES-BERT</w:t>
      </w:r>
      <w:r>
        <w:rPr>
          <w:vertAlign w:val="superscript"/>
        </w:rPr>
        <w:fldChar w:fldCharType="begin"/>
      </w:r>
      <w:r>
        <w:rPr>
          <w:vertAlign w:val="superscript"/>
        </w:rPr>
        <w:instrText xml:space="preserve"> REF _Ref225762834 \r \h  \* MERGEFORMAT </w:instrText>
      </w:r>
      <w:r>
        <w:rPr>
          <w:vertAlign w:val="superscript"/>
        </w:rPr>
        <w:fldChar w:fldCharType="separate"/>
      </w:r>
      <w:r>
        <w:rPr>
          <w:vertAlign w:val="superscript"/>
        </w:rPr>
        <w:t>[13]</w:t>
      </w:r>
      <w:r>
        <w:rPr>
          <w:vertAlign w:val="superscript"/>
        </w:rPr>
        <w:fldChar w:fldCharType="end"/>
      </w:r>
      <w:r>
        <w:rPr>
          <w:rFonts w:hint="eastAsia"/>
        </w:rPr>
        <w:t>，</w:t>
      </w:r>
      <w:r>
        <w:t>该方法借鉴Transformer的建模思想</w:t>
      </w:r>
      <w:r>
        <w:rPr>
          <w:rFonts w:hint="eastAsia"/>
        </w:rPr>
        <w:t>展开</w:t>
      </w:r>
      <w:r>
        <w:t>分子表示学习，并利用海量未标记SMILES序列进行掩码式预训练，使模型能够更充分地学习分子的潜在结构特征</w:t>
      </w:r>
      <w:r>
        <w:rPr>
          <w:rFonts w:hint="eastAsia"/>
        </w:rPr>
        <w:t>。</w:t>
      </w:r>
      <w:r>
        <w:t>SMILES-GRPO</w:t>
      </w:r>
      <w:r>
        <w:rPr>
          <w:vertAlign w:val="superscript"/>
        </w:rPr>
        <w:fldChar w:fldCharType="begin"/>
      </w:r>
      <w:r>
        <w:rPr>
          <w:vertAlign w:val="superscript"/>
        </w:rPr>
        <w:instrText xml:space="preserve"> REF _Ref227150721 \r \h  \* MERGEFORMAT </w:instrText>
      </w:r>
      <w:r>
        <w:rPr>
          <w:vertAlign w:val="superscript"/>
        </w:rPr>
        <w:fldChar w:fldCharType="separate"/>
      </w:r>
      <w:r>
        <w:rPr>
          <w:vertAlign w:val="superscript"/>
        </w:rPr>
        <w:t>[14]</w:t>
      </w:r>
      <w:r>
        <w:rPr>
          <w:vertAlign w:val="superscript"/>
        </w:rPr>
        <w:fldChar w:fldCharType="end"/>
      </w:r>
      <w:r>
        <w:t>提出基团感知掩码，强制模型一次性遮盖</w:t>
      </w:r>
      <w:r>
        <w:rPr>
          <w:rFonts w:hint="eastAsia"/>
        </w:rPr>
        <w:t>或</w:t>
      </w:r>
      <w:r>
        <w:t>预测整个功能基团</w:t>
      </w:r>
      <w:r>
        <w:rPr>
          <w:rFonts w:hint="eastAsia"/>
        </w:rPr>
        <w:t>。MFBERT</w:t>
      </w:r>
      <w:r>
        <w:rPr>
          <w:vertAlign w:val="superscript"/>
        </w:rPr>
        <w:fldChar w:fldCharType="begin"/>
      </w:r>
      <w:r>
        <w:rPr>
          <w:vertAlign w:val="superscript"/>
        </w:rPr>
        <w:instrText xml:space="preserve"> </w:instrText>
      </w:r>
      <w:r>
        <w:rPr>
          <w:rFonts w:hint="eastAsia"/>
          <w:vertAlign w:val="superscript"/>
        </w:rPr>
        <w:instrText xml:space="preserve">REF _Ref227150808 \r \h</w:instrText>
      </w:r>
      <w:r>
        <w:rPr>
          <w:vertAlign w:val="superscript"/>
        </w:rPr>
        <w:instrText xml:space="preserve">  \* MERGEFORMAT </w:instrText>
      </w:r>
      <w:r>
        <w:rPr>
          <w:vertAlign w:val="superscript"/>
        </w:rPr>
        <w:fldChar w:fldCharType="separate"/>
      </w:r>
      <w:r>
        <w:rPr>
          <w:vertAlign w:val="superscript"/>
        </w:rPr>
        <w:t>[15]</w:t>
      </w:r>
      <w:r>
        <w:rPr>
          <w:vertAlign w:val="superscript"/>
        </w:rPr>
        <w:fldChar w:fldCharType="end"/>
      </w:r>
      <w:r>
        <w:rPr>
          <w:rFonts w:hint="eastAsia"/>
        </w:rPr>
        <w:t>直接将扩展连通性指纹等一维向量作为输入Token送进Transformer进行掩码预训练，成功实现了离散化学特征与深度注意力机制的融合，其预测精度依然能够持平复杂的GNN或者深层的Transformer模型。</w:t>
      </w:r>
      <w:bookmarkEnd w:id="10"/>
    </w:p>
    <w:p>
      <w:pPr>
        <w:pStyle w:val="4"/>
        <w:rPr>
          <w:rFonts w:hint="default"/>
        </w:rPr>
      </w:pPr>
      <w:bookmarkStart w:id="11" w:name="_Toc229423316"/>
      <w:r>
        <w:t>基于多模态的分子性质预测方法</w:t>
      </w:r>
      <w:bookmarkEnd w:id="11"/>
    </w:p>
    <w:p>
      <w:bookmarkStart w:id="12" w:name="OLE_LINK5"/>
      <w:r>
        <w:rPr>
          <w:rFonts w:hint="eastAsia"/>
        </w:rPr>
        <w:t>与仅依赖单一结构模态（图或序列）的模型相比，多模态分子预测方法通过利用分子图、三维构象、</w:t>
      </w:r>
      <w:r>
        <w:t>SMILES</w:t>
      </w:r>
      <w:r>
        <w:rPr>
          <w:rFonts w:hint="eastAsia"/>
        </w:rPr>
        <w:t>序列、文本描述以及光谱等分子的多通道信息，更全面地表征分子结构与性质的关系。</w:t>
      </w:r>
    </w:p>
    <w:p>
      <w:r>
        <w:rPr>
          <w:rFonts w:hint="eastAsia"/>
        </w:rPr>
        <w:t>其中，一维分子序列和二维分子图相融合是常用的方法之一。例如</w:t>
      </w:r>
      <w:r>
        <w:t>AMCFNet</w:t>
      </w:r>
      <w:r>
        <w:rPr>
          <w:vertAlign w:val="superscript"/>
        </w:rPr>
        <w:fldChar w:fldCharType="begin"/>
      </w:r>
      <w:r>
        <w:rPr>
          <w:vertAlign w:val="superscript"/>
        </w:rPr>
        <w:instrText xml:space="preserve"> REF _Ref225762912 \r \h  \* MERGEFORMAT </w:instrText>
      </w:r>
      <w:r>
        <w:rPr>
          <w:vertAlign w:val="superscript"/>
        </w:rPr>
        <w:fldChar w:fldCharType="separate"/>
      </w:r>
      <w:r>
        <w:rPr>
          <w:vertAlign w:val="superscript"/>
        </w:rPr>
        <w:t>[16]</w:t>
      </w:r>
      <w:r>
        <w:rPr>
          <w:vertAlign w:val="superscript"/>
        </w:rPr>
        <w:fldChar w:fldCharType="end"/>
      </w:r>
      <w:r>
        <w:rPr>
          <w:rFonts w:hint="eastAsia"/>
        </w:rPr>
        <w:t>提出了一种自适应多模式对比融合网络，</w:t>
      </w:r>
      <w:r>
        <w:t>从</w:t>
      </w:r>
      <w:r>
        <w:rPr>
          <w:rFonts w:hint="eastAsia"/>
        </w:rPr>
        <w:t>SMILES序列与分子图结构</w:t>
      </w:r>
      <w:r>
        <w:t>之间的交互和共识中自适应地提取互补特征</w:t>
      </w:r>
      <w:r>
        <w:rPr>
          <w:rFonts w:hint="eastAsia"/>
        </w:rPr>
        <w:t>。MMCL</w:t>
      </w:r>
      <w:r>
        <w:rPr>
          <w:vertAlign w:val="superscript"/>
        </w:rPr>
        <w:fldChar w:fldCharType="begin"/>
      </w:r>
      <w:r>
        <w:rPr>
          <w:vertAlign w:val="superscript"/>
        </w:rPr>
        <w:instrText xml:space="preserve"> </w:instrText>
      </w:r>
      <w:r>
        <w:rPr>
          <w:rFonts w:hint="eastAsia"/>
          <w:vertAlign w:val="superscript"/>
        </w:rPr>
        <w:instrText xml:space="preserve">REF _Ref225762929 \r \h</w:instrText>
      </w:r>
      <w:r>
        <w:rPr>
          <w:vertAlign w:val="superscript"/>
        </w:rPr>
        <w:instrText xml:space="preserve">  \* MERGEFORMAT </w:instrText>
      </w:r>
      <w:r>
        <w:rPr>
          <w:vertAlign w:val="superscript"/>
        </w:rPr>
        <w:fldChar w:fldCharType="separate"/>
      </w:r>
      <w:r>
        <w:rPr>
          <w:vertAlign w:val="superscript"/>
        </w:rPr>
        <w:t>[17]</w:t>
      </w:r>
      <w:r>
        <w:rPr>
          <w:vertAlign w:val="superscript"/>
        </w:rPr>
        <w:fldChar w:fldCharType="end"/>
      </w:r>
      <w:r>
        <w:rPr>
          <w:rFonts w:hint="eastAsia"/>
        </w:rPr>
        <w:t>框架通过BRICS算法显式地将功能基团建模为层级图中的特殊节点，并结合双向门控循环单元处理序列信息，实现了图结构语义与序列语义的深层对齐。MolGramTreeNet</w:t>
      </w:r>
      <w:r>
        <w:rPr>
          <w:vertAlign w:val="superscript"/>
        </w:rPr>
        <w:fldChar w:fldCharType="begin"/>
      </w:r>
      <w:r>
        <w:rPr>
          <w:vertAlign w:val="superscript"/>
        </w:rPr>
        <w:instrText xml:space="preserve"> </w:instrText>
      </w:r>
      <w:r>
        <w:rPr>
          <w:rFonts w:hint="eastAsia"/>
          <w:vertAlign w:val="superscript"/>
        </w:rPr>
        <w:instrText xml:space="preserve">REF _Ref225762952 \r \h</w:instrText>
      </w:r>
      <w:r>
        <w:rPr>
          <w:vertAlign w:val="superscript"/>
        </w:rPr>
        <w:instrText xml:space="preserve">  \* MERGEFORMAT </w:instrText>
      </w:r>
      <w:r>
        <w:rPr>
          <w:vertAlign w:val="superscript"/>
        </w:rPr>
        <w:fldChar w:fldCharType="separate"/>
      </w:r>
      <w:r>
        <w:rPr>
          <w:vertAlign w:val="superscript"/>
        </w:rPr>
        <w:t>[18]</w:t>
      </w:r>
      <w:r>
        <w:rPr>
          <w:vertAlign w:val="superscript"/>
        </w:rPr>
        <w:fldChar w:fldCharType="end"/>
      </w:r>
      <w:r>
        <w:rPr>
          <w:rFonts w:hint="eastAsia"/>
        </w:rPr>
        <w:t>引入了上下文无关文法解析技术，将SMILES序列转化为具有层级语义的分子文法树，并结合图卷积网络对2D分子图进行并行编码。该模型通过通道拼接将层次化语法特征与拓扑结构特征深度融合，相较于常见的交叉注意力融合机制这种通道拼接技术展现出了更高的性能。</w:t>
      </w:r>
      <w:r>
        <w:t>GSST</w:t>
      </w:r>
      <w:r>
        <w:rPr>
          <w:vertAlign w:val="superscript"/>
        </w:rPr>
        <w:fldChar w:fldCharType="begin"/>
      </w:r>
      <w:r>
        <w:rPr>
          <w:vertAlign w:val="superscript"/>
        </w:rPr>
        <w:instrText xml:space="preserve"> REF _Ref225762968 \r \h  \* MERGEFORMAT </w:instrText>
      </w:r>
      <w:r>
        <w:rPr>
          <w:vertAlign w:val="superscript"/>
        </w:rPr>
        <w:fldChar w:fldCharType="separate"/>
      </w:r>
      <w:r>
        <w:rPr>
          <w:vertAlign w:val="superscript"/>
        </w:rPr>
        <w:t>[19]</w:t>
      </w:r>
      <w:r>
        <w:rPr>
          <w:vertAlign w:val="superscript"/>
        </w:rPr>
        <w:fldChar w:fldCharType="end"/>
      </w:r>
      <w:r>
        <w:rPr>
          <w:rFonts w:hint="eastAsia"/>
        </w:rPr>
        <w:t>通过引入可学习的软token概念，将图拓扑特征映射至序列空间，并利用G2S-Former模块实现了多模态信息的深度对齐与融合，有效弥补了单一模态在分子表征中的语义缺失。MolPROP</w:t>
      </w:r>
      <w:r>
        <w:rPr>
          <w:vertAlign w:val="superscript"/>
        </w:rPr>
        <w:fldChar w:fldCharType="begin"/>
      </w:r>
      <w:r>
        <w:rPr>
          <w:vertAlign w:val="superscript"/>
        </w:rPr>
        <w:instrText xml:space="preserve"> </w:instrText>
      </w:r>
      <w:r>
        <w:rPr>
          <w:rFonts w:hint="eastAsia"/>
          <w:vertAlign w:val="superscript"/>
        </w:rPr>
        <w:instrText xml:space="preserve">REF _Ref225762982 \r \h</w:instrText>
      </w:r>
      <w:r>
        <w:rPr>
          <w:vertAlign w:val="superscript"/>
        </w:rPr>
        <w:instrText xml:space="preserve">  \* MERGEFORMAT </w:instrText>
      </w:r>
      <w:r>
        <w:rPr>
          <w:vertAlign w:val="superscript"/>
        </w:rPr>
        <w:fldChar w:fldCharType="separate"/>
      </w:r>
      <w:r>
        <w:rPr>
          <w:vertAlign w:val="superscript"/>
        </w:rPr>
        <w:t>[20]</w:t>
      </w:r>
      <w:r>
        <w:rPr>
          <w:vertAlign w:val="superscript"/>
        </w:rPr>
        <w:fldChar w:fldCharType="end"/>
      </w:r>
      <w:r>
        <w:rPr>
          <w:rFonts w:hint="eastAsia"/>
        </w:rPr>
        <w:t>通过将预训练的大语言模型ChemBERTa-2与图神经网络相结合，证实了多模态融合在回归类性质预测任务中的协同增效作用，并提出了一种基于重原子匹配的特征映射策略。MDFCL</w:t>
      </w:r>
      <w:r>
        <w:rPr>
          <w:vertAlign w:val="superscript"/>
        </w:rPr>
        <w:fldChar w:fldCharType="begin"/>
      </w:r>
      <w:r>
        <w:rPr>
          <w:vertAlign w:val="superscript"/>
        </w:rPr>
        <w:instrText xml:space="preserve"> </w:instrText>
      </w:r>
      <w:r>
        <w:rPr>
          <w:rFonts w:hint="eastAsia"/>
          <w:vertAlign w:val="superscript"/>
        </w:rPr>
        <w:instrText xml:space="preserve">REF _Ref225763023 \r \h</w:instrText>
      </w:r>
      <w:r>
        <w:rPr>
          <w:vertAlign w:val="superscript"/>
        </w:rPr>
        <w:instrText xml:space="preserve">  \* MERGEFORMAT </w:instrText>
      </w:r>
      <w:r>
        <w:rPr>
          <w:vertAlign w:val="superscript"/>
        </w:rPr>
        <w:fldChar w:fldCharType="separate"/>
      </w:r>
      <w:r>
        <w:rPr>
          <w:vertAlign w:val="superscript"/>
        </w:rPr>
        <w:t>[21]</w:t>
      </w:r>
      <w:r>
        <w:rPr>
          <w:vertAlign w:val="superscript"/>
        </w:rPr>
        <w:fldChar w:fldCharType="end"/>
      </w:r>
      <w:r>
        <w:rPr>
          <w:rFonts w:hint="eastAsia"/>
        </w:rPr>
        <w:t>通过基于主链与侧链的自适应增强策略，构建了包含多种增强实例的图对比学习体系，通过在图模态与序列模态间实施分层对比损失，实现了双模态的语义一致性建模。</w:t>
      </w:r>
    </w:p>
    <w:p>
      <w:r>
        <w:rPr>
          <w:rFonts w:hint="eastAsia"/>
        </w:rPr>
        <w:t>将分子结构与自然语言描述文本对齐，可以利用文本中蕴含的药理、用途等高层语义知识来增强分子的表示。例如MoleculeSTM</w:t>
      </w:r>
      <w:r>
        <w:rPr>
          <w:vertAlign w:val="superscript"/>
        </w:rPr>
        <w:fldChar w:fldCharType="begin"/>
      </w:r>
      <w:r>
        <w:rPr>
          <w:vertAlign w:val="superscript"/>
        </w:rPr>
        <w:instrText xml:space="preserve"> </w:instrText>
      </w:r>
      <w:r>
        <w:rPr>
          <w:rFonts w:hint="eastAsia"/>
          <w:vertAlign w:val="superscript"/>
        </w:rPr>
        <w:instrText xml:space="preserve">REF _Ref225763038 \r \h</w:instrText>
      </w:r>
      <w:r>
        <w:rPr>
          <w:vertAlign w:val="superscript"/>
        </w:rPr>
        <w:instrText xml:space="preserve">  \* MERGEFORMAT </w:instrText>
      </w:r>
      <w:r>
        <w:rPr>
          <w:vertAlign w:val="superscript"/>
        </w:rPr>
        <w:fldChar w:fldCharType="separate"/>
      </w:r>
      <w:r>
        <w:rPr>
          <w:vertAlign w:val="superscript"/>
        </w:rPr>
        <w:t>[22]</w:t>
      </w:r>
      <w:r>
        <w:rPr>
          <w:vertAlign w:val="superscript"/>
        </w:rPr>
        <w:fldChar w:fldCharType="end"/>
      </w:r>
      <w:r>
        <w:rPr>
          <w:rFonts w:hint="eastAsia"/>
        </w:rPr>
        <w:t>，它是该方向极具开创性的基础模型之一。它通过构建包含超过28万对“结构-文本”的PubChemSTM数据集，利用跨模态对比学习将分子表示与自然语言映射到了统一的潜空间。Wang等人构建的MolTextNet</w:t>
      </w:r>
      <w:r>
        <w:rPr>
          <w:vertAlign w:val="superscript"/>
        </w:rPr>
        <w:fldChar w:fldCharType="begin"/>
      </w:r>
      <w:r>
        <w:rPr>
          <w:vertAlign w:val="superscript"/>
        </w:rPr>
        <w:instrText xml:space="preserve"> </w:instrText>
      </w:r>
      <w:r>
        <w:rPr>
          <w:rFonts w:hint="eastAsia"/>
          <w:vertAlign w:val="superscript"/>
        </w:rPr>
        <w:instrText xml:space="preserve">REF _Ref225763055 \r \h</w:instrText>
      </w:r>
      <w:r>
        <w:rPr>
          <w:vertAlign w:val="superscript"/>
        </w:rPr>
        <w:instrText xml:space="preserve">  \* MERGEFORMAT </w:instrText>
      </w:r>
      <w:r>
        <w:rPr>
          <w:vertAlign w:val="superscript"/>
        </w:rPr>
        <w:fldChar w:fldCharType="separate"/>
      </w:r>
      <w:r>
        <w:rPr>
          <w:vertAlign w:val="superscript"/>
        </w:rPr>
        <w:t>[23]</w:t>
      </w:r>
      <w:r>
        <w:rPr>
          <w:vertAlign w:val="superscript"/>
        </w:rPr>
        <w:fldChar w:fldCharType="end"/>
      </w:r>
      <w:r>
        <w:rPr>
          <w:rFonts w:hint="eastAsia"/>
        </w:rPr>
        <w:t>将高质量的分子与文本配对样本扩充至约两百万条，为训练更大规模的跨模态编码器提供了数据底座。ProtoMol</w:t>
      </w:r>
      <w:r>
        <w:rPr>
          <w:vertAlign w:val="superscript"/>
        </w:rPr>
        <w:fldChar w:fldCharType="begin"/>
      </w:r>
      <w:r>
        <w:rPr>
          <w:vertAlign w:val="superscript"/>
        </w:rPr>
        <w:instrText xml:space="preserve"> </w:instrText>
      </w:r>
      <w:r>
        <w:rPr>
          <w:rFonts w:hint="eastAsia"/>
          <w:vertAlign w:val="superscript"/>
        </w:rPr>
        <w:instrText xml:space="preserve">REF _Ref225763070 \r \h</w:instrText>
      </w:r>
      <w:r>
        <w:rPr>
          <w:vertAlign w:val="superscript"/>
        </w:rPr>
        <w:instrText xml:space="preserve">  \* MERGEFORMAT </w:instrText>
      </w:r>
      <w:r>
        <w:rPr>
          <w:vertAlign w:val="superscript"/>
        </w:rPr>
        <w:fldChar w:fldCharType="separate"/>
      </w:r>
      <w:r>
        <w:rPr>
          <w:vertAlign w:val="superscript"/>
        </w:rPr>
        <w:t>[24]</w:t>
      </w:r>
      <w:r>
        <w:rPr>
          <w:vertAlign w:val="superscript"/>
        </w:rPr>
        <w:fldChar w:fldCharType="end"/>
      </w:r>
      <w:r>
        <w:rPr>
          <w:rFonts w:hint="eastAsia"/>
        </w:rPr>
        <w:t>该模型通过引入层级式双向交叉注意力机制与统一的语义原型空间，实现了分子图结构与文本描述在多层级上的精细化对齐，</w:t>
      </w:r>
      <w:r>
        <w:t>解决</w:t>
      </w:r>
      <w:r>
        <w:rPr>
          <w:rFonts w:hint="eastAsia"/>
        </w:rPr>
        <w:t>了</w:t>
      </w:r>
      <w:r>
        <w:t>多模态分子模型在层级语义捕捉与模态对齐方面的不足</w:t>
      </w:r>
      <w:r>
        <w:rPr>
          <w:rFonts w:hint="eastAsia"/>
        </w:rPr>
        <w:t>。TRIDENT</w:t>
      </w:r>
      <w:r>
        <w:rPr>
          <w:vertAlign w:val="superscript"/>
        </w:rPr>
        <w:fldChar w:fldCharType="begin"/>
      </w:r>
      <w:r>
        <w:rPr>
          <w:vertAlign w:val="superscript"/>
        </w:rPr>
        <w:instrText xml:space="preserve"> </w:instrText>
      </w:r>
      <w:r>
        <w:rPr>
          <w:rFonts w:hint="eastAsia"/>
          <w:vertAlign w:val="superscript"/>
        </w:rPr>
        <w:instrText xml:space="preserve">REF _Ref225763085 \r \h</w:instrText>
      </w:r>
      <w:r>
        <w:rPr>
          <w:vertAlign w:val="superscript"/>
        </w:rPr>
        <w:instrText xml:space="preserve">  \* MERGEFORMAT </w:instrText>
      </w:r>
      <w:r>
        <w:rPr>
          <w:vertAlign w:val="superscript"/>
        </w:rPr>
        <w:fldChar w:fldCharType="separate"/>
      </w:r>
      <w:r>
        <w:rPr>
          <w:vertAlign w:val="superscript"/>
        </w:rPr>
        <w:t>[25]</w:t>
      </w:r>
      <w:r>
        <w:rPr>
          <w:vertAlign w:val="superscript"/>
        </w:rPr>
        <w:fldChar w:fldCharType="end"/>
      </w:r>
      <w:r>
        <w:rPr>
          <w:rFonts w:hint="eastAsia"/>
        </w:rPr>
        <w:t>进一步将三种模态：SMILES序列、自然语言描述及分层功能注释统一到一个三模态表示框架中，提出体积化全局对齐目标和局部对应任务。MolPrompt</w:t>
      </w:r>
      <w:r>
        <w:rPr>
          <w:vertAlign w:val="superscript"/>
        </w:rPr>
        <w:fldChar w:fldCharType="begin"/>
      </w:r>
      <w:r>
        <w:rPr>
          <w:vertAlign w:val="superscript"/>
        </w:rPr>
        <w:instrText xml:space="preserve"> </w:instrText>
      </w:r>
      <w:r>
        <w:rPr>
          <w:rFonts w:hint="eastAsia"/>
          <w:vertAlign w:val="superscript"/>
        </w:rPr>
        <w:instrText xml:space="preserve">REF _Ref225763099 \r \h</w:instrText>
      </w:r>
      <w:r>
        <w:rPr>
          <w:vertAlign w:val="superscript"/>
        </w:rPr>
        <w:instrText xml:space="preserve">  \* MERGEFORMAT </w:instrText>
      </w:r>
      <w:r>
        <w:rPr>
          <w:vertAlign w:val="superscript"/>
        </w:rPr>
        <w:fldChar w:fldCharType="separate"/>
      </w:r>
      <w:r>
        <w:rPr>
          <w:vertAlign w:val="superscript"/>
        </w:rPr>
        <w:t>[26]</w:t>
      </w:r>
      <w:r>
        <w:rPr>
          <w:vertAlign w:val="superscript"/>
        </w:rPr>
        <w:fldChar w:fldCharType="end"/>
      </w:r>
      <w:r>
        <w:t>通过将分子的物理化学描述符转化为可学习的语义提示</w:t>
      </w:r>
      <w:r>
        <w:rPr>
          <w:rFonts w:hint="eastAsia"/>
        </w:rPr>
        <w:t>，将其嵌入到图结构的表征信息中，</w:t>
      </w:r>
      <w:r>
        <w:t>实现了图模态与文本描述的深度语义对齐</w:t>
      </w:r>
      <w:r>
        <w:rPr>
          <w:rFonts w:hint="eastAsia"/>
        </w:rPr>
        <w:t>。</w:t>
      </w:r>
    </w:p>
    <w:p>
      <w:r>
        <w:rPr>
          <w:rFonts w:hint="eastAsia"/>
        </w:rPr>
        <w:t>利用分子的三维结构信息可以弥补</w:t>
      </w:r>
      <w:r>
        <w:t>分子平面拓扑与真实物理空间结构之间的信息鸿沟</w:t>
      </w:r>
      <w:r>
        <w:rPr>
          <w:rFonts w:hint="eastAsia"/>
        </w:rPr>
        <w:t>。例如GraphMVP</w:t>
      </w:r>
      <w:r>
        <w:rPr>
          <w:vertAlign w:val="superscript"/>
        </w:rPr>
        <w:fldChar w:fldCharType="begin"/>
      </w:r>
      <w:r>
        <w:rPr>
          <w:vertAlign w:val="superscript"/>
        </w:rPr>
        <w:instrText xml:space="preserve"> </w:instrText>
      </w:r>
      <w:r>
        <w:rPr>
          <w:rFonts w:hint="eastAsia"/>
          <w:vertAlign w:val="superscript"/>
        </w:rPr>
        <w:instrText xml:space="preserve">REF _Ref225763113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，它利用分子的二维和三维模态，通过自适应地整合2D和3D图的信息，学习具有丰富空间语义的分子表征。</w:t>
      </w:r>
      <w:r>
        <w:t>随后，Uni-Mo</w:t>
      </w:r>
      <w:r>
        <w:rPr>
          <w:rFonts w:hint="eastAsia"/>
        </w:rPr>
        <w:t>l</w:t>
      </w:r>
      <w:r>
        <w:rPr>
          <w:vertAlign w:val="superscript"/>
        </w:rPr>
        <w:fldChar w:fldCharType="begin"/>
      </w:r>
      <w:r>
        <w:rPr>
          <w:vertAlign w:val="superscript"/>
        </w:rPr>
        <w:instrText xml:space="preserve"> </w:instrText>
      </w:r>
      <w:r>
        <w:rPr>
          <w:rFonts w:hint="eastAsia"/>
          <w:vertAlign w:val="superscript"/>
        </w:rPr>
        <w:instrText xml:space="preserve">REF _Ref225763126 \r \h</w:instrText>
      </w:r>
      <w:r>
        <w:rPr>
          <w:vertAlign w:val="superscript"/>
        </w:rPr>
        <w:instrText xml:space="preserve">  \* MERGEFORMAT </w:instrText>
      </w:r>
      <w:r>
        <w:rPr>
          <w:vertAlign w:val="superscript"/>
        </w:rPr>
        <w:fldChar w:fldCharType="separate"/>
      </w:r>
      <w:r>
        <w:rPr>
          <w:vertAlign w:val="superscript"/>
        </w:rPr>
        <w:t>[28]</w:t>
      </w:r>
      <w:r>
        <w:rPr>
          <w:vertAlign w:val="superscript"/>
        </w:rPr>
        <w:fldChar w:fldCharType="end"/>
      </w:r>
      <w:r>
        <w:t>作为一项里程碑式的工作，提出了通用的3D分子表征学习框架</w:t>
      </w:r>
      <w:r>
        <w:rPr>
          <w:rFonts w:hint="eastAsia"/>
        </w:rPr>
        <w:t>，该模型是</w:t>
      </w:r>
      <w:r>
        <w:t>首个能够直接输入3D原子坐标进行预训练的大规模模型。</w:t>
      </w:r>
      <w:r>
        <w:rPr>
          <w:rFonts w:hint="eastAsia"/>
        </w:rPr>
        <w:t>MolInterAct</w:t>
      </w:r>
      <w:r>
        <w:rPr>
          <w:vertAlign w:val="superscript"/>
        </w:rPr>
        <w:fldChar w:fldCharType="begin"/>
      </w:r>
      <w:r>
        <w:rPr>
          <w:vertAlign w:val="superscript"/>
        </w:rPr>
        <w:instrText xml:space="preserve"> </w:instrText>
      </w:r>
      <w:r>
        <w:rPr>
          <w:rFonts w:hint="eastAsia"/>
          <w:vertAlign w:val="superscript"/>
        </w:rPr>
        <w:instrText xml:space="preserve">REF _Ref225763139 \r \h</w:instrText>
      </w:r>
      <w:r>
        <w:rPr>
          <w:vertAlign w:val="superscript"/>
        </w:rPr>
        <w:instrText xml:space="preserve">  \* MERGEFORMAT </w:instrText>
      </w:r>
      <w:r>
        <w:rPr>
          <w:vertAlign w:val="superscript"/>
        </w:rPr>
        <w:fldChar w:fldCharType="separate"/>
      </w:r>
      <w:r>
        <w:rPr>
          <w:vertAlign w:val="superscript"/>
        </w:rPr>
        <w:t>[29]</w:t>
      </w:r>
      <w:r>
        <w:rPr>
          <w:vertAlign w:val="superscript"/>
        </w:rPr>
        <w:fldChar w:fldCharType="end"/>
      </w:r>
      <w:r>
        <w:rPr>
          <w:rFonts w:hint="eastAsia"/>
        </w:rPr>
        <w:t>工作专注于2D与3D构象的深度交互，通过设计原子级与分子级的交互层，在多层网络堆叠中逐步对齐2D和3D空间信息。</w:t>
      </w:r>
      <w:r>
        <w:t>ECMMR</w:t>
      </w:r>
      <w:r>
        <w:rPr>
          <w:vertAlign w:val="superscript"/>
        </w:rPr>
        <w:fldChar w:fldCharType="begin"/>
      </w:r>
      <w:r>
        <w:rPr>
          <w:vertAlign w:val="superscript"/>
        </w:rPr>
        <w:instrText xml:space="preserve"> REF _Ref225763156 \r \h  \* MERGEFORMAT </w:instrText>
      </w:r>
      <w:r>
        <w:rPr>
          <w:vertAlign w:val="superscript"/>
        </w:rPr>
        <w:fldChar w:fldCharType="separate"/>
      </w:r>
      <w:r>
        <w:rPr>
          <w:vertAlign w:val="superscript"/>
        </w:rPr>
        <w:t>[30]</w:t>
      </w:r>
      <w:r>
        <w:rPr>
          <w:vertAlign w:val="superscript"/>
        </w:rPr>
        <w:fldChar w:fldCharType="end"/>
      </w:r>
      <w:r>
        <w:rPr>
          <w:rFonts w:hint="eastAsia"/>
        </w:rPr>
        <w:t>框架通过BRICS算法显式地提取并编码分子功能片段，并利用超图结构捕捉原子间的复杂高阶关系。此外，该框架还引入了耦合先验优化策略，通过对比学习与生成式重建任务的协同，实现了图模态与3D几何模态的动态对齐。</w:t>
      </w:r>
    </w:p>
    <w:p>
      <w:r>
        <w:rPr>
          <w:rFonts w:hint="eastAsia"/>
        </w:rPr>
        <w:t>双模态或者特定视角的对齐策略虽在一定程度上弥补了单模态的缺陷，但是分子的化学特性是多维度的综合表现，将分子的多模态数据进行融合是该领域一个前沿的方向。例如Uni-Poly</w:t>
      </w:r>
      <w:r>
        <w:rPr>
          <w:vertAlign w:val="superscript"/>
        </w:rPr>
        <w:fldChar w:fldCharType="begin"/>
      </w:r>
      <w:r>
        <w:rPr>
          <w:vertAlign w:val="superscript"/>
        </w:rPr>
        <w:instrText xml:space="preserve"> </w:instrText>
      </w:r>
      <w:r>
        <w:rPr>
          <w:rFonts w:hint="eastAsia"/>
          <w:vertAlign w:val="superscript"/>
        </w:rPr>
        <w:instrText xml:space="preserve">REF _Ref225763179 \r \h</w:instrText>
      </w:r>
      <w:r>
        <w:rPr>
          <w:vertAlign w:val="superscript"/>
        </w:rPr>
        <w:instrText xml:space="preserve">  \* MERGEFORMAT </w:instrText>
      </w:r>
      <w:r>
        <w:rPr>
          <w:vertAlign w:val="superscript"/>
        </w:rPr>
        <w:fldChar w:fldCharType="separate"/>
      </w:r>
      <w:r>
        <w:rPr>
          <w:vertAlign w:val="superscript"/>
        </w:rPr>
        <w:t>[31]</w:t>
      </w:r>
      <w:r>
        <w:rPr>
          <w:vertAlign w:val="superscript"/>
        </w:rPr>
        <w:fldChar w:fldCharType="end"/>
      </w:r>
      <w:r>
        <w:rPr>
          <w:rFonts w:hint="eastAsia"/>
        </w:rPr>
        <w:t>创新性地将SMILES、2D图、3D构象及分子指纹与领域文本描述进行了统一融合，通过多模态注意力池化机制有效提升了聚合物物化性质预测的综合性能。MuMo</w:t>
      </w:r>
      <w:r>
        <w:rPr>
          <w:vertAlign w:val="superscript"/>
        </w:rPr>
        <w:fldChar w:fldCharType="begin"/>
      </w:r>
      <w:r>
        <w:rPr>
          <w:vertAlign w:val="superscript"/>
        </w:rPr>
        <w:instrText xml:space="preserve"> </w:instrText>
      </w:r>
      <w:r>
        <w:rPr>
          <w:rFonts w:hint="eastAsia"/>
          <w:vertAlign w:val="superscript"/>
        </w:rPr>
        <w:instrText xml:space="preserve">REF _Ref225763202 \r \h</w:instrText>
      </w:r>
      <w:r>
        <w:rPr>
          <w:vertAlign w:val="superscript"/>
        </w:rPr>
        <w:instrText xml:space="preserve">  \* MERGEFORMAT </w:instrText>
      </w:r>
      <w:r>
        <w:rPr>
          <w:vertAlign w:val="superscript"/>
        </w:rPr>
        <w:fldChar w:fldCharType="separate"/>
      </w:r>
      <w:r>
        <w:rPr>
          <w:vertAlign w:val="superscript"/>
        </w:rPr>
        <w:t>[32]</w:t>
      </w:r>
      <w:r>
        <w:rPr>
          <w:vertAlign w:val="superscript"/>
        </w:rPr>
        <w:fldChar w:fldCharType="end"/>
      </w:r>
      <w:r>
        <w:rPr>
          <w:rFonts w:hint="eastAsia"/>
        </w:rPr>
        <w:t>将分子</w:t>
      </w:r>
      <w:r>
        <w:t>2D的拓扑信息和3D的几何信息统一</w:t>
      </w:r>
      <w:r>
        <w:rPr>
          <w:rFonts w:hint="eastAsia"/>
        </w:rPr>
        <w:t>，作为稳定的结构先验，然后引入渐进式注入机制进行融合，并且采用了Mamba</w:t>
      </w:r>
      <w:r>
        <w:rPr>
          <w:vertAlign w:val="superscript"/>
        </w:rPr>
        <w:fldChar w:fldCharType="begin"/>
      </w:r>
      <w:r>
        <w:rPr>
          <w:vertAlign w:val="superscript"/>
        </w:rPr>
        <w:instrText xml:space="preserve"> </w:instrText>
      </w:r>
      <w:r>
        <w:rPr>
          <w:rFonts w:hint="eastAsia"/>
          <w:vertAlign w:val="superscript"/>
        </w:rPr>
        <w:instrText xml:space="preserve">REF _Ref225763217 \r \h</w:instrText>
      </w:r>
      <w:r>
        <w:rPr>
          <w:vertAlign w:val="superscript"/>
        </w:rPr>
        <w:instrText xml:space="preserve">  \* MERGEFORMAT </w:instrText>
      </w:r>
      <w:r>
        <w:rPr>
          <w:vertAlign w:val="superscript"/>
        </w:rPr>
        <w:fldChar w:fldCharType="separate"/>
      </w:r>
      <w:r>
        <w:rPr>
          <w:vertAlign w:val="superscript"/>
        </w:rPr>
        <w:t>[33]</w:t>
      </w:r>
      <w:r>
        <w:rPr>
          <w:vertAlign w:val="superscript"/>
        </w:rPr>
        <w:fldChar w:fldCharType="end"/>
      </w:r>
      <w:r>
        <w:rPr>
          <w:rFonts w:hint="eastAsia"/>
        </w:rPr>
        <w:t>作为骨干网络来进行计算。MoLA</w:t>
      </w:r>
      <w:r>
        <w:rPr>
          <w:vertAlign w:val="superscript"/>
        </w:rPr>
        <w:fldChar w:fldCharType="begin"/>
      </w:r>
      <w:r>
        <w:rPr>
          <w:vertAlign w:val="superscript"/>
        </w:rPr>
        <w:instrText xml:space="preserve"> </w:instrText>
      </w:r>
      <w:r>
        <w:rPr>
          <w:rFonts w:hint="eastAsia"/>
          <w:vertAlign w:val="superscript"/>
        </w:rPr>
        <w:instrText xml:space="preserve">REF _Ref225763232 \r \h</w:instrText>
      </w:r>
      <w:r>
        <w:rPr>
          <w:vertAlign w:val="superscript"/>
        </w:rPr>
        <w:instrText xml:space="preserve">  \* MERGEFORMAT </w:instrText>
      </w:r>
      <w:r>
        <w:rPr>
          <w:vertAlign w:val="superscript"/>
        </w:rPr>
        <w:fldChar w:fldCharType="separate"/>
      </w:r>
      <w:r>
        <w:rPr>
          <w:vertAlign w:val="superscript"/>
        </w:rPr>
        <w:t>[34]</w:t>
      </w:r>
      <w:r>
        <w:rPr>
          <w:vertAlign w:val="superscript"/>
        </w:rPr>
        <w:fldChar w:fldCharType="end"/>
      </w:r>
      <w:r>
        <w:rPr>
          <w:rFonts w:hint="eastAsia"/>
        </w:rPr>
        <w:t>采用跨层注意力融合机制自适应地构建多通道相关图，让不同模态在不同网络深度的贡献进行自动的调整，并创新性地将树突神经元模块引入指纹处理分支，实现了非线性交互特征的有效捕捉。MMFRL</w:t>
      </w:r>
      <w:r>
        <w:rPr>
          <w:vertAlign w:val="superscript"/>
        </w:rPr>
        <w:fldChar w:fldCharType="begin"/>
      </w:r>
      <w:r>
        <w:rPr>
          <w:vertAlign w:val="superscript"/>
        </w:rPr>
        <w:instrText xml:space="preserve"> </w:instrText>
      </w:r>
      <w:r>
        <w:rPr>
          <w:rFonts w:hint="eastAsia"/>
          <w:vertAlign w:val="superscript"/>
        </w:rPr>
        <w:instrText xml:space="preserve">REF _Ref225763247 \r \h</w:instrText>
      </w:r>
      <w:r>
        <w:rPr>
          <w:vertAlign w:val="superscript"/>
        </w:rPr>
        <w:instrText xml:space="preserve">  \* MERGEFORMAT </w:instrText>
      </w:r>
      <w:r>
        <w:rPr>
          <w:vertAlign w:val="superscript"/>
        </w:rPr>
        <w:fldChar w:fldCharType="separate"/>
      </w:r>
      <w:r>
        <w:rPr>
          <w:vertAlign w:val="superscript"/>
        </w:rPr>
        <w:t>[35]</w:t>
      </w:r>
      <w:r>
        <w:rPr>
          <w:vertAlign w:val="superscript"/>
        </w:rPr>
        <w:fldChar w:fldCharType="end"/>
      </w:r>
      <w:r>
        <w:rPr>
          <w:rFonts w:hint="eastAsia"/>
        </w:rPr>
        <w:t>系统比较了早期、中期和晚期三种特征融合策略，并在多模态表示之上引入分子间关系学习模块，显式建模分子间的相似性与作用机制。</w:t>
      </w:r>
      <w:r>
        <w:t>DMMF</w:t>
      </w:r>
      <w:r>
        <w:rPr>
          <w:vertAlign w:val="superscript"/>
        </w:rPr>
        <w:fldChar w:fldCharType="begin"/>
      </w:r>
      <w:r>
        <w:rPr>
          <w:vertAlign w:val="superscript"/>
        </w:rPr>
        <w:instrText xml:space="preserve"> REF _Ref225763261 \r \h  \* MERGEFORMAT </w:instrText>
      </w:r>
      <w:r>
        <w:rPr>
          <w:vertAlign w:val="superscript"/>
        </w:rPr>
        <w:fldChar w:fldCharType="separate"/>
      </w:r>
      <w:r>
        <w:rPr>
          <w:vertAlign w:val="superscript"/>
        </w:rPr>
        <w:t>[36]</w:t>
      </w:r>
      <w:r>
        <w:rPr>
          <w:vertAlign w:val="superscript"/>
        </w:rPr>
        <w:fldChar w:fldCharType="end"/>
      </w:r>
      <w:r>
        <w:rPr>
          <w:rFonts w:hint="eastAsia"/>
        </w:rPr>
        <w:t>通过引入模态内门控与模态间注意力机制，不仅要预测分子的性质还要完成模态之间的重构，实现了样本级的自适应权重分配。</w:t>
      </w:r>
    </w:p>
    <w:p/>
    <w:p/>
    <w:bookmarkEnd w:id="12"/>
    <w:p>
      <w:pPr>
        <w:pStyle w:val="3"/>
      </w:pPr>
      <w:bookmarkStart w:id="13" w:name="_Toc229423317"/>
      <w:r>
        <w:rPr>
          <w:rFonts w:hint="eastAsia"/>
        </w:rPr>
        <w:t>当前研究不足</w:t>
      </w:r>
      <w:bookmarkEnd w:id="13"/>
    </w:p>
    <w:p>
      <w:r>
        <w:rPr>
          <w:rFonts w:hint="eastAsia"/>
        </w:rPr>
        <w:t>尽管以深度学习为代表的单模态与多模态表征技术在分子性质预测任务上取得了一定的进步，但对于高度复杂且容错率极低的真实药物发现场景，当前研究仍存在以下难以解决的局限性。</w:t>
      </w:r>
    </w:p>
    <w:p>
      <w:r>
        <w:rPr>
          <w:rFonts w:hint="eastAsia"/>
        </w:rPr>
        <w:t>单模态拓扑感知受限与信息回流瓶颈：传统的图神经网络主要依赖于局部节点的无向聚合机制，严重忽视了化学键在信息传递中的动态交互作用。这种机制在多层迭代时极易产生信息冗余与信息回流，导致模型难以精准感知多环结构或长碳链分子中的复杂立体空间依赖。</w:t>
      </w:r>
    </w:p>
    <w:p>
      <w:r>
        <w:rPr>
          <w:rFonts w:hint="eastAsia"/>
        </w:rPr>
        <w:t>大模型直接推理的</w:t>
      </w:r>
      <w:r>
        <w:t>难以解释性</w:t>
      </w:r>
      <w:r>
        <w:rPr>
          <w:rFonts w:hint="eastAsia"/>
        </w:rPr>
        <w:t>与文本幻觉：虽然大语言模型（LLMs）展现出了跨模态理解的潜力，但在面对如跨膜吸收、毒理副作用等复杂的药代动力学（ADMET）评估时，现有方法多要求模型进行缺乏中间逻辑支撑的直接端到端映射。这不仅极易导致模型产生无事实依据的幻觉，更使得预测过程呈现出难以解释的特性，难以满足制药工业的逻辑审计要求。</w:t>
      </w:r>
    </w:p>
    <w:p>
      <w:r>
        <w:rPr>
          <w:rFonts w:hint="eastAsia"/>
        </w:rPr>
        <w:t>多模态融合面临的文本噪声与</w:t>
      </w:r>
      <w:r>
        <w:t>模态对齐困难</w:t>
      </w:r>
      <w:r>
        <w:rPr>
          <w:rFonts w:hint="eastAsia"/>
        </w:rPr>
        <w:t>：现有的多模态对齐策略严重受制于公共医学数据库中文本质量的参差不齐。原始分子描述通常充斥着冗余的历史轶事，且缺乏关键定量理化指标的约束。在进行粗粒度的跨模态对比学习时，</w:t>
      </w:r>
      <w:r>
        <w:t>这种多源数据之间的语义差异容易带来训练干扰和负迁移，进而影响模态间的有效对齐</w:t>
      </w:r>
      <w:r>
        <w:rPr>
          <w:rFonts w:hint="eastAsia"/>
        </w:rPr>
        <w:t>。</w:t>
      </w:r>
    </w:p>
    <w:p>
      <w:pPr>
        <w:pStyle w:val="3"/>
      </w:pPr>
      <w:bookmarkStart w:id="14" w:name="_Toc229423318"/>
      <w:r>
        <w:rPr>
          <w:rFonts w:hint="eastAsia"/>
        </w:rPr>
        <w:t>研究内容以及论文结构</w:t>
      </w:r>
      <w:bookmarkEnd w:id="14"/>
    </w:p>
    <w:p>
      <w:pPr>
        <w:pStyle w:val="4"/>
        <w:rPr>
          <w:rFonts w:hint="default"/>
        </w:rPr>
      </w:pPr>
      <w:bookmarkStart w:id="15" w:name="_Toc229423319"/>
      <w:r>
        <w:t>研究内容</w:t>
      </w:r>
      <w:bookmarkEnd w:id="15"/>
    </w:p>
    <w:p>
      <w:r>
        <w:rPr>
          <w:rFonts w:hint="eastAsia"/>
        </w:rPr>
        <w:t>针对上述分子性质预测研究中存在的拓扑感知局限、难以解释的预测痛点以及</w:t>
      </w:r>
      <w:r>
        <w:t>多模态对齐困难</w:t>
      </w:r>
      <w:r>
        <w:rPr>
          <w:rFonts w:hint="eastAsia"/>
        </w:rPr>
        <w:t>等问题，</w:t>
      </w:r>
      <w:r>
        <w:t>本文从模型融合与表示学习两个层面展开研究，探索结合大语言模型与图神经网络的分子性质预测方法，以提升模型对复杂结构信息和跨模态特征的综合利用能力</w:t>
      </w:r>
      <w:r>
        <w:rPr>
          <w:rFonts w:hint="eastAsia"/>
        </w:rPr>
        <w:t>。本文的主要研究内容如下：</w:t>
      </w:r>
    </w:p>
    <w:p>
      <w:r>
        <w:rPr>
          <w:rFonts w:hint="eastAsia"/>
        </w:rPr>
        <w:t>(1) 将大语言模型领域的思维链推理技术与交互式消息传递图神经网络相结合，本文提出了一种双塔预测框架。在文本端，利用大语言模型与思维链技术，引导模型自发生成包含从结构识别到理化属性分析，再到性质推导的显式逻辑推理文本，</w:t>
      </w:r>
      <w:r>
        <w:t>增强了模型决策过程的可解释性表达能力</w:t>
      </w:r>
      <w:r>
        <w:rPr>
          <w:rFonts w:hint="eastAsia"/>
        </w:rPr>
        <w:t>；在图结构端，构建基于通信核的交互式图神经网络，强制原子与化学键进行动态深度交互，更加精准地捕获分子的结构信息。最终通过交叉注意力机制，实现宏观药理语义与微观拓扑结构的自适应融合。</w:t>
      </w:r>
    </w:p>
    <w:p>
      <w:r>
        <w:rPr>
          <w:rFonts w:hint="eastAsia"/>
        </w:rPr>
        <w:t>(2) 将多模态知识增强技术与交叉注意力相结合，本文提出了一种以图表征为核心、多模态知识增强的分子预测架构。该框架构建了包含图、序列、指纹及自然语言的四维表征体系，并创新性地设计了大语言模型知识重写流水线，显式注入定量理化指标以过滤文本噪声。在模型对齐阶段，摒弃全排列对齐策略，引入基于同方差不确定性的自适应加权机制，使模型能够自动平衡各模态的噪声水平，实现跨模态特征在统一高维语义空间的稳健对齐。</w:t>
      </w:r>
    </w:p>
    <w:p>
      <w:pPr>
        <w:pStyle w:val="4"/>
        <w:rPr>
          <w:rFonts w:hint="default"/>
        </w:rPr>
      </w:pPr>
      <w:bookmarkStart w:id="16" w:name="_Toc229423320"/>
      <w:r>
        <w:t>文章架构</w:t>
      </w:r>
      <w:bookmarkEnd w:id="16"/>
    </w:p>
    <w:p>
      <w:r>
        <w:rPr>
          <w:rFonts w:hint="eastAsia"/>
        </w:rPr>
        <w:t>本节将介绍本文的整体结构。本文共分为五个大章节，</w:t>
      </w:r>
      <w:r>
        <w:t>各章节的具体安排及核心内容说明如下</w:t>
      </w:r>
      <w:r>
        <w:rPr>
          <w:rFonts w:hint="eastAsia"/>
        </w:rPr>
        <w:t>。</w:t>
      </w:r>
    </w:p>
    <w:p>
      <w:r>
        <w:rPr>
          <w:rFonts w:hint="eastAsia"/>
        </w:rPr>
        <w:t>第一章介绍了分子性质预测在现代药物研发早期的分子筛选中的研究背景与重要意义，详细阐述了单模态深度学习与多模态表征技术在该领域的应用现状，并进一步分析了现有方法在拓扑特征提取局限、大语言模型推理过程可解释性有限以及多模态融合语义冲突等方面所面临的挑战。最后，概述了本文针对这些痛点提出的多模态知识增强与思维链推理的创新性解决策略。</w:t>
      </w:r>
    </w:p>
    <w:p>
      <w:r>
        <w:rPr>
          <w:rFonts w:hint="eastAsia"/>
        </w:rPr>
        <w:t>第二章介绍了本文相关的理论基础。本章系统梳理了本文构建模型所依赖的底层数学原理与算法基石。首先，详细阐述了涵盖一维SMILES序列、二维拓扑图、分子指纹及自然语言文本的多维数据表征方法。其次，深入剖析了图空间域的特征提取算法，包括图卷积网络、图注意力网络及消息传递机制等。最后，重点介绍了大语言模型领域的Transformer架构、低秩自适应（LoRA）微调技术与思维链（CoT）推理机制，并界定了跨模态特征对齐与融合的通用范式，为后续核心章节的模型设计提供了严密的理论支撑。</w:t>
      </w:r>
    </w:p>
    <w:p>
      <w:r>
        <w:rPr>
          <w:rFonts w:hint="eastAsia"/>
        </w:rPr>
        <w:t>第三章介绍了基于思维链增强与消息传递的分子性质预测方法。本章针对现有模型在大语言模型在预测时难以解释的问题以及传统图网络拓扑感知的局限，提出了一种端到端的双塔预测框架（CoT-CMP）。详细介绍了大模型引导的显式药理逻辑文本生成机制与基于通信核的交互式图特征提取机制，并全面呈现了该模型在TDC平台多个ADMET基准数据集上的实验设置、对比结果、消融实验与可视化讨论。</w:t>
      </w:r>
    </w:p>
    <w:p>
      <w:r>
        <w:rPr>
          <w:rFonts w:hint="eastAsia"/>
        </w:rPr>
        <w:t>第四章介绍了基于知识增强与图对齐的分子性质预测方法。</w:t>
      </w:r>
      <w:r>
        <w:t>本章指出，公共医学文本中存在较多噪声和冗余信息，而</w:t>
      </w:r>
      <w:r>
        <w:rPr>
          <w:rFonts w:hint="eastAsia"/>
        </w:rPr>
        <w:t>分子多模态</w:t>
      </w:r>
      <w:r>
        <w:t>数据的直接对齐也容易受到模态差异的干扰</w:t>
      </w:r>
      <w:r>
        <w:rPr>
          <w:rFonts w:hint="eastAsia"/>
        </w:rPr>
        <w:t>。针对这些问题，提出了一种以图表征为核心的四维多模态分子预测架构（KGAMA）。接着详细介绍了大语言模型知识重写流水线的设计逻辑，以及基于同方差不确定性的自适应加权机制在对比学习中的应用，并系统展示了该框架在MoleculeNet基准数据集上的实验设置、性能对比、消融分析与注意力权重特征的可视化结果。</w:t>
      </w:r>
    </w:p>
    <w:p>
      <w:r>
        <w:rPr>
          <w:rFonts w:hint="eastAsia"/>
        </w:rPr>
        <w:t>第五章对全文内容进行了系统性的总结与展望。本章对全文的核心研究内容与两项多模态预测框架的创新性成果进行了概括，客观分析了当前研究工作中存在的局限性，并从引入三维几何构象、构建更大规模多模态基础模型以及干湿实验闭环验证等维度，对未来分子性质预测领域的发展方向进行了科学的展望。</w:t>
      </w:r>
    </w:p>
    <w:p/>
    <w:p>
      <w:pPr>
        <w:sectPr>
          <w:headerReference r:id="rId14" w:type="default"/>
          <w:footerReference r:id="rId16" w:type="default"/>
          <w:headerReference r:id="rId15" w:type="even"/>
          <w:footerReference r:id="rId17" w:type="even"/>
          <w:pgSz w:w="11906" w:h="16838"/>
          <w:pgMar w:top="1418" w:right="1134" w:bottom="1134" w:left="1418" w:header="851" w:footer="851" w:gutter="0"/>
          <w:pgNumType w:start="1"/>
          <w:cols w:space="425" w:num="1"/>
          <w:docGrid w:type="lines" w:linePitch="326" w:charSpace="0"/>
        </w:sectPr>
      </w:pPr>
    </w:p>
    <w:p>
      <w:pPr>
        <w:pStyle w:val="2"/>
      </w:pPr>
      <w:bookmarkStart w:id="17" w:name="_Toc229423321"/>
      <w:r>
        <w:rPr>
          <w:rFonts w:hint="eastAsia"/>
        </w:rPr>
        <w:t>相关理论基础</w:t>
      </w:r>
      <w:bookmarkEnd w:id="17"/>
    </w:p>
    <w:p>
      <w:pPr>
        <w:pStyle w:val="3"/>
      </w:pPr>
      <w:bookmarkStart w:id="18" w:name="_Toc229423322"/>
      <w:r>
        <w:rPr>
          <w:rFonts w:hint="eastAsia"/>
        </w:rPr>
        <w:t>数据表征方法</w:t>
      </w:r>
      <w:bookmarkEnd w:id="18"/>
    </w:p>
    <w:p>
      <w:pPr>
        <w:pStyle w:val="4"/>
        <w:rPr>
          <w:rFonts w:hint="default"/>
        </w:rPr>
      </w:pPr>
      <w:bookmarkStart w:id="19" w:name="_Toc229423323"/>
      <w:r>
        <w:t>SMILES</w:t>
      </w:r>
      <w:bookmarkEnd w:id="19"/>
    </w:p>
    <w:p>
      <w:r>
        <w:rPr>
          <w:rFonts w:hint="eastAsia"/>
        </w:rPr>
        <w:t>简化分子线性输入规范</w:t>
      </w:r>
      <w:r>
        <w:rPr>
          <w:vertAlign w:val="superscript"/>
        </w:rPr>
        <w:fldChar w:fldCharType="begin"/>
      </w:r>
      <w:r>
        <w:rPr>
          <w:vertAlign w:val="superscript"/>
        </w:rPr>
        <w:instrText xml:space="preserve"> </w:instrText>
      </w:r>
      <w:r>
        <w:rPr>
          <w:rFonts w:hint="eastAsia"/>
          <w:vertAlign w:val="superscript"/>
        </w:rPr>
        <w:instrText xml:space="preserve">REF _Ref225763308 \r \h</w:instrText>
      </w:r>
      <w:r>
        <w:rPr>
          <w:vertAlign w:val="superscript"/>
        </w:rPr>
        <w:instrText xml:space="preserve">  \* MERGEFORMAT </w:instrText>
      </w:r>
      <w:r>
        <w:rPr>
          <w:vertAlign w:val="superscript"/>
        </w:rPr>
        <w:fldChar w:fldCharType="separate"/>
      </w:r>
      <w:r>
        <w:rPr>
          <w:vertAlign w:val="superscript"/>
        </w:rPr>
        <w:t>[37]</w:t>
      </w:r>
      <w:r>
        <w:rPr>
          <w:vertAlign w:val="superscript"/>
        </w:rPr>
        <w:fldChar w:fldCharType="end"/>
      </w:r>
      <w:r>
        <w:rPr>
          <w:rFonts w:hint="eastAsia"/>
        </w:rPr>
        <w:t>(Simplified Molecular Input Line Entry System, SMILES)是将分子的二维或三维结构信息降维为一维字符串序列最常用的方法之一。SMILES通过对分子图进行深度优先遍历(Depth-First Search, DFS)生成线性字符串。其编码遵循严格的化学语法规则：节点（原子）由标准的化学元素符号表示，如氢为H、碳为C、硫为S等。边（化学键）由特定字符表示，如“-”表示单键，通常省略；“=”表示双键；“#”表示三键等。分支结构通过括号“()”进行嵌套声明。环状结构则通过在开环和闭环原子处标记相同数字来实现断键重连。SMILES具有唯一性和高效性，通过SMILES字符串可以确保相同的分子具有唯一的字符串表示，这个特性避免了分子之间的歧义。另一方面，使用SMILES生成的序列具有天然紧凑性，且高度契合自然语言处理领域的序列模型。通过特定分词算法，可将SMILES字符串映射至高维向量空间，进而利用神经网络算法对其进行特征提取。</w:t>
      </w:r>
      <w:r>
        <w:fldChar w:fldCharType="begin"/>
      </w:r>
      <w:r>
        <w:instrText xml:space="preserve"> </w:instrText>
      </w:r>
      <w:r>
        <w:rPr>
          <w:rFonts w:hint="eastAsia"/>
        </w:rPr>
        <w:instrText xml:space="preserve">MACROBUTTON MTEditEquationSection2</w:instrText>
      </w:r>
      <w:r>
        <w:instrText xml:space="preserve"> </w:instrText>
      </w:r>
      <w:r>
        <w:rPr>
          <w:rStyle w:val="43"/>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pPr>
        <w:pStyle w:val="4"/>
        <w:rPr>
          <w:rFonts w:hint="default"/>
        </w:rPr>
      </w:pPr>
      <w:bookmarkStart w:id="20" w:name="_Toc229423324"/>
      <w:r>
        <w:t>二维拓扑图</w:t>
      </w:r>
      <w:bookmarkEnd w:id="20"/>
    </w:p>
    <w:p>
      <w:r>
        <w:rPr>
          <w:rFonts w:hint="eastAsia"/>
        </w:rPr>
        <w:t>分子的拓扑结构表示了分子中原子之间的连接方式，且拓扑结构可以用拓扑图来表示，其中可以将原子抽象地看为节点，化学键抽象地看为边</w:t>
      </w:r>
      <w:r>
        <w:rPr>
          <w:vertAlign w:val="superscript"/>
        </w:rPr>
        <w:fldChar w:fldCharType="begin"/>
      </w:r>
      <w:r>
        <w:rPr>
          <w:vertAlign w:val="superscript"/>
        </w:rPr>
        <w:instrText xml:space="preserve"> </w:instrText>
      </w:r>
      <w:r>
        <w:rPr>
          <w:rFonts w:hint="eastAsia"/>
          <w:vertAlign w:val="superscript"/>
        </w:rPr>
        <w:instrText xml:space="preserve">REF _Ref225763329 \r \h</w:instrText>
      </w:r>
      <w:r>
        <w:rPr>
          <w:vertAlign w:val="superscript"/>
        </w:rPr>
        <w:instrText xml:space="preserve">  \* MERGEFORMAT </w:instrText>
      </w:r>
      <w:r>
        <w:rPr>
          <w:vertAlign w:val="superscript"/>
        </w:rPr>
        <w:fldChar w:fldCharType="separate"/>
      </w:r>
      <w:r>
        <w:rPr>
          <w:vertAlign w:val="superscript"/>
        </w:rPr>
        <w:t>[38]</w:t>
      </w:r>
      <w:r>
        <w:rPr>
          <w:vertAlign w:val="superscript"/>
        </w:rPr>
        <w:fldChar w:fldCharType="end"/>
      </w:r>
      <w:r>
        <w:rPr>
          <w:rFonts w:hint="eastAsia"/>
        </w:rPr>
        <w:t>。</w:t>
      </w:r>
      <w:r>
        <w:t>通过拓扑图可以更加直观地表示分子的原子连接关系与局部结构特征</w:t>
      </w:r>
      <w:r>
        <w:rPr>
          <w:rFonts w:hint="eastAsia"/>
        </w:rPr>
        <w:t>。</w:t>
      </w:r>
    </w:p>
    <w:p>
      <w:r>
        <w:rPr>
          <w:rFonts w:hint="eastAsia"/>
        </w:rPr>
        <w:t>在图表征中，</w:t>
      </w:r>
      <w:r>
        <w:rPr>
          <w:position w:val="-6"/>
        </w:rPr>
        <w:object>
          <v:shape id="_x0000_i1025" o:spt="75" type="#_x0000_t75" style="height:13.2pt;width:13.2pt;" o:ole="t" filled="f" o:preferrelative="t" stroked="f" coordsize="21600,21600">
            <v:path/>
            <v:fill on="f" focussize="0,0"/>
            <v:stroke on="f" joinstyle="miter"/>
            <v:imagedata r:id="rId32" o:title=""/>
            <o:lock v:ext="edit" aspectratio="t"/>
            <w10:wrap type="none"/>
            <w10:anchorlock/>
          </v:shape>
          <o:OLEObject Type="Embed" ProgID="Equation.DSMT4" ShapeID="_x0000_i1025" DrawAspect="Content" ObjectID="_1468075725" r:id="rId31">
            <o:LockedField>false</o:LockedField>
          </o:OLEObject>
        </w:object>
      </w:r>
      <w:r>
        <w:rPr>
          <w:rFonts w:hint="eastAsia"/>
        </w:rPr>
        <w:t>表示节点（原子）集合，</w:t>
      </w:r>
      <w:bookmarkStart w:id="21" w:name="MTBlankEqn"/>
      <w:r>
        <w:rPr>
          <w:position w:val="-4"/>
        </w:rPr>
        <w:object>
          <v:shape id="_x0000_i1026" o:spt="75" type="#_x0000_t75" style="height:13.2pt;width:13.2pt;" o:ole="t" filled="f" o:preferrelative="t" stroked="f" coordsize="21600,21600">
            <v:path/>
            <v:fill on="f" focussize="0,0"/>
            <v:stroke on="f" joinstyle="miter"/>
            <v:imagedata r:id="rId34" o:title=""/>
            <o:lock v:ext="edit" aspectratio="t"/>
            <w10:wrap type="none"/>
            <w10:anchorlock/>
          </v:shape>
          <o:OLEObject Type="Embed" ProgID="Equation.DSMT4" ShapeID="_x0000_i1026" DrawAspect="Content" ObjectID="_1468075726" r:id="rId33">
            <o:LockedField>false</o:LockedField>
          </o:OLEObject>
        </w:object>
      </w:r>
      <w:bookmarkEnd w:id="21"/>
      <w:r>
        <w:rPr>
          <w:rFonts w:hint="eastAsia"/>
        </w:rPr>
        <w:t>表示边（化学键）集合。为了在图神经网络中进行消息传递，需要为节点和边分别构建初始特征矩阵，节点特征矩阵如公式</w:t>
      </w:r>
      <w:r>
        <w:rPr>
          <w:iCs/>
        </w:rPr>
        <w:fldChar w:fldCharType="begin"/>
      </w:r>
      <w:r>
        <w:rPr>
          <w:iCs/>
        </w:rPr>
        <w:instrText xml:space="preserve"> </w:instrText>
      </w:r>
      <w:r>
        <w:rPr>
          <w:rFonts w:hint="eastAsia"/>
          <w:iCs/>
        </w:rPr>
        <w:instrText xml:space="preserve">GOTOBUTTON ZEqnNum924599  \* MERGEFORMAT</w:instrText>
      </w:r>
      <w:r>
        <w:rPr>
          <w:iCs/>
        </w:rPr>
        <w:instrText xml:space="preserve"> </w:instrText>
      </w:r>
      <w:r>
        <w:rPr>
          <w:iCs/>
        </w:rPr>
        <w:fldChar w:fldCharType="begin"/>
      </w:r>
      <w:r>
        <w:rPr>
          <w:iCs/>
        </w:rPr>
        <w:instrText xml:space="preserve"> REF ZEqnNum924599 \* Charformat \! \* MERGEFORMAT </w:instrText>
      </w:r>
      <w:r>
        <w:rPr>
          <w:iCs/>
        </w:rPr>
        <w:fldChar w:fldCharType="separate"/>
      </w:r>
      <w:r>
        <w:rPr>
          <w:iCs/>
        </w:rPr>
        <w:instrText xml:space="preserve">(2-1)</w:instrText>
      </w:r>
      <w:r>
        <w:rPr>
          <w:iCs/>
        </w:rPr>
        <w:fldChar w:fldCharType="end"/>
      </w:r>
      <w:r>
        <w:rPr>
          <w:iCs/>
        </w:rPr>
        <w:fldChar w:fldCharType="end"/>
      </w:r>
      <w:r>
        <w:rPr>
          <w:rFonts w:hint="eastAsia"/>
          <w:iCs/>
        </w:rPr>
        <w:t>所示</w:t>
      </w:r>
      <w:r>
        <w:rPr>
          <w:rFonts w:hint="eastAsia"/>
        </w:rPr>
        <w:t>：</w:t>
      </w:r>
    </w:p>
    <w:p>
      <w:pPr>
        <w:pStyle w:val="44"/>
        <w:spacing w:before="326" w:after="326"/>
      </w:pPr>
      <w:r>
        <w:tab/>
      </w:r>
      <w:r>
        <w:rPr>
          <w:position w:val="-12"/>
        </w:rPr>
        <w:object>
          <v:shape id="_x0000_i1027" o:spt="75" type="#_x0000_t75" style="height:18pt;width:58.8pt;" o:ole="t" filled="f" o:preferrelative="t" stroked="f" coordsize="21600,21600">
            <v:path/>
            <v:fill on="f" focussize="0,0"/>
            <v:stroke on="f" joinstyle="miter"/>
            <v:imagedata r:id="rId36" o:title=""/>
            <o:lock v:ext="edit" aspectratio="t"/>
            <w10:wrap type="none"/>
            <w10:anchorlock/>
          </v:shape>
          <o:OLEObject Type="Embed" ProgID="Equation.DSMT4" ShapeID="_x0000_i1027" DrawAspect="Content" ObjectID="_1468075727" r:id="rId3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2" w:name="ZEqnNum924599"/>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bookmarkEnd w:id="22"/>
      <w:r>
        <w:fldChar w:fldCharType="end"/>
      </w:r>
    </w:p>
    <w:p>
      <w:r>
        <w:rPr>
          <w:rFonts w:hint="eastAsia"/>
        </w:rPr>
        <w:t>其中，</w:t>
      </w:r>
      <w:r>
        <w:rPr>
          <w:position w:val="-10"/>
        </w:rPr>
        <w:object>
          <v:shape id="_x0000_i1028" o:spt="75" type="#_x0000_t75" style="height:15.6pt;width:22.2pt;" o:ole="t" filled="f" o:preferrelative="t" stroked="f" coordsize="21600,21600">
            <v:path/>
            <v:fill on="f" focussize="0,0"/>
            <v:stroke on="f" joinstyle="miter"/>
            <v:imagedata r:id="rId38" o:title=""/>
            <o:lock v:ext="edit" aspectratio="t"/>
            <w10:wrap type="none"/>
            <w10:anchorlock/>
          </v:shape>
          <o:OLEObject Type="Embed" ProgID="Equation.DSMT4" ShapeID="_x0000_i1028" DrawAspect="Content" ObjectID="_1468075728" r:id="rId37">
            <o:LockedField>false</o:LockedField>
          </o:OLEObject>
        </w:object>
      </w:r>
      <w:r>
        <w:rPr>
          <w:rFonts w:hint="eastAsia"/>
        </w:rPr>
        <w:t>为原子总数，</w:t>
      </w:r>
      <w:r>
        <w:rPr>
          <w:position w:val="-12"/>
        </w:rPr>
        <w:object>
          <v:shape id="_x0000_i1029" o:spt="75" type="#_x0000_t75" style="height:18pt;width:13.2pt;" o:ole="t" filled="f" o:preferrelative="t" stroked="f" coordsize="21600,21600">
            <v:path/>
            <v:fill on="f" focussize="0,0"/>
            <v:stroke on="f" joinstyle="miter"/>
            <v:imagedata r:id="rId40" o:title=""/>
            <o:lock v:ext="edit" aspectratio="t"/>
            <w10:wrap type="none"/>
            <w10:anchorlock/>
          </v:shape>
          <o:OLEObject Type="Embed" ProgID="Equation.DSMT4" ShapeID="_x0000_i1029" DrawAspect="Content" ObjectID="_1468075729" r:id="rId39">
            <o:LockedField>false</o:LockedField>
          </o:OLEObject>
        </w:object>
      </w:r>
      <w:r>
        <w:rPr>
          <w:rFonts w:hint="eastAsia"/>
        </w:rPr>
        <w:t>为原子特征维度。常见的原子特征包括原子序数、电负性、杂化轨道类型、隐式氢原子数量、形式电荷及是否具有手性等。</w:t>
      </w:r>
    </w:p>
    <w:p>
      <w:r>
        <w:rPr>
          <w:rFonts w:hint="eastAsia"/>
        </w:rPr>
        <w:t>边特征矩阵如公式</w:t>
      </w:r>
      <w:r>
        <w:rPr>
          <w:iCs/>
        </w:rPr>
        <w:fldChar w:fldCharType="begin"/>
      </w:r>
      <w:r>
        <w:rPr>
          <w:iCs/>
        </w:rPr>
        <w:instrText xml:space="preserve"> </w:instrText>
      </w:r>
      <w:r>
        <w:rPr>
          <w:rFonts w:hint="eastAsia"/>
          <w:iCs/>
        </w:rPr>
        <w:instrText xml:space="preserve">GOTOBUTTON ZEqnNum138648  \* MERGEFORMAT</w:instrText>
      </w:r>
      <w:r>
        <w:rPr>
          <w:iCs/>
        </w:rPr>
        <w:instrText xml:space="preserve"> </w:instrText>
      </w:r>
      <w:r>
        <w:rPr>
          <w:iCs/>
        </w:rPr>
        <w:fldChar w:fldCharType="begin"/>
      </w:r>
      <w:r>
        <w:rPr>
          <w:iCs/>
        </w:rPr>
        <w:instrText xml:space="preserve"> REF ZEqnNum138648 \* Charformat \! \* MERGEFORMAT </w:instrText>
      </w:r>
      <w:r>
        <w:rPr>
          <w:iCs/>
        </w:rPr>
        <w:fldChar w:fldCharType="separate"/>
      </w:r>
      <w:r>
        <w:rPr>
          <w:iCs/>
        </w:rPr>
        <w:instrText xml:space="preserve">(2-2)</w:instrText>
      </w:r>
      <w:r>
        <w:rPr>
          <w:iCs/>
        </w:rPr>
        <w:fldChar w:fldCharType="end"/>
      </w:r>
      <w:r>
        <w:rPr>
          <w:iCs/>
        </w:rPr>
        <w:fldChar w:fldCharType="end"/>
      </w:r>
      <w:r>
        <w:rPr>
          <w:rFonts w:hint="eastAsia"/>
        </w:rPr>
        <w:t>所示：</w:t>
      </w:r>
    </w:p>
    <w:p>
      <w:pPr>
        <w:pStyle w:val="44"/>
        <w:spacing w:before="326" w:after="326"/>
      </w:pPr>
      <w:r>
        <w:tab/>
      </w:r>
      <w:r>
        <w:rPr>
          <w:position w:val="-12"/>
        </w:rPr>
        <w:object>
          <v:shape id="_x0000_i1030" o:spt="75" type="#_x0000_t75" style="height:18pt;width:58.8pt;" o:ole="t" filled="f" o:preferrelative="t" stroked="f" coordsize="21600,21600">
            <v:path/>
            <v:fill on="f" focussize="0,0"/>
            <v:stroke on="f" joinstyle="miter"/>
            <v:imagedata r:id="rId42" o:title=""/>
            <o:lock v:ext="edit" aspectratio="t"/>
            <w10:wrap type="none"/>
            <w10:anchorlock/>
          </v:shape>
          <o:OLEObject Type="Embed" ProgID="Equation.DSMT4" ShapeID="_x0000_i1030" DrawAspect="Content" ObjectID="_1468075730" r:id="rId4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3" w:name="ZEqnNum138648"/>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bookmarkEnd w:id="23"/>
      <w:r>
        <w:fldChar w:fldCharType="end"/>
      </w:r>
    </w:p>
    <w:p>
      <w:r>
        <w:rPr>
          <w:rFonts w:hint="eastAsia"/>
        </w:rPr>
        <w:t>其中，</w:t>
      </w:r>
      <w:r>
        <w:rPr>
          <w:position w:val="-10"/>
        </w:rPr>
        <w:object>
          <v:shape id="_x0000_i1031" o:spt="75" type="#_x0000_t75" style="height:15.6pt;width:22.2pt;" o:ole="t" filled="f" o:preferrelative="t" stroked="f" coordsize="21600,21600">
            <v:path/>
            <v:fill on="f" focussize="0,0"/>
            <v:stroke on="f" joinstyle="miter"/>
            <v:imagedata r:id="rId44" o:title=""/>
            <o:lock v:ext="edit" aspectratio="t"/>
            <w10:wrap type="none"/>
            <w10:anchorlock/>
          </v:shape>
          <o:OLEObject Type="Embed" ProgID="Equation.DSMT4" ShapeID="_x0000_i1031" DrawAspect="Content" ObjectID="_1468075731" r:id="rId43">
            <o:LockedField>false</o:LockedField>
          </o:OLEObject>
        </w:object>
      </w:r>
      <w:r>
        <w:rPr>
          <w:rFonts w:hint="eastAsia"/>
        </w:rPr>
        <w:t>为化学键总数，</w:t>
      </w:r>
      <w:r>
        <w:rPr>
          <w:position w:val="-12"/>
        </w:rPr>
        <w:object>
          <v:shape id="_x0000_i1032" o:spt="75" type="#_x0000_t75" style="height:18pt;width:13.2pt;" o:ole="t" filled="f" o:preferrelative="t" stroked="f" coordsize="21600,21600">
            <v:path/>
            <v:fill on="f" focussize="0,0"/>
            <v:stroke on="f" joinstyle="miter"/>
            <v:imagedata r:id="rId46" o:title=""/>
            <o:lock v:ext="edit" aspectratio="t"/>
            <w10:wrap type="none"/>
            <w10:anchorlock/>
          </v:shape>
          <o:OLEObject Type="Embed" ProgID="Equation.DSMT4" ShapeID="_x0000_i1032" DrawAspect="Content" ObjectID="_1468075732" r:id="rId45">
            <o:LockedField>false</o:LockedField>
          </o:OLEObject>
        </w:object>
      </w:r>
      <w:r>
        <w:rPr>
          <w:rFonts w:hint="eastAsia"/>
        </w:rPr>
        <w:t>为边特征维度。常见的边特征包括化学键类型，以及是否处于共轭体系或是否属于环结构等。二维拓扑图表征完整保留了分子的骨架连接性与图同构不变性，能够有效捕捉局部化学环境中的原子交互模式及远端原子间的拓扑依赖关系，是分子图神经网络建模的核心输入数据结构</w:t>
      </w:r>
      <w:r>
        <w:rPr>
          <w:vertAlign w:val="superscript"/>
        </w:rPr>
        <w:fldChar w:fldCharType="begin"/>
      </w:r>
      <w:r>
        <w:rPr>
          <w:vertAlign w:val="superscript"/>
        </w:rPr>
        <w:instrText xml:space="preserve"> </w:instrText>
      </w:r>
      <w:r>
        <w:rPr>
          <w:rFonts w:hint="eastAsia"/>
          <w:vertAlign w:val="superscript"/>
        </w:rPr>
        <w:instrText xml:space="preserve">REF _Ref229423283 \r \h</w:instrText>
      </w:r>
      <w:r>
        <w:rPr>
          <w:vertAlign w:val="superscript"/>
        </w:rPr>
        <w:instrText xml:space="preserve">  \* MERGEFORMAT </w:instrText>
      </w:r>
      <w:r>
        <w:rPr>
          <w:vertAlign w:val="superscript"/>
        </w:rPr>
        <w:fldChar w:fldCharType="separate"/>
      </w:r>
      <w:r>
        <w:rPr>
          <w:vertAlign w:val="superscript"/>
        </w:rPr>
        <w:t>[39]</w:t>
      </w:r>
      <w:r>
        <w:rPr>
          <w:vertAlign w:val="superscript"/>
        </w:rPr>
        <w:fldChar w:fldCharType="end"/>
      </w:r>
      <w:r>
        <w:rPr>
          <w:rFonts w:hint="eastAsia"/>
        </w:rPr>
        <w:t>。</w:t>
      </w:r>
    </w:p>
    <w:p>
      <w:pPr>
        <w:pStyle w:val="4"/>
        <w:rPr>
          <w:rFonts w:hint="default"/>
        </w:rPr>
      </w:pPr>
      <w:bookmarkStart w:id="24" w:name="_Toc229423325"/>
      <w:r>
        <w:t>分子指纹</w:t>
      </w:r>
      <w:bookmarkEnd w:id="24"/>
    </w:p>
    <w:p>
      <w:r>
        <w:rPr>
          <w:rFonts w:hint="eastAsia"/>
        </w:rPr>
        <w:t>分子指纹（Molecular Fingerprints）是一种将分子的局部子结构、拓扑路径或特定官能团编码为固定长度特征向量的表征方法</w:t>
      </w:r>
      <w:r>
        <w:rPr>
          <w:vertAlign w:val="superscript"/>
        </w:rPr>
        <w:fldChar w:fldCharType="begin"/>
      </w:r>
      <w:r>
        <w:rPr>
          <w:vertAlign w:val="superscript"/>
        </w:rPr>
        <w:instrText xml:space="preserve"> </w:instrText>
      </w:r>
      <w:r>
        <w:rPr>
          <w:rFonts w:hint="eastAsia"/>
          <w:vertAlign w:val="superscript"/>
        </w:rPr>
        <w:instrText xml:space="preserve">REF _Ref225763347 \r \h</w:instrText>
      </w:r>
      <w:r>
        <w:rPr>
          <w:vertAlign w:val="superscript"/>
        </w:rPr>
        <w:instrText xml:space="preserve">  \* MERGEFORMAT </w:instrText>
      </w:r>
      <w:r>
        <w:rPr>
          <w:vertAlign w:val="superscript"/>
        </w:rPr>
        <w:fldChar w:fldCharType="separate"/>
      </w:r>
      <w:r>
        <w:rPr>
          <w:vertAlign w:val="superscript"/>
        </w:rPr>
        <w:t>[40]</w:t>
      </w:r>
      <w:r>
        <w:rPr>
          <w:vertAlign w:val="superscript"/>
        </w:rPr>
        <w:fldChar w:fldCharType="end"/>
      </w:r>
      <w:r>
        <w:rPr>
          <w:rFonts w:hint="eastAsia"/>
        </w:rPr>
        <w:t>。最常见的编码方式就是使用二进制数组，其本质</w:t>
      </w:r>
      <w:r>
        <w:t>上是一种对分子结构信息进行压缩表达的手段</w:t>
      </w:r>
      <w:r>
        <w:rPr>
          <w:rFonts w:hint="eastAsia"/>
        </w:rPr>
        <w:t>。</w:t>
      </w:r>
      <w:r>
        <w:t>分子指纹通常通过对分子图进行遍历、子结构匹配或基于哈希函数映射等方式生成。</w:t>
      </w:r>
      <w:r>
        <w:rPr>
          <w:rFonts w:hint="eastAsia"/>
        </w:rPr>
        <w:t>基于分子的结构相似性原理，指纹的相似性通常预示着分子间具有相似的理化性质或生化性质。</w:t>
      </w:r>
    </w:p>
    <w:p>
      <w:r>
        <w:rPr>
          <w:rFonts w:hint="eastAsia"/>
        </w:rPr>
        <w:t>根据编码策略的不同，分子指纹又可分为多种类型，常见的类型有：基于拓扑路径的指纹、基于圆形领域的指纹、基于专家规则的指纹等</w:t>
      </w:r>
      <w:r>
        <w:rPr>
          <w:vertAlign w:val="superscript"/>
        </w:rPr>
        <w:fldChar w:fldCharType="begin"/>
      </w:r>
      <w:r>
        <w:rPr>
          <w:vertAlign w:val="superscript"/>
        </w:rPr>
        <w:instrText xml:space="preserve"> </w:instrText>
      </w:r>
      <w:r>
        <w:rPr>
          <w:rFonts w:hint="eastAsia"/>
          <w:vertAlign w:val="superscript"/>
        </w:rPr>
        <w:instrText xml:space="preserve">REF _Ref225763385 \r \h</w:instrText>
      </w:r>
      <w:r>
        <w:rPr>
          <w:vertAlign w:val="superscript"/>
        </w:rPr>
        <w:instrText xml:space="preserve">  \* MERGEFORMAT </w:instrText>
      </w:r>
      <w:r>
        <w:rPr>
          <w:vertAlign w:val="superscript"/>
        </w:rPr>
        <w:fldChar w:fldCharType="separate"/>
      </w:r>
      <w:r>
        <w:rPr>
          <w:vertAlign w:val="superscript"/>
        </w:rPr>
        <w:t>[41]</w:t>
      </w:r>
      <w:r>
        <w:rPr>
          <w:vertAlign w:val="superscript"/>
        </w:rPr>
        <w:fldChar w:fldCharType="end"/>
      </w:r>
      <w:r>
        <w:rPr>
          <w:rFonts w:hint="eastAsia"/>
        </w:rPr>
        <w:t>。分子指纹将结构各异、大小不一的分子转化为维度统一的数值向量，从而使其能够作为标准化输入，</w:t>
      </w:r>
      <w:r>
        <w:t>高效地应用于各类机器学习</w:t>
      </w:r>
      <w:r>
        <w:rPr>
          <w:rFonts w:hint="eastAsia"/>
        </w:rPr>
        <w:t>和深度学习</w:t>
      </w:r>
      <w:r>
        <w:t>模型。同时，该方法具有计算效率高、易于实现等优点，但在一定程度上也可能因信息压缩而导致结构细节的丢失</w:t>
      </w:r>
      <w:r>
        <w:rPr>
          <w:rFonts w:hint="eastAsia"/>
        </w:rPr>
        <w:t>。</w:t>
      </w:r>
    </w:p>
    <w:p>
      <w:pPr>
        <w:pStyle w:val="4"/>
        <w:rPr>
          <w:rFonts w:hint="default"/>
        </w:rPr>
      </w:pPr>
      <w:bookmarkStart w:id="25" w:name="_Toc229423326"/>
      <w:r>
        <w:t>文本语义</w:t>
      </w:r>
      <w:bookmarkEnd w:id="25"/>
    </w:p>
    <w:p>
      <w:r>
        <w:rPr>
          <w:rFonts w:hint="eastAsia"/>
        </w:rPr>
        <w:t>纯粹基于序列或拓扑图的表征方法</w:t>
      </w:r>
      <w:r>
        <w:t>主要刻画分子的微观化学结构信息</w:t>
      </w:r>
      <w:r>
        <w:rPr>
          <w:rFonts w:hint="eastAsia"/>
        </w:rPr>
        <w:t>，</w:t>
      </w:r>
      <w:r>
        <w:t>难以直接建模其与宏观药代动力学性质及生物靶点作用机制之间的复杂关联关系</w:t>
      </w:r>
      <w:r>
        <w:rPr>
          <w:rFonts w:hint="eastAsia"/>
        </w:rPr>
        <w:t>。</w:t>
      </w:r>
      <w:r>
        <w:t>为此，引入融合自然语言描述与理化属性的高层语义表征</w:t>
      </w:r>
      <w:r>
        <w:rPr>
          <w:rFonts w:hint="eastAsia"/>
        </w:rPr>
        <w:t>，</w:t>
      </w:r>
      <w:r>
        <w:t>通过整合外部专家知识与客观</w:t>
      </w:r>
      <w:r>
        <w:rPr>
          <w:rFonts w:hint="eastAsia"/>
        </w:rPr>
        <w:t>分子属性</w:t>
      </w:r>
      <w:r>
        <w:t>指标，为模型提供语义信息补充，从而增强对分子</w:t>
      </w:r>
      <w:r>
        <w:rPr>
          <w:rFonts w:hint="eastAsia"/>
        </w:rPr>
        <w:t>生化性质</w:t>
      </w:r>
      <w:r>
        <w:t>的刻画能力。该类表征信息主要包括以下两部分</w:t>
      </w:r>
      <w:r>
        <w:rPr>
          <w:rFonts w:hint="eastAsia"/>
        </w:rPr>
        <w:t>：</w:t>
      </w:r>
    </w:p>
    <w:p>
      <w:pPr>
        <w:ind w:firstLineChars="0"/>
      </w:pPr>
      <w:r>
        <w:rPr>
          <w:rFonts w:hint="eastAsia"/>
        </w:rPr>
        <w:t>（1） 定量理化属性</w:t>
      </w:r>
    </w:p>
    <w:p>
      <w:r>
        <w:t>定量理化属性</w:t>
      </w:r>
      <w:r>
        <w:rPr>
          <w:rFonts w:hint="eastAsia"/>
        </w:rPr>
        <w:t>是通过利用化学信息学工具（如RDKit）依据分子的2D结构计算得出的客观存在的物理化学指标。这些特征通常是连续的数值，核心参数包括脂水分配系数（LogP）、拓扑极性表面积（TPSA）、精确分子量（Exact MW）以及可旋转键的数量等。</w:t>
      </w:r>
      <w:r>
        <w:t>上述</w:t>
      </w:r>
      <w:r>
        <w:rPr>
          <w:rFonts w:hint="eastAsia"/>
        </w:rPr>
        <w:t>指标</w:t>
      </w:r>
      <w:r>
        <w:t>能够从不同角度反映分子的疏水性、极性及构象灵活性等性质，对分子的膜渗透性、溶解度及体内分布具有重要指示作用</w:t>
      </w:r>
      <w:r>
        <w:rPr>
          <w:rFonts w:hint="eastAsia"/>
        </w:rPr>
        <w:t>。</w:t>
      </w:r>
    </w:p>
    <w:p>
      <w:r>
        <w:rPr>
          <w:rFonts w:hint="eastAsia"/>
        </w:rPr>
        <w:t>（2） 定性语义文本</w:t>
      </w:r>
    </w:p>
    <w:p>
      <w:r>
        <w:t>定性语义文本通过引入结构化生物医学数据库或利用大语言模型生成的推理性描述</w:t>
      </w:r>
      <w:r>
        <w:rPr>
          <w:rFonts w:hint="eastAsia"/>
        </w:rPr>
        <w:t>，</w:t>
      </w:r>
      <w:r>
        <w:t>将分子的潜在毒性机制、理化性质特征及关键官能团作用以自然语言形式进行表达。借助预训练语言模型的语义编码与表示学习能力，该类表征能够从语义层面刻画分子的高层属性信息，为分子性质预测任务提供有价值的语义补充，有效弥合微观结构信息与宏观性质表征之间的表达鸿沟</w:t>
      </w:r>
      <w:r>
        <w:rPr>
          <w:rFonts w:hint="eastAsia"/>
        </w:rPr>
        <w:t>。</w:t>
      </w:r>
    </w:p>
    <w:p/>
    <w:p>
      <w:pPr>
        <w:ind w:firstLine="0" w:firstLineChars="0"/>
        <w:jc w:val="center"/>
      </w:pPr>
      <w:r>
        <w:rPr>
          <w:rFonts w:hint="eastAsia"/>
        </w:rPr>
        <w:drawing>
          <wp:inline distT="0" distB="0" distL="114300" distR="114300">
            <wp:extent cx="5714365" cy="2924175"/>
            <wp:effectExtent l="0" t="0" r="4445" b="0"/>
            <wp:docPr id="1" name="图片 1" descr="分子表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分子表征图.drawio"/>
                    <pic:cNvPicPr>
                      <a:picLocks noChangeAspect="1"/>
                    </pic:cNvPicPr>
                  </pic:nvPicPr>
                  <pic:blipFill>
                    <a:blip r:embed="rId47"/>
                    <a:stretch>
                      <a:fillRect/>
                    </a:stretch>
                  </pic:blipFill>
                  <pic:spPr>
                    <a:xfrm>
                      <a:off x="0" y="0"/>
                      <a:ext cx="5714681" cy="2924175"/>
                    </a:xfrm>
                    <a:prstGeom prst="rect">
                      <a:avLst/>
                    </a:prstGeom>
                  </pic:spPr>
                </pic:pic>
              </a:graphicData>
            </a:graphic>
          </wp:inline>
        </w:drawing>
      </w:r>
    </w:p>
    <w:p>
      <w:pPr>
        <w:pStyle w:val="11"/>
      </w:pPr>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1</w:t>
      </w:r>
      <w:r>
        <w:fldChar w:fldCharType="end"/>
      </w:r>
      <w:r>
        <w:rPr>
          <w:rFonts w:hint="eastAsia"/>
        </w:rPr>
        <w:t xml:space="preserve"> 阿司匹林的多模态化学表征</w:t>
      </w:r>
    </w:p>
    <w:p>
      <w:pPr>
        <w:pStyle w:val="3"/>
      </w:pPr>
      <w:bookmarkStart w:id="26" w:name="_Toc229423327"/>
      <w:r>
        <w:rPr>
          <w:rFonts w:hint="eastAsia"/>
        </w:rPr>
        <w:t>图神经网络</w:t>
      </w:r>
      <w:bookmarkEnd w:id="26"/>
    </w:p>
    <w:p>
      <w:r>
        <w:rPr>
          <w:rFonts w:hint="eastAsia"/>
        </w:rPr>
        <w:t>分子结构本质上是由原子与共价键构成的非欧几里得空间数据，传统的卷积神经网络</w:t>
      </w:r>
      <w:r>
        <w:rPr>
          <w:vertAlign w:val="superscript"/>
        </w:rPr>
        <w:fldChar w:fldCharType="begin"/>
      </w:r>
      <w:r>
        <w:rPr>
          <w:vertAlign w:val="superscript"/>
        </w:rPr>
        <w:instrText xml:space="preserve"> </w:instrText>
      </w:r>
      <w:r>
        <w:rPr>
          <w:rFonts w:hint="eastAsia"/>
          <w:vertAlign w:val="superscript"/>
        </w:rPr>
        <w:instrText xml:space="preserve">REF _Ref225763406 \r \h</w:instrText>
      </w:r>
      <w:r>
        <w:rPr>
          <w:vertAlign w:val="superscript"/>
        </w:rPr>
        <w:instrText xml:space="preserve">  \* MERGEFORMAT </w:instrText>
      </w:r>
      <w:r>
        <w:rPr>
          <w:vertAlign w:val="superscript"/>
        </w:rPr>
        <w:fldChar w:fldCharType="separate"/>
      </w:r>
      <w:r>
        <w:rPr>
          <w:vertAlign w:val="superscript"/>
        </w:rPr>
        <w:t>[42]</w:t>
      </w:r>
      <w:r>
        <w:rPr>
          <w:vertAlign w:val="superscript"/>
        </w:rPr>
        <w:fldChar w:fldCharType="end"/>
      </w:r>
      <w:r>
        <w:rPr>
          <w:rFonts w:hint="eastAsia"/>
        </w:rPr>
        <w:t>（CNN）与循环神经网络</w:t>
      </w:r>
      <w:r>
        <w:rPr>
          <w:vertAlign w:val="superscript"/>
        </w:rPr>
        <w:fldChar w:fldCharType="begin"/>
      </w:r>
      <w:r>
        <w:rPr>
          <w:vertAlign w:val="superscript"/>
        </w:rPr>
        <w:instrText xml:space="preserve"> </w:instrText>
      </w:r>
      <w:r>
        <w:rPr>
          <w:rFonts w:hint="eastAsia"/>
          <w:vertAlign w:val="superscript"/>
        </w:rPr>
        <w:instrText xml:space="preserve">REF _Ref225763419 \r \h</w:instrText>
      </w:r>
      <w:r>
        <w:rPr>
          <w:vertAlign w:val="superscript"/>
        </w:rPr>
        <w:instrText xml:space="preserve">  \* MERGEFORMAT </w:instrText>
      </w:r>
      <w:r>
        <w:rPr>
          <w:vertAlign w:val="superscript"/>
        </w:rPr>
        <w:fldChar w:fldCharType="separate"/>
      </w:r>
      <w:r>
        <w:rPr>
          <w:vertAlign w:val="superscript"/>
        </w:rPr>
        <w:t>[43]</w:t>
      </w:r>
      <w:r>
        <w:rPr>
          <w:vertAlign w:val="superscript"/>
        </w:rPr>
        <w:fldChar w:fldCharType="end"/>
      </w:r>
      <w:r>
        <w:rPr>
          <w:rFonts w:hint="eastAsia"/>
        </w:rPr>
        <w:t>（RNN）无法直接处理此类不规则的拓扑连接。图神经网络</w:t>
      </w:r>
      <w:r>
        <w:rPr>
          <w:vertAlign w:val="superscript"/>
        </w:rPr>
        <w:fldChar w:fldCharType="begin"/>
      </w:r>
      <w:r>
        <w:rPr>
          <w:vertAlign w:val="superscript"/>
        </w:rPr>
        <w:instrText xml:space="preserve"> </w:instrText>
      </w:r>
      <w:r>
        <w:rPr>
          <w:rFonts w:hint="eastAsia"/>
          <w:vertAlign w:val="superscript"/>
        </w:rPr>
        <w:instrText xml:space="preserve">REF _Ref225763433 \r \h</w:instrText>
      </w:r>
      <w:r>
        <w:rPr>
          <w:vertAlign w:val="superscript"/>
        </w:rPr>
        <w:instrText xml:space="preserve">  \* MERGEFORMAT </w:instrText>
      </w:r>
      <w:r>
        <w:rPr>
          <w:vertAlign w:val="superscript"/>
        </w:rPr>
        <w:fldChar w:fldCharType="separate"/>
      </w:r>
      <w:r>
        <w:rPr>
          <w:vertAlign w:val="superscript"/>
        </w:rPr>
        <w:t>[44]</w:t>
      </w:r>
      <w:r>
        <w:rPr>
          <w:vertAlign w:val="superscript"/>
        </w:rPr>
        <w:fldChar w:fldCharType="end"/>
      </w:r>
      <w:r>
        <w:rPr>
          <w:rFonts w:hint="eastAsia"/>
        </w:rPr>
        <w:t>（Graph Neural Networks, GNN）通过在节点（原子）及其拓扑邻域之间执行特征聚合与非线性变换，成为了当前分子图表示学习的标准范式。本节将系统梳理消息传递框架、图卷积、图注意力机制等核心理论。</w:t>
      </w:r>
    </w:p>
    <w:p>
      <w:pPr>
        <w:pStyle w:val="4"/>
        <w:rPr>
          <w:rFonts w:hint="default"/>
        </w:rPr>
      </w:pPr>
      <w:bookmarkStart w:id="27" w:name="_Toc229423328"/>
      <w:r>
        <w:t>消息传递机制</w:t>
      </w:r>
      <w:bookmarkEnd w:id="27"/>
    </w:p>
    <w:p>
      <w:r>
        <w:rPr>
          <w:rFonts w:hint="eastAsia"/>
        </w:rPr>
        <w:t>消息传递神经网络</w:t>
      </w:r>
      <w:r>
        <w:rPr>
          <w:vertAlign w:val="superscript"/>
        </w:rPr>
        <w:fldChar w:fldCharType="begin"/>
      </w:r>
      <w:r>
        <w:rPr>
          <w:vertAlign w:val="superscript"/>
        </w:rPr>
        <w:instrText xml:space="preserve"> </w:instrText>
      </w:r>
      <w:r>
        <w:rPr>
          <w:rFonts w:hint="eastAsia"/>
          <w:vertAlign w:val="superscript"/>
        </w:rPr>
        <w:instrText xml:space="preserve">REF _Ref225763447 \r \h</w:instrText>
      </w:r>
      <w:r>
        <w:rPr>
          <w:vertAlign w:val="superscript"/>
        </w:rPr>
        <w:instrText xml:space="preserve">  \* MERGEFORMAT </w:instrText>
      </w:r>
      <w:r>
        <w:rPr>
          <w:vertAlign w:val="superscript"/>
        </w:rPr>
        <w:fldChar w:fldCharType="separate"/>
      </w:r>
      <w:r>
        <w:rPr>
          <w:vertAlign w:val="superscript"/>
        </w:rPr>
        <w:t>[45]</w:t>
      </w:r>
      <w:r>
        <w:rPr>
          <w:vertAlign w:val="superscript"/>
        </w:rPr>
        <w:fldChar w:fldCharType="end"/>
      </w:r>
      <w:r>
        <w:rPr>
          <w:rFonts w:hint="eastAsia"/>
        </w:rPr>
        <w:t>（Message Passing Neural Network, MPNN）是空间域图神经网络的通用数学框架。该框架从图的本质出发，其认为在网络拓扑中想要得到节点信息，最直接的方式就是通过相邻的节点相互传递特征信息来更新节点的表示。MPNN的消息传递机制如</w:t>
      </w:r>
      <w:r>
        <w:fldChar w:fldCharType="begin"/>
      </w:r>
      <w:r>
        <w:instrText xml:space="preserve"> </w:instrText>
      </w:r>
      <w:r>
        <w:rPr>
          <w:rFonts w:hint="eastAsia"/>
        </w:rPr>
        <w:instrText xml:space="preserve">REF _Ref224304453 \h</w:instrText>
      </w:r>
      <w:r>
        <w:instrText xml:space="preserve"> </w:instrText>
      </w:r>
      <w:r>
        <w:fldChar w:fldCharType="separate"/>
      </w:r>
      <w:r>
        <w:rPr>
          <w:rFonts w:hint="eastAsia"/>
        </w:rPr>
        <w:t>图2-</w:t>
      </w:r>
      <w:r>
        <w:t>2</w:t>
      </w:r>
      <w:r>
        <w:fldChar w:fldCharType="end"/>
      </w:r>
      <w:r>
        <w:rPr>
          <w:rFonts w:hint="eastAsia"/>
        </w:rPr>
        <w:t>所示，具体来说是将每一层神经网络的操作分为了三个步骤：</w:t>
      </w:r>
    </w:p>
    <w:p>
      <w:r>
        <w:rPr>
          <w:rFonts w:hint="eastAsia"/>
        </w:rPr>
        <w:t>第一步：消息构造。假设需要更新节点</w:t>
      </w:r>
      <w:r>
        <w:rPr>
          <w:position w:val="-6"/>
        </w:rPr>
        <w:object>
          <v:shape id="_x0000_i1033" o:spt="75" type="#_x0000_t75" style="height:13.2pt;width:9.6pt;" o:ole="t" filled="f" o:preferrelative="t" stroked="f" coordsize="21600,21600">
            <v:path/>
            <v:fill on="f" focussize="0,0"/>
            <v:stroke on="f" joinstyle="miter"/>
            <v:imagedata r:id="rId49" o:title=""/>
            <o:lock v:ext="edit" aspectratio="t"/>
            <w10:wrap type="none"/>
            <w10:anchorlock/>
          </v:shape>
          <o:OLEObject Type="Embed" ProgID="Equation.DSMT4" ShapeID="_x0000_i1033" DrawAspect="Content" ObjectID="_1468075733" r:id="rId48">
            <o:LockedField>false</o:LockedField>
          </o:OLEObject>
        </w:object>
      </w:r>
      <w:r>
        <w:rPr>
          <w:rFonts w:hint="eastAsia"/>
        </w:rPr>
        <w:t>的特征信息，需要观察该节点的邻居节点集合</w:t>
      </w:r>
      <w:r>
        <w:rPr>
          <w:position w:val="-10"/>
        </w:rPr>
        <w:object>
          <v:shape id="_x0000_i1034" o:spt="75" type="#_x0000_t75" style="height:15.6pt;width:31.2pt;" o:ole="t" filled="f" o:preferrelative="t" stroked="f" coordsize="21600,21600">
            <v:path/>
            <v:fill on="f" focussize="0,0"/>
            <v:stroke on="f" joinstyle="miter"/>
            <v:imagedata r:id="rId51" o:title=""/>
            <o:lock v:ext="edit" aspectratio="t"/>
            <w10:wrap type="none"/>
            <w10:anchorlock/>
          </v:shape>
          <o:OLEObject Type="Embed" ProgID="Equation.DSMT4" ShapeID="_x0000_i1034" DrawAspect="Content" ObjectID="_1468075734" r:id="rId50">
            <o:LockedField>false</o:LockedField>
          </o:OLEObject>
        </w:object>
      </w:r>
      <w:r>
        <w:rPr>
          <w:rFonts w:hint="eastAsia"/>
        </w:rPr>
        <w:t>中的每一个节点，并且结合它们之间的边特征</w:t>
      </w:r>
      <w:r>
        <w:rPr>
          <w:position w:val="-12"/>
        </w:rPr>
        <w:object>
          <v:shape id="_x0000_i1035" o:spt="75" type="#_x0000_t75" style="height:18pt;width:15.6pt;" o:ole="t" filled="f" o:preferrelative="t" stroked="f" coordsize="21600,21600">
            <v:path/>
            <v:fill on="f" focussize="0,0"/>
            <v:stroke on="f" joinstyle="miter"/>
            <v:imagedata r:id="rId53" o:title=""/>
            <o:lock v:ext="edit" aspectratio="t"/>
            <w10:wrap type="none"/>
            <w10:anchorlock/>
          </v:shape>
          <o:OLEObject Type="Embed" ProgID="Equation.DSMT4" ShapeID="_x0000_i1035" DrawAspect="Content" ObjectID="_1468075735" r:id="rId52">
            <o:LockedField>false</o:LockedField>
          </o:OLEObject>
        </w:object>
      </w:r>
      <w:r>
        <w:rPr>
          <w:rFonts w:hint="eastAsia"/>
        </w:rPr>
        <w:t>，为每条邻居关系构造一条专属信息：</w:t>
      </w:r>
    </w:p>
    <w:p>
      <w:pPr>
        <w:pStyle w:val="44"/>
        <w:spacing w:before="326" w:after="326"/>
      </w:pPr>
      <w:r>
        <w:tab/>
      </w:r>
      <w:r>
        <w:rPr>
          <w:position w:val="-12"/>
        </w:rPr>
        <w:object>
          <v:shape id="_x0000_i1036" o:spt="75" type="#_x0000_t75" style="height:18pt;width:124.2pt;" o:ole="t" filled="f" o:preferrelative="t" stroked="f" coordsize="21600,21600">
            <v:path/>
            <v:fill on="f" focussize="0,0"/>
            <v:stroke on="f" joinstyle="miter"/>
            <v:imagedata r:id="rId55" o:title=""/>
            <o:lock v:ext="edit" aspectratio="t"/>
            <w10:wrap type="none"/>
            <w10:anchorlock/>
          </v:shape>
          <o:OLEObject Type="Embed" ProgID="Equation.DSMT4" ShapeID="_x0000_i1036" DrawAspect="Content" ObjectID="_1468075736" r:id="rId5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8" w:name="ZEqnNum971418"/>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bookmarkEnd w:id="28"/>
      <w:r>
        <w:fldChar w:fldCharType="end"/>
      </w:r>
    </w:p>
    <w:p>
      <w:r>
        <w:rPr>
          <w:rFonts w:hint="eastAsia"/>
        </w:rPr>
        <w:t>第二步：消息聚合。节点</w:t>
      </w:r>
      <w:r>
        <w:rPr>
          <w:position w:val="-6"/>
        </w:rPr>
        <w:object>
          <v:shape id="_x0000_i1037" o:spt="75" type="#_x0000_t75" style="height:13.2pt;width:9.6pt;" o:ole="t" filled="f" o:preferrelative="t" stroked="f" coordsize="21600,21600">
            <v:path/>
            <v:fill on="f" focussize="0,0"/>
            <v:stroke on="f" joinstyle="miter"/>
            <v:imagedata r:id="rId57" o:title=""/>
            <o:lock v:ext="edit" aspectratio="t"/>
            <w10:wrap type="none"/>
            <w10:anchorlock/>
          </v:shape>
          <o:OLEObject Type="Embed" ProgID="Equation.DSMT4" ShapeID="_x0000_i1037" DrawAspect="Content" ObjectID="_1468075737" r:id="rId56">
            <o:LockedField>false</o:LockedField>
          </o:OLEObject>
        </w:object>
      </w:r>
      <w:r>
        <w:rPr>
          <w:rFonts w:hint="eastAsia"/>
        </w:rPr>
        <w:t>将所有来自邻居节点的信息通过一个置换不变性的函数进行聚合，最终得到一个聚合表示：</w:t>
      </w:r>
    </w:p>
    <w:p>
      <w:pPr>
        <w:pStyle w:val="44"/>
        <w:spacing w:before="326" w:after="326"/>
      </w:pPr>
      <w:r>
        <w:tab/>
      </w:r>
      <w:r>
        <w:rPr>
          <w:position w:val="-12"/>
        </w:rPr>
        <w:object>
          <v:shape id="_x0000_i1038" o:spt="75" type="#_x0000_t75" style="height:18pt;width:168pt;" o:ole="t" filled="f" o:preferrelative="t" stroked="f" coordsize="21600,21600">
            <v:path/>
            <v:fill on="f" focussize="0,0"/>
            <v:stroke on="f" joinstyle="miter"/>
            <v:imagedata r:id="rId59" o:title=""/>
            <o:lock v:ext="edit" aspectratio="t"/>
            <w10:wrap type="none"/>
            <w10:anchorlock/>
          </v:shape>
          <o:OLEObject Type="Embed" ProgID="Equation.DSMT4" ShapeID="_x0000_i1038" DrawAspect="Content" ObjectID="_1468075738" r:id="rId5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r>
        <w:rPr>
          <w:rFonts w:hint="eastAsia"/>
        </w:rPr>
        <w:t>第三步：状态更新。节点</w:t>
      </w:r>
      <w:r>
        <w:rPr>
          <w:position w:val="-6"/>
        </w:rPr>
        <w:object>
          <v:shape id="_x0000_i1039" o:spt="75" type="#_x0000_t75" style="height:13.2pt;width:9.6pt;" o:ole="t" filled="f" o:preferrelative="t" stroked="f" coordsize="21600,21600">
            <v:path/>
            <v:fill on="f" focussize="0,0"/>
            <v:stroke on="f" joinstyle="miter"/>
            <v:imagedata r:id="rId61" o:title=""/>
            <o:lock v:ext="edit" aspectratio="t"/>
            <w10:wrap type="none"/>
            <w10:anchorlock/>
          </v:shape>
          <o:OLEObject Type="Embed" ProgID="Equation.DSMT4" ShapeID="_x0000_i1039" DrawAspect="Content" ObjectID="_1468075739" r:id="rId60">
            <o:LockedField>false</o:LockedField>
          </o:OLEObject>
        </w:object>
      </w:r>
      <w:r>
        <w:rPr>
          <w:rFonts w:hint="eastAsia"/>
        </w:rPr>
        <w:t>根据自己当前的隐藏状态</w:t>
      </w:r>
      <w:r>
        <w:rPr>
          <w:position w:val="-12"/>
        </w:rPr>
        <w:object>
          <v:shape id="_x0000_i1040" o:spt="75" type="#_x0000_t75" style="height:18pt;width:13.2pt;" o:ole="t" filled="f" o:preferrelative="t" stroked="f" coordsize="21600,21600">
            <v:path/>
            <v:fill on="f" focussize="0,0"/>
            <v:stroke on="f" joinstyle="miter"/>
            <v:imagedata r:id="rId63" o:title=""/>
            <o:lock v:ext="edit" aspectratio="t"/>
            <w10:wrap type="none"/>
            <w10:anchorlock/>
          </v:shape>
          <o:OLEObject Type="Embed" ProgID="Equation.DSMT4" ShapeID="_x0000_i1040" DrawAspect="Content" ObjectID="_1468075740" r:id="rId62">
            <o:LockedField>false</o:LockedField>
          </o:OLEObject>
        </w:object>
      </w:r>
      <w:r>
        <w:rPr>
          <w:rFonts w:hint="eastAsia"/>
        </w:rPr>
        <w:t>和汇聚到的邻居信息</w:t>
      </w:r>
      <w:r>
        <w:rPr>
          <w:position w:val="-12"/>
        </w:rPr>
        <w:object>
          <v:shape id="_x0000_i1041" o:spt="75" type="#_x0000_t75" style="height:18pt;width:15.6pt;" o:ole="t" filled="f" o:preferrelative="t" stroked="f" coordsize="21600,21600">
            <v:path/>
            <v:fill on="f" focussize="0,0"/>
            <v:stroke on="f" joinstyle="miter"/>
            <v:imagedata r:id="rId65" o:title=""/>
            <o:lock v:ext="edit" aspectratio="t"/>
            <w10:wrap type="none"/>
            <w10:anchorlock/>
          </v:shape>
          <o:OLEObject Type="Embed" ProgID="Equation.DSMT4" ShapeID="_x0000_i1041" DrawAspect="Content" ObjectID="_1468075741" r:id="rId64">
            <o:LockedField>false</o:LockedField>
          </o:OLEObject>
        </w:object>
      </w:r>
      <w:r>
        <w:t>为输入，经过一个</w:t>
      </w:r>
      <w:r>
        <w:rPr>
          <w:rFonts w:hint="eastAsia"/>
        </w:rPr>
        <w:t>可学习的神经网络来更新自身的状态，进而得到新的状态</w:t>
      </w:r>
      <w:r>
        <w:rPr>
          <w:position w:val="-12"/>
        </w:rPr>
        <w:object>
          <v:shape id="_x0000_i1042" o:spt="75" type="#_x0000_t75" style="height:18pt;width:21.6pt;" o:ole="t" filled="f" o:preferrelative="t" stroked="f" coordsize="21600,21600">
            <v:path/>
            <v:fill on="f" focussize="0,0"/>
            <v:stroke on="f" joinstyle="miter"/>
            <v:imagedata r:id="rId67" o:title=""/>
            <o:lock v:ext="edit" aspectratio="t"/>
            <w10:wrap type="none"/>
            <w10:anchorlock/>
          </v:shape>
          <o:OLEObject Type="Embed" ProgID="Equation.DSMT4" ShapeID="_x0000_i1042" DrawAspect="Content" ObjectID="_1468075742" r:id="rId66">
            <o:LockedField>false</o:LockedField>
          </o:OLEObject>
        </w:object>
      </w:r>
      <w:r>
        <w:t>：</w:t>
      </w:r>
    </w:p>
    <w:p>
      <w:pPr>
        <w:pStyle w:val="44"/>
        <w:spacing w:before="326" w:after="326"/>
      </w:pPr>
      <w:r>
        <w:tab/>
      </w:r>
      <w:r>
        <w:rPr>
          <w:position w:val="-12"/>
        </w:rPr>
        <w:object>
          <v:shape id="_x0000_i1043" o:spt="75" type="#_x0000_t75" style="height:18pt;width:104.4pt;" o:ole="t" filled="f" o:preferrelative="t" stroked="f" coordsize="21600,21600">
            <v:path/>
            <v:fill on="f" focussize="0,0"/>
            <v:stroke on="f" joinstyle="miter"/>
            <v:imagedata r:id="rId69" o:title=""/>
            <o:lock v:ext="edit" aspectratio="t"/>
            <w10:wrap type="none"/>
            <w10:anchorlock/>
          </v:shape>
          <o:OLEObject Type="Embed" ProgID="Equation.DSMT4" ShapeID="_x0000_i1043" DrawAspect="Content" ObjectID="_1468075743" r:id="rId6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r>
        <w:rPr>
          <w:rFonts w:hint="eastAsia"/>
        </w:rPr>
        <w:t>在每一轮的消息传递的过程中，图中所有的节点都同步执行以上三个步骤，在经过</w:t>
      </w:r>
      <w:r>
        <w:rPr>
          <w:position w:val="-4"/>
        </w:rPr>
        <w:object>
          <v:shape id="_x0000_i1044" o:spt="75" type="#_x0000_t75" style="height:13.2pt;width:13.2pt;" o:ole="t" filled="f" o:preferrelative="t" stroked="f" coordsize="21600,21600">
            <v:path/>
            <v:fill on="f" focussize="0,0"/>
            <v:stroke on="f" joinstyle="miter"/>
            <v:imagedata r:id="rId71" o:title=""/>
            <o:lock v:ext="edit" aspectratio="t"/>
            <w10:wrap type="none"/>
            <w10:anchorlock/>
          </v:shape>
          <o:OLEObject Type="Embed" ProgID="Equation.DSMT4" ShapeID="_x0000_i1044" DrawAspect="Content" ObjectID="_1468075744" r:id="rId70">
            <o:LockedField>false</o:LockedField>
          </o:OLEObject>
        </w:object>
      </w:r>
      <w:r>
        <w:t>层迭代之后，每一个节点的表示都将融合其</w:t>
      </w:r>
      <w:r>
        <w:rPr>
          <w:position w:val="-4"/>
        </w:rPr>
        <w:object>
          <v:shape id="_x0000_i1045" o:spt="75" type="#_x0000_t75" style="height:13.2pt;width:13.2pt;" o:ole="t" filled="f" o:preferrelative="t" stroked="f" coordsize="21600,21600">
            <v:path/>
            <v:fill on="f" focussize="0,0"/>
            <v:stroke on="f" joinstyle="miter"/>
            <v:imagedata r:id="rId73" o:title=""/>
            <o:lock v:ext="edit" aspectratio="t"/>
            <w10:wrap type="none"/>
            <w10:anchorlock/>
          </v:shape>
          <o:OLEObject Type="Embed" ProgID="Equation.DSMT4" ShapeID="_x0000_i1045" DrawAspect="Content" ObjectID="_1468075745" r:id="rId72">
            <o:LockedField>false</o:LockedField>
          </o:OLEObject>
        </w:object>
      </w:r>
      <w:r>
        <w:t>阶</w:t>
      </w:r>
      <w:r>
        <w:rPr>
          <w:rFonts w:hint="eastAsia"/>
        </w:rPr>
        <w:t>邻</w:t>
      </w:r>
      <w:r>
        <w:t>域之内的所有的节点特征与结构信息，从而实现对图结构的</w:t>
      </w:r>
      <w:r>
        <w:rPr>
          <w:rFonts w:hint="eastAsia"/>
        </w:rPr>
        <w:t>多</w:t>
      </w:r>
      <w:r>
        <w:t>层次感知。</w:t>
      </w:r>
    </w:p>
    <w:p/>
    <w:p>
      <w:pPr>
        <w:keepNext/>
        <w:ind w:firstLine="0" w:firstLineChars="0"/>
        <w:jc w:val="center"/>
      </w:pPr>
      <w:r>
        <w:drawing>
          <wp:inline distT="0" distB="0" distL="0" distR="0">
            <wp:extent cx="5494655" cy="1638935"/>
            <wp:effectExtent l="0" t="0" r="0" b="0"/>
            <wp:docPr id="145538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6060" name="图片 1"/>
                    <pic:cNvPicPr>
                      <a:picLocks noChangeAspect="1"/>
                    </pic:cNvPicPr>
                  </pic:nvPicPr>
                  <pic:blipFill>
                    <a:blip r:embed="rId74"/>
                    <a:stretch>
                      <a:fillRect/>
                    </a:stretch>
                  </pic:blipFill>
                  <pic:spPr>
                    <a:xfrm>
                      <a:off x="0" y="0"/>
                      <a:ext cx="5561979" cy="1659030"/>
                    </a:xfrm>
                    <a:prstGeom prst="rect">
                      <a:avLst/>
                    </a:prstGeom>
                  </pic:spPr>
                </pic:pic>
              </a:graphicData>
            </a:graphic>
          </wp:inline>
        </w:drawing>
      </w:r>
    </w:p>
    <w:p>
      <w:pPr>
        <w:pStyle w:val="11"/>
      </w:pPr>
      <w:bookmarkStart w:id="29" w:name="_Ref224304453"/>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2</w:t>
      </w:r>
      <w:r>
        <w:fldChar w:fldCharType="end"/>
      </w:r>
      <w:bookmarkEnd w:id="29"/>
      <w:r>
        <w:rPr>
          <w:rFonts w:hint="eastAsia"/>
        </w:rPr>
        <w:t xml:space="preserve"> 消息传递机制示意图</w:t>
      </w:r>
    </w:p>
    <w:p/>
    <w:p>
      <w:pPr>
        <w:pStyle w:val="4"/>
        <w:rPr>
          <w:rFonts w:hint="default"/>
        </w:rPr>
      </w:pPr>
      <w:bookmarkStart w:id="30" w:name="_Toc229423329"/>
      <w:commentRangeStart w:id="3"/>
      <w:r>
        <w:t>图卷积网络</w:t>
      </w:r>
      <w:commentRangeEnd w:id="3"/>
      <w:bookmarkEnd w:id="30"/>
      <w:r>
        <w:commentReference w:id="3"/>
      </w:r>
    </w:p>
    <w:p>
      <w:r>
        <w:rPr>
          <w:rFonts w:hint="eastAsia"/>
        </w:rPr>
        <w:t>图卷积网络</w:t>
      </w:r>
      <w:r>
        <w:rPr>
          <w:vertAlign w:val="superscript"/>
        </w:rPr>
        <w:fldChar w:fldCharType="begin"/>
      </w:r>
      <w:r>
        <w:rPr>
          <w:vertAlign w:val="superscript"/>
        </w:rPr>
        <w:instrText xml:space="preserve"> </w:instrText>
      </w:r>
      <w:r>
        <w:rPr>
          <w:rFonts w:hint="eastAsia"/>
          <w:vertAlign w:val="superscript"/>
        </w:rPr>
        <w:instrText xml:space="preserve">REF _Ref225763480 \r \h</w:instrText>
      </w:r>
      <w:r>
        <w:rPr>
          <w:vertAlign w:val="superscript"/>
        </w:rPr>
        <w:instrText xml:space="preserve">  \* MERGEFORMAT </w:instrText>
      </w:r>
      <w:r>
        <w:rPr>
          <w:vertAlign w:val="superscript"/>
        </w:rPr>
        <w:fldChar w:fldCharType="separate"/>
      </w:r>
      <w:r>
        <w:rPr>
          <w:vertAlign w:val="superscript"/>
        </w:rPr>
        <w:t>[46]</w:t>
      </w:r>
      <w:r>
        <w:rPr>
          <w:vertAlign w:val="superscript"/>
        </w:rPr>
        <w:fldChar w:fldCharType="end"/>
      </w:r>
      <w:r>
        <w:rPr>
          <w:rFonts w:hint="eastAsia"/>
        </w:rPr>
        <w:t>是由Thomas等人在2017年的论文《</w:t>
      </w:r>
      <w:r>
        <w:t>Semi-Supervised Classification with Graph Convolutional Networks</w:t>
      </w:r>
      <w:r>
        <w:rPr>
          <w:rFonts w:hint="eastAsia"/>
        </w:rPr>
        <w:t>》中首次提出，图卷积网络的核心在于一个节点的特征，是由它自身和其邻居共同决定的。通过层层传递，结构相似、连通紧密的节点，它们的特征就会越来越相似。设</w:t>
      </w:r>
      <w:r>
        <w:rPr>
          <w:position w:val="-4"/>
        </w:rPr>
        <w:object>
          <v:shape id="_x0000_i1046" o:spt="75" type="#_x0000_t75" style="height:17.4pt;width:60pt;" o:ole="t" filled="f" o:preferrelative="t" stroked="f" coordsize="21600,21600">
            <v:path/>
            <v:fill on="f" focussize="0,0"/>
            <v:stroke on="f" joinstyle="miter"/>
            <v:imagedata r:id="rId76" o:title=""/>
            <o:lock v:ext="edit" aspectratio="t"/>
            <w10:wrap type="none"/>
            <w10:anchorlock/>
          </v:shape>
          <o:OLEObject Type="Embed" ProgID="Equation.DSMT4" ShapeID="_x0000_i1046" DrawAspect="Content" ObjectID="_1468075746" r:id="rId75">
            <o:LockedField>false</o:LockedField>
          </o:OLEObject>
        </w:object>
      </w:r>
      <w:r>
        <w:rPr>
          <w:rFonts w:hint="eastAsia"/>
        </w:rPr>
        <w:t>为第</w:t>
      </w:r>
      <w:r>
        <w:rPr>
          <w:position w:val="-6"/>
        </w:rPr>
        <w:object>
          <v:shape id="_x0000_i1047" o:spt="75" type="#_x0000_t75" style="height:13.2pt;width:5.4pt;" o:ole="t" filled="f" o:preferrelative="t" stroked="f" coordsize="21600,21600">
            <v:path/>
            <v:fill on="f" focussize="0,0"/>
            <v:stroke on="f" joinstyle="miter"/>
            <v:imagedata r:id="rId78" o:title=""/>
            <o:lock v:ext="edit" aspectratio="t"/>
            <w10:wrap type="none"/>
            <w10:anchorlock/>
          </v:shape>
          <o:OLEObject Type="Embed" ProgID="Equation.DSMT4" ShapeID="_x0000_i1047" DrawAspect="Content" ObjectID="_1468075747" r:id="rId77">
            <o:LockedField>false</o:LockedField>
          </o:OLEObject>
        </w:object>
      </w:r>
      <w:r>
        <w:rPr>
          <w:rFonts w:hint="eastAsia"/>
        </w:rPr>
        <w:t>层的节点特征矩阵，</w:t>
      </w:r>
      <w:r>
        <w:rPr>
          <w:position w:val="-4"/>
        </w:rPr>
        <w:object>
          <v:shape id="_x0000_i1048" o:spt="75" type="#_x0000_t75" style="height:13.2pt;width:13.2pt;" o:ole="t" filled="f" o:preferrelative="t" stroked="f" coordsize="21600,21600">
            <v:path/>
            <v:fill on="f" focussize="0,0"/>
            <v:stroke on="f" joinstyle="miter"/>
            <v:imagedata r:id="rId80" o:title=""/>
            <o:lock v:ext="edit" aspectratio="t"/>
            <w10:wrap type="none"/>
            <w10:anchorlock/>
          </v:shape>
          <o:OLEObject Type="Embed" ProgID="Equation.DSMT4" ShapeID="_x0000_i1048" DrawAspect="Content" ObjectID="_1468075748" r:id="rId79">
            <o:LockedField>false</o:LockedField>
          </o:OLEObject>
        </w:object>
      </w:r>
      <w:r>
        <w:rPr>
          <w:rFonts w:hint="eastAsia"/>
        </w:rPr>
        <w:t>为图的邻接矩阵，GCN每层的特征更新过程如公式</w:t>
      </w:r>
      <w:r>
        <w:rPr>
          <w:iCs/>
        </w:rPr>
        <w:fldChar w:fldCharType="begin"/>
      </w:r>
      <w:r>
        <w:rPr>
          <w:iCs/>
        </w:rPr>
        <w:instrText xml:space="preserve"> </w:instrText>
      </w:r>
      <w:r>
        <w:rPr>
          <w:rFonts w:hint="eastAsia"/>
          <w:iCs/>
        </w:rPr>
        <w:instrText xml:space="preserve">GOTOBUTTON ZEqnNum316825  \* MERGEFORMAT</w:instrText>
      </w:r>
      <w:r>
        <w:rPr>
          <w:iCs/>
        </w:rPr>
        <w:instrText xml:space="preserve"> </w:instrText>
      </w:r>
      <w:r>
        <w:rPr>
          <w:iCs/>
        </w:rPr>
        <w:fldChar w:fldCharType="begin"/>
      </w:r>
      <w:r>
        <w:rPr>
          <w:iCs/>
        </w:rPr>
        <w:instrText xml:space="preserve"> REF ZEqnNum316825 \* Charformat \! \* MERGEFORMAT </w:instrText>
      </w:r>
      <w:r>
        <w:rPr>
          <w:iCs/>
        </w:rPr>
        <w:fldChar w:fldCharType="separate"/>
      </w:r>
      <w:r>
        <w:rPr>
          <w:iCs/>
        </w:rPr>
        <w:instrText xml:space="preserve">(2-6)</w:instrText>
      </w:r>
      <w:r>
        <w:rPr>
          <w:iCs/>
        </w:rPr>
        <w:fldChar w:fldCharType="end"/>
      </w:r>
      <w:r>
        <w:rPr>
          <w:iCs/>
        </w:rPr>
        <w:fldChar w:fldCharType="end"/>
      </w:r>
      <w:r>
        <w:rPr>
          <w:rFonts w:hint="eastAsia"/>
          <w:iCs/>
        </w:rPr>
        <w:t>所示</w:t>
      </w:r>
      <w:r>
        <w:rPr>
          <w:rFonts w:hint="eastAsia"/>
        </w:rPr>
        <w:t>：</w:t>
      </w:r>
    </w:p>
    <w:p>
      <w:pPr>
        <w:pStyle w:val="44"/>
        <w:spacing w:before="326" w:after="326"/>
      </w:pPr>
      <w:r>
        <w:tab/>
      </w:r>
      <w:r>
        <w:rPr>
          <w:position w:val="-32"/>
        </w:rPr>
        <w:object>
          <v:shape id="_x0000_i1049" o:spt="75" type="#_x0000_t75" style="height:39.6pt;width:149.4pt;" o:ole="t" filled="f" o:preferrelative="t" stroked="f" coordsize="21600,21600">
            <v:path/>
            <v:fill on="f" focussize="0,0"/>
            <v:stroke on="f" joinstyle="miter"/>
            <v:imagedata r:id="rId82" o:title=""/>
            <o:lock v:ext="edit" aspectratio="t"/>
            <w10:wrap type="none"/>
            <w10:anchorlock/>
          </v:shape>
          <o:OLEObject Type="Embed" ProgID="Equation.DSMT4" ShapeID="_x0000_i1049" DrawAspect="Content" ObjectID="_1468075749" r:id="rId8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316825"/>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bookmarkEnd w:id="31"/>
      <w:r>
        <w:fldChar w:fldCharType="end"/>
      </w:r>
    </w:p>
    <w:p>
      <w:r>
        <w:rPr>
          <w:rFonts w:hint="eastAsia"/>
        </w:rPr>
        <w:t>其中，</w:t>
      </w:r>
      <w:r>
        <w:rPr>
          <w:position w:val="-4"/>
        </w:rPr>
        <w:object>
          <v:shape id="_x0000_i1050" o:spt="75" type="#_x0000_t75" style="height:15.6pt;width:47.4pt;" o:ole="t" filled="f" o:preferrelative="t" stroked="f" coordsize="21600,21600">
            <v:path/>
            <v:fill on="f" focussize="0,0"/>
            <v:stroke on="f" joinstyle="miter"/>
            <v:imagedata r:id="rId84" o:title=""/>
            <o:lock v:ext="edit" aspectratio="t"/>
            <w10:wrap type="none"/>
            <w10:anchorlock/>
          </v:shape>
          <o:OLEObject Type="Embed" ProgID="Equation.DSMT4" ShapeID="_x0000_i1050" DrawAspect="Content" ObjectID="_1468075750" r:id="rId83">
            <o:LockedField>false</o:LockedField>
          </o:OLEObject>
        </w:object>
      </w:r>
      <w:r>
        <w:t>表示在原始连接关系基础上进一步补充自连接后的结构矩阵，用于在信息聚合时同时</w:t>
      </w:r>
      <w:r>
        <w:rPr>
          <w:rFonts w:hint="eastAsia"/>
        </w:rPr>
        <w:t>加</w:t>
      </w:r>
      <w:r>
        <w:t>入节点本身的表示</w:t>
      </w:r>
      <w:r>
        <w:rPr>
          <w:rFonts w:hint="eastAsia"/>
        </w:rPr>
        <w:t>；</w:t>
      </w:r>
      <w:r>
        <w:rPr>
          <w:position w:val="-4"/>
        </w:rPr>
        <w:object>
          <v:shape id="_x0000_i1051" o:spt="75" type="#_x0000_t75" style="height:17.4pt;width:13.2pt;" o:ole="t" filled="f" o:preferrelative="t" stroked="f" coordsize="21600,21600">
            <v:path/>
            <v:fill on="f" focussize="0,0"/>
            <v:stroke on="f" joinstyle="miter"/>
            <v:imagedata r:id="rId86" o:title=""/>
            <o:lock v:ext="edit" aspectratio="t"/>
            <w10:wrap type="none"/>
            <w10:anchorlock/>
          </v:shape>
          <o:OLEObject Type="Embed" ProgID="Equation.DSMT4" ShapeID="_x0000_i1051" DrawAspect="Content" ObjectID="_1468075751" r:id="rId85">
            <o:LockedField>false</o:LockedField>
          </o:OLEObject>
        </w:object>
      </w:r>
      <w:r>
        <w:rPr>
          <w:rFonts w:hint="eastAsia"/>
        </w:rPr>
        <w:t>为</w:t>
      </w:r>
      <w:r>
        <w:rPr>
          <w:position w:val="-4"/>
        </w:rPr>
        <w:object>
          <v:shape id="_x0000_i1052" o:spt="75" type="#_x0000_t75" style="height:15.6pt;width:13.2pt;" o:ole="t" filled="f" o:preferrelative="t" stroked="f" coordsize="21600,21600">
            <v:path/>
            <v:fill on="f" focussize="0,0"/>
            <v:stroke on="f" joinstyle="miter"/>
            <v:imagedata r:id="rId88" o:title=""/>
            <o:lock v:ext="edit" aspectratio="t"/>
            <w10:wrap type="none"/>
            <w10:anchorlock/>
          </v:shape>
          <o:OLEObject Type="Embed" ProgID="Equation.DSMT4" ShapeID="_x0000_i1052" DrawAspect="Content" ObjectID="_1468075752" r:id="rId87">
            <o:LockedField>false</o:LockedField>
          </o:OLEObject>
        </w:object>
      </w:r>
      <w:r>
        <w:rPr>
          <w:rFonts w:hint="eastAsia"/>
        </w:rPr>
        <w:t>的度矩阵，其对角线元素即为</w:t>
      </w:r>
      <w:r>
        <w:rPr>
          <w:position w:val="-30"/>
        </w:rPr>
        <w:object>
          <v:shape id="_x0000_i1053" o:spt="75" type="#_x0000_t75" style="height:30pt;width:60pt;" o:ole="t" filled="f" o:preferrelative="t" stroked="f" coordsize="21600,21600">
            <v:path/>
            <v:fill on="f" focussize="0,0"/>
            <v:stroke on="f" joinstyle="miter"/>
            <v:imagedata r:id="rId90" o:title=""/>
            <o:lock v:ext="edit" aspectratio="t"/>
            <w10:wrap type="none"/>
            <w10:anchorlock/>
          </v:shape>
          <o:OLEObject Type="Embed" ProgID="Equation.DSMT4" ShapeID="_x0000_i1053" DrawAspect="Content" ObjectID="_1468075753" r:id="rId89">
            <o:LockedField>false</o:LockedField>
          </o:OLEObject>
        </w:object>
      </w:r>
      <w:r>
        <w:rPr>
          <w:rFonts w:hint="eastAsia"/>
        </w:rPr>
        <w:t>；</w:t>
      </w:r>
      <w:r>
        <w:rPr>
          <w:position w:val="-6"/>
        </w:rPr>
        <w:object>
          <v:shape id="_x0000_i1054" o:spt="75" type="#_x0000_t75" style="height:15.6pt;width:24.6pt;" o:ole="t" filled="f" o:preferrelative="t" stroked="f" coordsize="21600,21600">
            <v:path/>
            <v:fill on="f" focussize="0,0"/>
            <v:stroke on="f" joinstyle="miter"/>
            <v:imagedata r:id="rId92" o:title=""/>
            <o:lock v:ext="edit" aspectratio="t"/>
            <w10:wrap type="none"/>
            <w10:anchorlock/>
          </v:shape>
          <o:OLEObject Type="Embed" ProgID="Equation.DSMT4" ShapeID="_x0000_i1054" DrawAspect="Content" ObjectID="_1468075754" r:id="rId91">
            <o:LockedField>false</o:LockedField>
          </o:OLEObject>
        </w:object>
      </w:r>
      <w:r>
        <w:rPr>
          <w:rFonts w:hint="eastAsia"/>
        </w:rPr>
        <w:t>为第</w:t>
      </w:r>
      <w:r>
        <w:rPr>
          <w:position w:val="-6"/>
        </w:rPr>
        <w:object>
          <v:shape id="_x0000_i1055" o:spt="75" type="#_x0000_t75" style="height:13.2pt;width:5.4pt;" o:ole="t" filled="f" o:preferrelative="t" stroked="f" coordsize="21600,21600">
            <v:path/>
            <v:fill on="f" focussize="0,0"/>
            <v:stroke on="f" joinstyle="miter"/>
            <v:imagedata r:id="rId94" o:title=""/>
            <o:lock v:ext="edit" aspectratio="t"/>
            <w10:wrap type="none"/>
            <w10:anchorlock/>
          </v:shape>
          <o:OLEObject Type="Embed" ProgID="Equation.DSMT4" ShapeID="_x0000_i1055" DrawAspect="Content" ObjectID="_1468075755" r:id="rId93">
            <o:LockedField>false</o:LockedField>
          </o:OLEObject>
        </w:object>
      </w:r>
      <w:r>
        <w:rPr>
          <w:rFonts w:hint="eastAsia"/>
        </w:rPr>
        <w:t>层的可学习的权重矩阵；</w:t>
      </w:r>
      <w:r>
        <w:rPr>
          <w:position w:val="-10"/>
        </w:rPr>
        <w:object>
          <v:shape id="_x0000_i1056" o:spt="75" type="#_x0000_t75" style="height:15.6pt;width:21.6pt;" o:ole="t" filled="f" o:preferrelative="t" stroked="f" coordsize="21600,21600">
            <v:path/>
            <v:fill on="f" focussize="0,0"/>
            <v:stroke on="f" joinstyle="miter"/>
            <v:imagedata r:id="rId96" o:title=""/>
            <o:lock v:ext="edit" aspectratio="t"/>
            <w10:wrap type="none"/>
            <w10:anchorlock/>
          </v:shape>
          <o:OLEObject Type="Embed" ProgID="Equation.DSMT4" ShapeID="_x0000_i1056" DrawAspect="Content" ObjectID="_1468075756" r:id="rId95">
            <o:LockedField>false</o:LockedField>
          </o:OLEObject>
        </w:object>
      </w:r>
      <w:r>
        <w:rPr>
          <w:rFonts w:hint="eastAsia"/>
        </w:rPr>
        <w:t>为非线性激活函数，如ReLU；对称归一化项</w:t>
      </w:r>
      <w:r>
        <w:rPr>
          <w:position w:val="-4"/>
        </w:rPr>
        <w:object>
          <v:shape id="_x0000_i1057" o:spt="75" type="#_x0000_t75" style="height:24.6pt;width:47.4pt;" o:ole="t" filled="f" o:preferrelative="t" stroked="f" coordsize="21600,21600">
            <v:path/>
            <v:fill on="f" focussize="0,0"/>
            <v:stroke on="f" joinstyle="miter"/>
            <v:imagedata r:id="rId98" o:title=""/>
            <o:lock v:ext="edit" aspectratio="t"/>
            <w10:wrap type="none"/>
            <w10:anchorlock/>
          </v:shape>
          <o:OLEObject Type="Embed" ProgID="Equation.DSMT4" ShapeID="_x0000_i1057" DrawAspect="Content" ObjectID="_1468075757" r:id="rId97">
            <o:LockedField>false</o:LockedField>
          </o:OLEObject>
        </w:object>
      </w:r>
      <w:r>
        <w:rPr>
          <w:rFonts w:hint="eastAsia"/>
        </w:rPr>
        <w:t>对邻接矩阵做归一化处理，缓解高度节点在聚合的过程中对特征值的影响</w:t>
      </w:r>
      <w:r>
        <w:rPr>
          <w:vertAlign w:val="superscript"/>
        </w:rPr>
        <w:fldChar w:fldCharType="begin"/>
      </w:r>
      <w:r>
        <w:rPr>
          <w:vertAlign w:val="superscript"/>
        </w:rPr>
        <w:instrText xml:space="preserve"> </w:instrText>
      </w:r>
      <w:r>
        <w:rPr>
          <w:rFonts w:hint="eastAsia"/>
          <w:vertAlign w:val="superscript"/>
        </w:rPr>
        <w:instrText xml:space="preserve">REF _Ref225763541 \r \h</w:instrText>
      </w:r>
      <w:r>
        <w:rPr>
          <w:vertAlign w:val="superscript"/>
        </w:rPr>
        <w:instrText xml:space="preserve">  \* MERGEFORMAT </w:instrText>
      </w:r>
      <w:r>
        <w:rPr>
          <w:vertAlign w:val="superscript"/>
        </w:rPr>
        <w:fldChar w:fldCharType="separate"/>
      </w:r>
      <w:r>
        <w:rPr>
          <w:vertAlign w:val="superscript"/>
        </w:rPr>
        <w:t>[47]</w:t>
      </w:r>
      <w:r>
        <w:rPr>
          <w:vertAlign w:val="superscript"/>
        </w:rPr>
        <w:fldChar w:fldCharType="end"/>
      </w:r>
      <w:r>
        <w:rPr>
          <w:rFonts w:hint="eastAsia"/>
        </w:rPr>
        <w:t>。</w:t>
      </w:r>
    </w:p>
    <w:p/>
    <w:p>
      <w:pPr>
        <w:keepNext/>
        <w:ind w:firstLine="0" w:firstLineChars="0"/>
        <w:jc w:val="center"/>
      </w:pPr>
      <w:r>
        <w:rPr>
          <w:rFonts w:hint="eastAsia"/>
        </w:rPr>
        <w:drawing>
          <wp:inline distT="0" distB="0" distL="0" distR="0">
            <wp:extent cx="4476750" cy="3087370"/>
            <wp:effectExtent l="0" t="0" r="0" b="0"/>
            <wp:docPr id="196473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3902" name="图片 1"/>
                    <pic:cNvPicPr>
                      <a:picLocks noChangeAspect="1"/>
                    </pic:cNvPicPr>
                  </pic:nvPicPr>
                  <pic:blipFill>
                    <a:blip r:embed="rId99"/>
                    <a:stretch>
                      <a:fillRect/>
                    </a:stretch>
                  </pic:blipFill>
                  <pic:spPr>
                    <a:xfrm>
                      <a:off x="0" y="0"/>
                      <a:ext cx="4514877" cy="3113709"/>
                    </a:xfrm>
                    <a:prstGeom prst="rect">
                      <a:avLst/>
                    </a:prstGeom>
                  </pic:spPr>
                </pic:pic>
              </a:graphicData>
            </a:graphic>
          </wp:inline>
        </w:drawing>
      </w:r>
    </w:p>
    <w:p>
      <w:pPr>
        <w:pStyle w:val="11"/>
      </w:pPr>
      <w:bookmarkStart w:id="32" w:name="_Ref225803219"/>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3</w:t>
      </w:r>
      <w:r>
        <w:fldChar w:fldCharType="end"/>
      </w:r>
      <w:bookmarkEnd w:id="32"/>
      <w:r>
        <w:rPr>
          <w:rFonts w:hint="eastAsia"/>
        </w:rPr>
        <w:t xml:space="preserve"> 图卷积神经网络结构示意图</w:t>
      </w:r>
    </w:p>
    <w:p>
      <w:r>
        <w:fldChar w:fldCharType="begin"/>
      </w:r>
      <w:r>
        <w:instrText xml:space="preserve"> </w:instrText>
      </w:r>
      <w:r>
        <w:rPr>
          <w:rFonts w:hint="eastAsia"/>
        </w:rPr>
        <w:instrText xml:space="preserve">REF _Ref225803219 \h</w:instrText>
      </w:r>
      <w:r>
        <w:instrText xml:space="preserve"> </w:instrText>
      </w:r>
      <w:r>
        <w:fldChar w:fldCharType="separate"/>
      </w:r>
      <w:r>
        <w:rPr>
          <w:rFonts w:hint="eastAsia"/>
        </w:rPr>
        <w:t>图2-</w:t>
      </w:r>
      <w:r>
        <w:t>3</w:t>
      </w:r>
      <w:r>
        <w:fldChar w:fldCharType="end"/>
      </w:r>
      <w:r>
        <w:t>展示了图卷积神经网络的</w:t>
      </w:r>
      <w:r>
        <w:rPr>
          <w:rFonts w:hint="eastAsia"/>
        </w:rPr>
        <w:t>原理。GNN通过堆叠多层的卷积操作实现了对多邻域节点信息的逐层传递，这样的操作在经过</w:t>
      </w:r>
      <w:r>
        <w:rPr>
          <w:position w:val="-4"/>
        </w:rPr>
        <w:object>
          <v:shape id="_x0000_i1058" o:spt="75" type="#_x0000_t75" style="height:13.2pt;width:13.2pt;" o:ole="t" filled="f" o:preferrelative="t" stroked="f" coordsize="21600,21600">
            <v:path/>
            <v:fill on="f" focussize="0,0"/>
            <v:stroke on="f" joinstyle="miter"/>
            <v:imagedata r:id="rId101" o:title=""/>
            <o:lock v:ext="edit" aspectratio="t"/>
            <w10:wrap type="none"/>
            <w10:anchorlock/>
          </v:shape>
          <o:OLEObject Type="Embed" ProgID="Equation.DSMT4" ShapeID="_x0000_i1058" DrawAspect="Content" ObjectID="_1468075758" r:id="rId100">
            <o:LockedField>false</o:LockedField>
          </o:OLEObject>
        </w:object>
      </w:r>
      <w:r>
        <w:rPr>
          <w:rFonts w:hint="eastAsia"/>
        </w:rPr>
        <w:t>层的堆叠之后，每一个节点都将融合其</w:t>
      </w:r>
      <w:r>
        <w:rPr>
          <w:position w:val="-4"/>
        </w:rPr>
        <w:object>
          <v:shape id="_x0000_i1059" o:spt="75" type="#_x0000_t75" style="height:13.2pt;width:13.2pt;" o:ole="t" filled="f" o:preferrelative="t" stroked="f" coordsize="21600,21600">
            <v:path/>
            <v:fill on="f" focussize="0,0"/>
            <v:stroke on="f" joinstyle="miter"/>
            <v:imagedata r:id="rId103" o:title=""/>
            <o:lock v:ext="edit" aspectratio="t"/>
            <w10:wrap type="none"/>
            <w10:anchorlock/>
          </v:shape>
          <o:OLEObject Type="Embed" ProgID="Equation.DSMT4" ShapeID="_x0000_i1059" DrawAspect="Content" ObjectID="_1468075759" r:id="rId102">
            <o:LockedField>false</o:LockedField>
          </o:OLEObject>
        </w:object>
      </w:r>
      <w:r>
        <w:rPr>
          <w:rFonts w:hint="eastAsia"/>
        </w:rPr>
        <w:t>阶邻域内所有节点的结构与特征信息。</w:t>
      </w:r>
    </w:p>
    <w:p>
      <w:pPr>
        <w:pStyle w:val="4"/>
        <w:rPr>
          <w:rFonts w:hint="default"/>
        </w:rPr>
      </w:pPr>
      <w:bookmarkStart w:id="33" w:name="_Toc229423330"/>
      <w:r>
        <w:t>基于注意力机制的图神经网络</w:t>
      </w:r>
      <w:bookmarkEnd w:id="33"/>
    </w:p>
    <w:p>
      <w:r>
        <w:rPr>
          <w:rFonts w:hint="eastAsia"/>
        </w:rPr>
        <w:t>Transformer</w:t>
      </w:r>
      <w:r>
        <w:t>与传统</w:t>
      </w:r>
      <w:r>
        <w:rPr>
          <w:rFonts w:hint="eastAsia"/>
        </w:rPr>
        <w:t>的使用</w:t>
      </w:r>
      <w:r>
        <w:t>固定权重的方式不同，</w:t>
      </w:r>
      <w:r>
        <w:rPr>
          <w:rFonts w:hint="eastAsia"/>
        </w:rPr>
        <w:t>其中的</w:t>
      </w:r>
      <w:r>
        <w:t>注意力机制能够根据邻居节点的重要程度动态分配</w:t>
      </w:r>
      <w:r>
        <w:rPr>
          <w:rFonts w:hint="eastAsia"/>
        </w:rPr>
        <w:t>权重信息。</w:t>
      </w:r>
      <w:r>
        <w:t>受这一思想影响</w:t>
      </w:r>
      <w:r>
        <w:rPr>
          <w:rFonts w:hint="eastAsia"/>
        </w:rPr>
        <w:t>，</w:t>
      </w:r>
      <w:r>
        <w:t>Veličković</w:t>
      </w:r>
      <w:r>
        <w:rPr>
          <w:rFonts w:hint="eastAsia"/>
        </w:rPr>
        <w:t>等人将注意力机制引入图领域，提出了图注意力网络</w:t>
      </w:r>
      <w:r>
        <w:rPr>
          <w:vertAlign w:val="superscript"/>
        </w:rPr>
        <w:fldChar w:fldCharType="begin"/>
      </w:r>
      <w:r>
        <w:rPr>
          <w:vertAlign w:val="superscript"/>
        </w:rPr>
        <w:instrText xml:space="preserve"> </w:instrText>
      </w:r>
      <w:r>
        <w:rPr>
          <w:rFonts w:hint="eastAsia"/>
          <w:vertAlign w:val="superscript"/>
        </w:rPr>
        <w:instrText xml:space="preserve">REF _Ref225763563 \r \h</w:instrText>
      </w:r>
      <w:r>
        <w:rPr>
          <w:vertAlign w:val="superscript"/>
        </w:rPr>
        <w:instrText xml:space="preserve">  \* MERGEFORMAT </w:instrText>
      </w:r>
      <w:r>
        <w:rPr>
          <w:vertAlign w:val="superscript"/>
        </w:rPr>
        <w:fldChar w:fldCharType="separate"/>
      </w:r>
      <w:r>
        <w:rPr>
          <w:vertAlign w:val="superscript"/>
        </w:rPr>
        <w:t>[48]</w:t>
      </w:r>
      <w:r>
        <w:rPr>
          <w:vertAlign w:val="superscript"/>
        </w:rPr>
        <w:fldChar w:fldCharType="end"/>
      </w:r>
      <w:r>
        <w:rPr>
          <w:rFonts w:hint="eastAsia"/>
        </w:rPr>
        <w:t>（Graph Attention Network, GAT），其核心为在节点间的信息交互中引入动态注意力机制，进而解决图卷积网络权重固定的问题。如公式</w:t>
      </w:r>
      <w:r>
        <w:rPr>
          <w:iCs/>
        </w:rPr>
        <w:fldChar w:fldCharType="begin"/>
      </w:r>
      <w:r>
        <w:rPr>
          <w:iCs/>
        </w:rPr>
        <w:instrText xml:space="preserve"> </w:instrText>
      </w:r>
      <w:r>
        <w:rPr>
          <w:rFonts w:hint="eastAsia"/>
          <w:iCs/>
        </w:rPr>
        <w:instrText xml:space="preserve">GOTOBUTTON ZEqnNum672435  \* MERGEFORMAT</w:instrText>
      </w:r>
      <w:r>
        <w:rPr>
          <w:iCs/>
        </w:rPr>
        <w:instrText xml:space="preserve"> </w:instrText>
      </w:r>
      <w:r>
        <w:rPr>
          <w:iCs/>
        </w:rPr>
        <w:fldChar w:fldCharType="begin"/>
      </w:r>
      <w:r>
        <w:rPr>
          <w:iCs/>
        </w:rPr>
        <w:instrText xml:space="preserve"> REF ZEqnNum672435 \* Charformat \! \* MERGEFORMAT </w:instrText>
      </w:r>
      <w:r>
        <w:rPr>
          <w:iCs/>
        </w:rPr>
        <w:fldChar w:fldCharType="separate"/>
      </w:r>
      <w:r>
        <w:rPr>
          <w:iCs/>
        </w:rPr>
        <w:instrText xml:space="preserve">(2-7)</w:instrText>
      </w:r>
      <w:r>
        <w:rPr>
          <w:iCs/>
        </w:rPr>
        <w:fldChar w:fldCharType="end"/>
      </w:r>
      <w:r>
        <w:rPr>
          <w:iCs/>
        </w:rPr>
        <w:fldChar w:fldCharType="end"/>
      </w:r>
      <w:r>
        <w:rPr>
          <w:rFonts w:hint="eastAsia"/>
        </w:rPr>
        <w:t>所示，对于中心节点</w:t>
      </w:r>
      <w:r>
        <w:rPr>
          <w:position w:val="-6"/>
        </w:rPr>
        <w:object>
          <v:shape id="_x0000_i1060" o:spt="75" type="#_x0000_t75" style="height:13.2pt;width:5.4pt;" o:ole="t" filled="f" o:preferrelative="t" stroked="f" coordsize="21600,21600">
            <v:path/>
            <v:fill on="f" focussize="0,0"/>
            <v:stroke on="f" joinstyle="miter"/>
            <v:imagedata r:id="rId105" o:title=""/>
            <o:lock v:ext="edit" aspectratio="t"/>
            <w10:wrap type="none"/>
            <w10:anchorlock/>
          </v:shape>
          <o:OLEObject Type="Embed" ProgID="Equation.DSMT4" ShapeID="_x0000_i1060" DrawAspect="Content" ObjectID="_1468075760" r:id="rId104">
            <o:LockedField>false</o:LockedField>
          </o:OLEObject>
        </w:object>
      </w:r>
      <w:r>
        <w:rPr>
          <w:rFonts w:hint="eastAsia"/>
        </w:rPr>
        <w:t>及其邻居节点</w:t>
      </w:r>
      <w:r>
        <w:rPr>
          <w:position w:val="-10"/>
        </w:rPr>
        <w:object>
          <v:shape id="_x0000_i1061" o:spt="75" type="#_x0000_t75" style="height:17.4pt;width:9.6pt;" o:ole="t" filled="f" o:preferrelative="t" stroked="f" coordsize="21600,21600">
            <v:path/>
            <v:fill on="f" focussize="0,0"/>
            <v:stroke on="f" joinstyle="miter"/>
            <v:imagedata r:id="rId107" o:title=""/>
            <o:lock v:ext="edit" aspectratio="t"/>
            <w10:wrap type="none"/>
            <w10:anchorlock/>
          </v:shape>
          <o:OLEObject Type="Embed" ProgID="Equation.DSMT4" ShapeID="_x0000_i1061" DrawAspect="Content" ObjectID="_1468075761" r:id="rId106">
            <o:LockedField>false</o:LockedField>
          </o:OLEObject>
        </w:object>
      </w:r>
      <w:r>
        <w:rPr>
          <w:rFonts w:hint="eastAsia"/>
        </w:rPr>
        <w:t>，GAT首先通过一个可以共享的注意力函数计算两者之间的注意力分数：</w:t>
      </w:r>
    </w:p>
    <w:p>
      <w:pPr>
        <w:pStyle w:val="44"/>
        <w:spacing w:before="326" w:after="326"/>
      </w:pPr>
      <w:r>
        <w:tab/>
      </w:r>
      <w:r>
        <w:rPr>
          <w:position w:val="-18"/>
        </w:rPr>
        <w:object>
          <v:shape id="_x0000_i1062" o:spt="75" type="#_x0000_t75" style="height:24.6pt;width:162pt;" o:ole="t" filled="f" o:preferrelative="t" stroked="f" coordsize="21600,21600">
            <v:path/>
            <v:fill on="f" focussize="0,0"/>
            <v:stroke on="f" joinstyle="miter"/>
            <v:imagedata r:id="rId109" o:title=""/>
            <o:lock v:ext="edit" aspectratio="t"/>
            <w10:wrap type="none"/>
            <w10:anchorlock/>
          </v:shape>
          <o:OLEObject Type="Embed" ProgID="Equation.DSMT4" ShapeID="_x0000_i1062" DrawAspect="Content" ObjectID="_1468075762" r:id="rId10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672435"/>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bookmarkEnd w:id="34"/>
      <w:r>
        <w:fldChar w:fldCharType="end"/>
      </w:r>
    </w:p>
    <w:p>
      <w:r>
        <w:rPr>
          <w:rFonts w:hint="eastAsia"/>
        </w:rPr>
        <w:t>其中，</w:t>
      </w:r>
      <w:r>
        <w:rPr>
          <w:position w:val="-6"/>
        </w:rPr>
        <w:object>
          <v:shape id="_x0000_i1063" o:spt="75" type="#_x0000_t75" style="height:13.2pt;width:13.2pt;" o:ole="t" filled="f" o:preferrelative="t" stroked="f" coordsize="21600,21600">
            <v:path/>
            <v:fill on="f" focussize="0,0"/>
            <v:stroke on="f" joinstyle="miter"/>
            <v:imagedata r:id="rId111" o:title=""/>
            <o:lock v:ext="edit" aspectratio="t"/>
            <w10:wrap type="none"/>
            <w10:anchorlock/>
          </v:shape>
          <o:OLEObject Type="Embed" ProgID="Equation.DSMT4" ShapeID="_x0000_i1063" DrawAspect="Content" ObjectID="_1468075763" r:id="rId110">
            <o:LockedField>false</o:LockedField>
          </o:OLEObject>
        </w:object>
      </w:r>
      <w:r>
        <w:rPr>
          <w:rFonts w:hint="eastAsia"/>
        </w:rPr>
        <w:t>为共享的线性变换矩阵，</w:t>
      </w:r>
      <w:r>
        <w:rPr>
          <w:position w:val="-6"/>
        </w:rPr>
        <w:object>
          <v:shape id="_x0000_i1064" o:spt="75" type="#_x0000_t75" style="height:13.2pt;width:9.6pt;" o:ole="t" filled="f" o:preferrelative="t" stroked="f" coordsize="21600,21600">
            <v:path/>
            <v:fill on="f" focussize="0,0"/>
            <v:stroke on="f" joinstyle="miter"/>
            <v:imagedata r:id="rId113" o:title=""/>
            <o:lock v:ext="edit" aspectratio="t"/>
            <w10:wrap type="none"/>
            <w10:anchorlock/>
          </v:shape>
          <o:OLEObject Type="Embed" ProgID="Equation.DSMT4" ShapeID="_x0000_i1064" DrawAspect="Content" ObjectID="_1468075764" r:id="rId112">
            <o:LockedField>false</o:LockedField>
          </o:OLEObject>
        </w:object>
      </w:r>
      <w:r>
        <w:rPr>
          <w:rFonts w:hint="eastAsia"/>
        </w:rPr>
        <w:t>为可学习的注意力权重向量，</w:t>
      </w:r>
      <w:r>
        <w:rPr>
          <w:position w:val="-10"/>
        </w:rPr>
        <w:object>
          <v:shape id="_x0000_i1065" o:spt="75" type="#_x0000_t75" style="height:15.6pt;width:5.4pt;" o:ole="t" filled="f" o:preferrelative="t" stroked="f" coordsize="21600,21600">
            <v:path/>
            <v:fill on="f" focussize="0,0"/>
            <v:stroke on="f" joinstyle="miter"/>
            <v:imagedata r:id="rId115" o:title=""/>
            <o:lock v:ext="edit" aspectratio="t"/>
            <w10:wrap type="none"/>
            <w10:anchorlock/>
          </v:shape>
          <o:OLEObject Type="Embed" ProgID="Equation.DSMT4" ShapeID="_x0000_i1065" DrawAspect="Content" ObjectID="_1468075765" r:id="rId114">
            <o:LockedField>false</o:LockedField>
          </o:OLEObject>
        </w:object>
      </w:r>
      <w:r>
        <w:rPr>
          <w:rFonts w:hint="eastAsia"/>
        </w:rPr>
        <w:t>符号表示拼接操作。随后使用归一化函数Softmax对节点</w:t>
      </w:r>
      <w:r>
        <w:rPr>
          <w:position w:val="-6"/>
        </w:rPr>
        <w:object>
          <v:shape id="_x0000_i1066" o:spt="75" type="#_x0000_t75" style="height:13.2pt;width:5.4pt;" o:ole="t" filled="f" o:preferrelative="t" stroked="f" coordsize="21600,21600">
            <v:path/>
            <v:fill on="f" focussize="0,0"/>
            <v:stroke on="f" joinstyle="miter"/>
            <v:imagedata r:id="rId117" o:title=""/>
            <o:lock v:ext="edit" aspectratio="t"/>
            <w10:wrap type="none"/>
            <w10:anchorlock/>
          </v:shape>
          <o:OLEObject Type="Embed" ProgID="Equation.DSMT4" ShapeID="_x0000_i1066" DrawAspect="Content" ObjectID="_1468075766" r:id="rId116">
            <o:LockedField>false</o:LockedField>
          </o:OLEObject>
        </w:object>
      </w:r>
      <w:r>
        <w:rPr>
          <w:rFonts w:hint="eastAsia"/>
        </w:rPr>
        <w:t>邻域内的所有注意力分数进行归一化操作，得到最终的注意力权重，如公式</w:t>
      </w:r>
      <w:r>
        <w:rPr>
          <w:iCs/>
        </w:rPr>
        <w:fldChar w:fldCharType="begin"/>
      </w:r>
      <w:r>
        <w:rPr>
          <w:iCs/>
        </w:rPr>
        <w:instrText xml:space="preserve"> </w:instrText>
      </w:r>
      <w:r>
        <w:rPr>
          <w:rFonts w:hint="eastAsia"/>
          <w:iCs/>
        </w:rPr>
        <w:instrText xml:space="preserve">GOTOBUTTON ZEqnNum918925  \* MERGEFORMAT</w:instrText>
      </w:r>
      <w:r>
        <w:rPr>
          <w:iCs/>
        </w:rPr>
        <w:instrText xml:space="preserve"> </w:instrText>
      </w:r>
      <w:r>
        <w:rPr>
          <w:iCs/>
        </w:rPr>
        <w:fldChar w:fldCharType="begin"/>
      </w:r>
      <w:r>
        <w:rPr>
          <w:iCs/>
        </w:rPr>
        <w:instrText xml:space="preserve"> REF ZEqnNum918925 \* Charformat \! \* MERGEFORMAT </w:instrText>
      </w:r>
      <w:r>
        <w:rPr>
          <w:iCs/>
        </w:rPr>
        <w:fldChar w:fldCharType="separate"/>
      </w:r>
      <w:r>
        <w:rPr>
          <w:iCs/>
        </w:rPr>
        <w:instrText xml:space="preserve">(2-8)</w:instrText>
      </w:r>
      <w:r>
        <w:rPr>
          <w:iCs/>
        </w:rPr>
        <w:fldChar w:fldCharType="end"/>
      </w:r>
      <w:r>
        <w:rPr>
          <w:iCs/>
        </w:rPr>
        <w:fldChar w:fldCharType="end"/>
      </w:r>
      <w:r>
        <w:rPr>
          <w:rFonts w:hint="eastAsia"/>
        </w:rPr>
        <w:t>所示：</w:t>
      </w:r>
    </w:p>
    <w:p>
      <w:pPr>
        <w:pStyle w:val="44"/>
        <w:spacing w:before="326" w:after="326"/>
      </w:pPr>
      <w:r>
        <w:tab/>
      </w:r>
      <w:r>
        <w:rPr>
          <w:position w:val="-50"/>
        </w:rPr>
        <w:object>
          <v:shape id="_x0000_i1067" o:spt="75" type="#_x0000_t75" style="height:45pt;width:90pt;" o:ole="t" filled="f" o:preferrelative="t" stroked="f" coordsize="21600,21600">
            <v:path/>
            <v:fill on="f" focussize="0,0"/>
            <v:stroke on="f" joinstyle="miter"/>
            <v:imagedata r:id="rId119" o:title=""/>
            <o:lock v:ext="edit" aspectratio="t"/>
            <w10:wrap type="none"/>
            <w10:anchorlock/>
          </v:shape>
          <o:OLEObject Type="Embed" ProgID="Equation.DSMT4" ShapeID="_x0000_i1067" DrawAspect="Content" ObjectID="_1468075767" r:id="rId11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5" w:name="ZEqnNum918925"/>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bookmarkEnd w:id="35"/>
      <w:r>
        <w:fldChar w:fldCharType="end"/>
      </w:r>
    </w:p>
    <w:p>
      <w:r>
        <w:rPr>
          <w:rFonts w:hint="eastAsia"/>
        </w:rPr>
        <w:t>最终，节点</w:t>
      </w:r>
      <w:r>
        <w:rPr>
          <w:position w:val="-6"/>
        </w:rPr>
        <w:object>
          <v:shape id="_x0000_i1068" o:spt="75" type="#_x0000_t75" style="height:13.2pt;width:5.4pt;" o:ole="t" filled="f" o:preferrelative="t" stroked="f" coordsize="21600,21600">
            <v:path/>
            <v:fill on="f" focussize="0,0"/>
            <v:stroke on="f" joinstyle="miter"/>
            <v:imagedata r:id="rId121" o:title=""/>
            <o:lock v:ext="edit" aspectratio="t"/>
            <w10:wrap type="none"/>
            <w10:anchorlock/>
          </v:shape>
          <o:OLEObject Type="Embed" ProgID="Equation.DSMT4" ShapeID="_x0000_i1068" DrawAspect="Content" ObjectID="_1468075768" r:id="rId120">
            <o:LockedField>false</o:LockedField>
          </o:OLEObject>
        </w:object>
      </w:r>
      <w:r>
        <w:rPr>
          <w:rFonts w:hint="eastAsia"/>
        </w:rPr>
        <w:t>的特征通过对邻居特征的加权求和进行更新，更新过程如公式</w:t>
      </w:r>
      <w:r>
        <w:rPr>
          <w:iCs/>
        </w:rPr>
        <w:fldChar w:fldCharType="begin"/>
      </w:r>
      <w:r>
        <w:rPr>
          <w:iCs/>
        </w:rPr>
        <w:instrText xml:space="preserve"> </w:instrText>
      </w:r>
      <w:r>
        <w:rPr>
          <w:rFonts w:hint="eastAsia"/>
          <w:iCs/>
        </w:rPr>
        <w:instrText xml:space="preserve">GOTOBUTTON ZEqnNum615324  \* MERGEFORMAT</w:instrText>
      </w:r>
      <w:r>
        <w:rPr>
          <w:iCs/>
        </w:rPr>
        <w:instrText xml:space="preserve"> </w:instrText>
      </w:r>
      <w:r>
        <w:rPr>
          <w:iCs/>
        </w:rPr>
        <w:fldChar w:fldCharType="begin"/>
      </w:r>
      <w:r>
        <w:rPr>
          <w:iCs/>
        </w:rPr>
        <w:instrText xml:space="preserve"> REF ZEqnNum615324 \* Charformat \! \* MERGEFORMAT </w:instrText>
      </w:r>
      <w:r>
        <w:rPr>
          <w:iCs/>
        </w:rPr>
        <w:fldChar w:fldCharType="separate"/>
      </w:r>
      <w:r>
        <w:rPr>
          <w:iCs/>
        </w:rPr>
        <w:instrText xml:space="preserve">(2-9)</w:instrText>
      </w:r>
      <w:r>
        <w:rPr>
          <w:iCs/>
        </w:rPr>
        <w:fldChar w:fldCharType="end"/>
      </w:r>
      <w:r>
        <w:rPr>
          <w:iCs/>
        </w:rPr>
        <w:fldChar w:fldCharType="end"/>
      </w:r>
      <w:r>
        <w:rPr>
          <w:rFonts w:hint="eastAsia"/>
        </w:rPr>
        <w:t>所示：</w:t>
      </w:r>
    </w:p>
    <w:p>
      <w:pPr>
        <w:pStyle w:val="44"/>
        <w:spacing w:before="326" w:after="326"/>
      </w:pPr>
      <w:r>
        <w:tab/>
      </w:r>
      <w:r>
        <w:rPr>
          <w:position w:val="-32"/>
        </w:rPr>
        <w:object>
          <v:shape id="_x0000_i1069" o:spt="75" type="#_x0000_t75" style="height:39.6pt;width:119.4pt;" o:ole="t" filled="f" o:preferrelative="t" stroked="f" coordsize="21600,21600">
            <v:path/>
            <v:fill on="f" focussize="0,0"/>
            <v:stroke on="f" joinstyle="miter"/>
            <v:imagedata r:id="rId123" o:title=""/>
            <o:lock v:ext="edit" aspectratio="t"/>
            <w10:wrap type="none"/>
            <w10:anchorlock/>
          </v:shape>
          <o:OLEObject Type="Embed" ProgID="Equation.DSMT4" ShapeID="_x0000_i1069" DrawAspect="Content" ObjectID="_1468075769" r:id="rId12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615324"/>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bookmarkEnd w:id="36"/>
      <w:r>
        <w:fldChar w:fldCharType="end"/>
      </w:r>
    </w:p>
    <w:p>
      <w:r>
        <w:rPr>
          <w:rFonts w:hint="eastAsia"/>
        </w:rPr>
        <w:t>然而，GAT的注意力计算仍局限于一阶邻居范围内，本质上仍属于局部聚合范式，难以直接建模分子中远端原子之间的长程依赖关系</w:t>
      </w:r>
      <w:r>
        <w:rPr>
          <w:vertAlign w:val="superscript"/>
        </w:rPr>
        <w:fldChar w:fldCharType="begin"/>
      </w:r>
      <w:r>
        <w:rPr>
          <w:vertAlign w:val="superscript"/>
        </w:rPr>
        <w:instrText xml:space="preserve"> </w:instrText>
      </w:r>
      <w:r>
        <w:rPr>
          <w:rFonts w:hint="eastAsia"/>
          <w:vertAlign w:val="superscript"/>
        </w:rPr>
        <w:instrText xml:space="preserve">REF _Ref225763583 \r \h</w:instrText>
      </w:r>
      <w:r>
        <w:rPr>
          <w:vertAlign w:val="superscript"/>
        </w:rPr>
        <w:instrText xml:space="preserve">  \* MERGEFORMAT </w:instrText>
      </w:r>
      <w:r>
        <w:rPr>
          <w:vertAlign w:val="superscript"/>
        </w:rPr>
        <w:fldChar w:fldCharType="separate"/>
      </w:r>
      <w:r>
        <w:rPr>
          <w:vertAlign w:val="superscript"/>
        </w:rPr>
        <w:t>[49]</w:t>
      </w:r>
      <w:r>
        <w:rPr>
          <w:vertAlign w:val="superscript"/>
        </w:rPr>
        <w:fldChar w:fldCharType="end"/>
      </w:r>
      <w:r>
        <w:rPr>
          <w:rFonts w:hint="eastAsia"/>
        </w:rPr>
        <w:t>。为突破这一局部感受野的限制，研究者将Transformer的全局自注意力机制引入图结构建模，形成了图Transformer架构。以Graphormer</w:t>
      </w:r>
      <w:r>
        <w:rPr>
          <w:vertAlign w:val="superscript"/>
        </w:rPr>
        <w:fldChar w:fldCharType="begin"/>
      </w:r>
      <w:r>
        <w:rPr>
          <w:vertAlign w:val="superscript"/>
        </w:rPr>
        <w:instrText xml:space="preserve"> </w:instrText>
      </w:r>
      <w:r>
        <w:rPr>
          <w:rFonts w:hint="eastAsia"/>
          <w:vertAlign w:val="superscript"/>
        </w:rPr>
        <w:instrText xml:space="preserve">REF _Ref225763610 \r \h</w:instrText>
      </w:r>
      <w:r>
        <w:rPr>
          <w:vertAlign w:val="superscript"/>
        </w:rPr>
        <w:instrText xml:space="preserve">  \* MERGEFORMAT </w:instrText>
      </w:r>
      <w:r>
        <w:rPr>
          <w:vertAlign w:val="superscript"/>
        </w:rPr>
        <w:fldChar w:fldCharType="separate"/>
      </w:r>
      <w:r>
        <w:rPr>
          <w:vertAlign w:val="superscript"/>
        </w:rPr>
        <w:t>[50]</w:t>
      </w:r>
      <w:r>
        <w:rPr>
          <w:vertAlign w:val="superscript"/>
        </w:rPr>
        <w:fldChar w:fldCharType="end"/>
      </w:r>
      <w:r>
        <w:rPr>
          <w:rFonts w:hint="eastAsia"/>
        </w:rPr>
        <w:t>为代表的图Transformer模型将分子中所有节点两两之间的联系一并纳入注意力计算范围之内，实现了真正意义上的全局建模。标准的Transformer架构适用于处理无序的序列，无法感知图的拓扑结构，所以需要显式地引入图的几何结构与拓扑信息。</w:t>
      </w:r>
    </w:p>
    <w:p>
      <w:r>
        <w:rPr>
          <w:rFonts w:hint="eastAsia"/>
        </w:rPr>
        <w:t>Graphormer设计了三种互补的结构编码机制。第一种是中心性编码（Centrality Encoding），利用节点的入度与出度为每个原子引入可学习的偏置向量，以体现节点在分子图中的重要性，对于有向图来说，每一个节点既有入度，也有出度，当计算节点</w:t>
      </w:r>
      <w:r>
        <w:rPr>
          <w:position w:val="-12"/>
        </w:rPr>
        <w:object>
          <v:shape id="_x0000_i1070" o:spt="75" type="#_x0000_t75" style="height:18pt;width:12pt;" o:ole="t" filled="f" o:preferrelative="t" stroked="f" coordsize="21600,21600">
            <v:path/>
            <v:fill on="f" focussize="0,0"/>
            <v:stroke on="f" joinstyle="miter"/>
            <v:imagedata r:id="rId125" o:title=""/>
            <o:lock v:ext="edit" aspectratio="t"/>
            <w10:wrap type="none"/>
            <w10:anchorlock/>
          </v:shape>
          <o:OLEObject Type="Embed" ProgID="Equation.DSMT4" ShapeID="_x0000_i1070" DrawAspect="Content" ObjectID="_1468075770" r:id="rId124">
            <o:LockedField>false</o:LockedField>
          </o:OLEObject>
        </w:object>
      </w:r>
      <w:r>
        <w:rPr>
          <w:rFonts w:hint="eastAsia"/>
        </w:rPr>
        <w:t>的隐藏状态的时候，需要将两个方向的度数加入到原始特征中，如公式</w:t>
      </w:r>
      <w:r>
        <w:rPr>
          <w:iCs/>
        </w:rPr>
        <w:fldChar w:fldCharType="begin"/>
      </w:r>
      <w:r>
        <w:rPr>
          <w:iCs/>
        </w:rPr>
        <w:instrText xml:space="preserve"> </w:instrText>
      </w:r>
      <w:r>
        <w:rPr>
          <w:rFonts w:hint="eastAsia"/>
          <w:iCs/>
        </w:rPr>
        <w:instrText xml:space="preserve">GOTOBUTTON ZEqnNum341270  \* MERGEFORMAT</w:instrText>
      </w:r>
      <w:r>
        <w:rPr>
          <w:iCs/>
        </w:rPr>
        <w:instrText xml:space="preserve"> </w:instrText>
      </w:r>
      <w:r>
        <w:rPr>
          <w:iCs/>
        </w:rPr>
        <w:fldChar w:fldCharType="begin"/>
      </w:r>
      <w:r>
        <w:rPr>
          <w:iCs/>
        </w:rPr>
        <w:instrText xml:space="preserve"> REF ZEqnNum341270 \* Charformat \! \* MERGEFORMAT </w:instrText>
      </w:r>
      <w:r>
        <w:rPr>
          <w:iCs/>
        </w:rPr>
        <w:fldChar w:fldCharType="separate"/>
      </w:r>
      <w:r>
        <w:rPr>
          <w:iCs/>
        </w:rPr>
        <w:instrText xml:space="preserve">(2-10)</w:instrText>
      </w:r>
      <w:r>
        <w:rPr>
          <w:iCs/>
        </w:rPr>
        <w:fldChar w:fldCharType="end"/>
      </w:r>
      <w:r>
        <w:rPr>
          <w:iCs/>
        </w:rPr>
        <w:fldChar w:fldCharType="end"/>
      </w:r>
      <w:r>
        <w:rPr>
          <w:rFonts w:hint="eastAsia"/>
        </w:rPr>
        <w:t>所示：</w:t>
      </w:r>
    </w:p>
    <w:p>
      <w:pPr>
        <w:pStyle w:val="44"/>
        <w:spacing w:before="326" w:after="326"/>
      </w:pPr>
      <w:r>
        <w:tab/>
      </w:r>
      <w:r>
        <w:rPr>
          <w:position w:val="-18"/>
        </w:rPr>
        <w:object>
          <v:shape id="_x0000_i1071" o:spt="75" type="#_x0000_t75" style="height:20.4pt;width:126.6pt;" o:ole="t" filled="f" o:preferrelative="t" stroked="f" coordsize="21600,21600">
            <v:path/>
            <v:fill on="f" focussize="0,0"/>
            <v:stroke on="f" joinstyle="miter"/>
            <v:imagedata r:id="rId127" o:title=""/>
            <o:lock v:ext="edit" aspectratio="t"/>
            <w10:wrap type="none"/>
            <w10:anchorlock/>
          </v:shape>
          <o:OLEObject Type="Embed" ProgID="Equation.DSMT4" ShapeID="_x0000_i1071" DrawAspect="Content" ObjectID="_1468075771" r:id="rId12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7" w:name="ZEqnNum341270"/>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bookmarkEnd w:id="37"/>
      <w:r>
        <w:fldChar w:fldCharType="end"/>
      </w:r>
    </w:p>
    <w:p>
      <w:r>
        <w:rPr>
          <w:rFonts w:hint="eastAsia"/>
        </w:rPr>
        <w:t>其中，</w:t>
      </w:r>
      <w:r>
        <w:rPr>
          <w:position w:val="-12"/>
        </w:rPr>
        <w:object>
          <v:shape id="_x0000_i1072" o:spt="75" type="#_x0000_t75" style="height:18pt;width:18pt;" o:ole="t" filled="f" o:preferrelative="t" stroked="f" coordsize="21600,21600">
            <v:path/>
            <v:fill on="f" focussize="0,0"/>
            <v:stroke on="f" joinstyle="miter"/>
            <v:imagedata r:id="rId129" o:title=""/>
            <o:lock v:ext="edit" aspectratio="t"/>
            <w10:wrap type="none"/>
            <w10:anchorlock/>
          </v:shape>
          <o:OLEObject Type="Embed" ProgID="Equation.DSMT4" ShapeID="_x0000_i1072" DrawAspect="Content" ObjectID="_1468075772" r:id="rId128">
            <o:LockedField>false</o:LockedField>
          </o:OLEObject>
        </w:object>
      </w:r>
      <w:r>
        <w:rPr>
          <w:rFonts w:hint="eastAsia"/>
        </w:rPr>
        <w:t>是节点第一层的初始隐藏状态，</w:t>
      </w:r>
      <w:r>
        <w:rPr>
          <w:position w:val="-12"/>
        </w:rPr>
        <w:object>
          <v:shape id="_x0000_i1073" o:spt="75" type="#_x0000_t75" style="height:18pt;width:12pt;" o:ole="t" filled="f" o:preferrelative="t" stroked="f" coordsize="21600,21600">
            <v:path/>
            <v:fill on="f" focussize="0,0"/>
            <v:stroke on="f" joinstyle="miter"/>
            <v:imagedata r:id="rId131" o:title=""/>
            <o:lock v:ext="edit" aspectratio="t"/>
            <w10:wrap type="none"/>
            <w10:anchorlock/>
          </v:shape>
          <o:OLEObject Type="Embed" ProgID="Equation.DSMT4" ShapeID="_x0000_i1073" DrawAspect="Content" ObjectID="_1468075773" r:id="rId130">
            <o:LockedField>false</o:LockedField>
          </o:OLEObject>
        </w:object>
      </w:r>
      <w:r>
        <w:rPr>
          <w:rFonts w:hint="eastAsia"/>
        </w:rPr>
        <w:t>是节点本身的原始特征，</w:t>
      </w:r>
      <w:r>
        <w:rPr>
          <w:position w:val="-4"/>
        </w:rPr>
        <w:object>
          <v:shape id="_x0000_i1074" o:spt="75" type="#_x0000_t75" style="height:15pt;width:13.2pt;" o:ole="t" filled="f" o:preferrelative="t" stroked="f" coordsize="21600,21600">
            <v:path/>
            <v:fill on="f" focussize="0,0"/>
            <v:stroke on="f" joinstyle="miter"/>
            <v:imagedata r:id="rId133" o:title=""/>
            <o:lock v:ext="edit" aspectratio="t"/>
            <w10:wrap type="none"/>
            <w10:anchorlock/>
          </v:shape>
          <o:OLEObject Type="Embed" ProgID="Equation.DSMT4" ShapeID="_x0000_i1074" DrawAspect="Content" ObjectID="_1468075774" r:id="rId132">
            <o:LockedField>false</o:LockedField>
          </o:OLEObject>
        </w:object>
      </w:r>
      <w:r>
        <w:rPr>
          <w:rFonts w:hint="eastAsia"/>
        </w:rPr>
        <w:t>和</w:t>
      </w:r>
      <w:r>
        <w:rPr>
          <w:position w:val="-4"/>
        </w:rPr>
        <w:object>
          <v:shape id="_x0000_i1075" o:spt="75" type="#_x0000_t75" style="height:15pt;width:13.2pt;" o:ole="t" filled="f" o:preferrelative="t" stroked="f" coordsize="21600,21600">
            <v:path/>
            <v:fill on="f" focussize="0,0"/>
            <v:stroke on="f" joinstyle="miter"/>
            <v:imagedata r:id="rId135" o:title=""/>
            <o:lock v:ext="edit" aspectratio="t"/>
            <w10:wrap type="none"/>
            <w10:anchorlock/>
          </v:shape>
          <o:OLEObject Type="Embed" ProgID="Equation.DSMT4" ShapeID="_x0000_i1075" DrawAspect="Content" ObjectID="_1468075775" r:id="rId134">
            <o:LockedField>false</o:LockedField>
          </o:OLEObject>
        </w:object>
      </w:r>
      <w:r>
        <w:rPr>
          <w:rFonts w:hint="eastAsia"/>
        </w:rPr>
        <w:t>分别是入度和出度对应的嵌入向量，</w:t>
      </w:r>
      <w:r>
        <w:rPr>
          <w:position w:val="-12"/>
        </w:rPr>
        <w:object>
          <v:shape id="_x0000_i1076" o:spt="75" type="#_x0000_t75" style="height:18pt;width:43.8pt;" o:ole="t" filled="f" o:preferrelative="t" stroked="f" coordsize="21600,21600">
            <v:path/>
            <v:fill on="f" focussize="0,0"/>
            <v:stroke on="f" joinstyle="miter"/>
            <v:imagedata r:id="rId137" o:title=""/>
            <o:lock v:ext="edit" aspectratio="t"/>
            <w10:wrap type="none"/>
            <w10:anchorlock/>
          </v:shape>
          <o:OLEObject Type="Embed" ProgID="Equation.DSMT4" ShapeID="_x0000_i1076" DrawAspect="Content" ObjectID="_1468075776" r:id="rId136">
            <o:LockedField>false</o:LockedField>
          </o:OLEObject>
        </w:object>
      </w:r>
      <w:r>
        <w:rPr>
          <w:rFonts w:hint="eastAsia"/>
        </w:rPr>
        <w:t>和</w:t>
      </w:r>
      <w:r>
        <w:rPr>
          <w:position w:val="-12"/>
        </w:rPr>
        <w:object>
          <v:shape id="_x0000_i1077" o:spt="75" type="#_x0000_t75" style="height:18pt;width:43.8pt;" o:ole="t" filled="f" o:preferrelative="t" stroked="f" coordsize="21600,21600">
            <v:path/>
            <v:fill on="f" focussize="0,0"/>
            <v:stroke on="f" joinstyle="miter"/>
            <v:imagedata r:id="rId139" o:title=""/>
            <o:lock v:ext="edit" aspectratio="t"/>
            <w10:wrap type="none"/>
            <w10:anchorlock/>
          </v:shape>
          <o:OLEObject Type="Embed" ProgID="Equation.DSMT4" ShapeID="_x0000_i1077" DrawAspect="Content" ObjectID="_1468075777" r:id="rId138">
            <o:LockedField>false</o:LockedField>
          </o:OLEObject>
        </w:object>
      </w:r>
      <w:r>
        <w:rPr>
          <w:rFonts w:hint="eastAsia"/>
        </w:rPr>
        <w:t>是节点的入度和出度。但分子的二维拓扑图为无向图，只需要一个方向的度数，所以计算过程可以变化为公式</w:t>
      </w:r>
      <w:r>
        <w:rPr>
          <w:iCs/>
        </w:rPr>
        <w:fldChar w:fldCharType="begin"/>
      </w:r>
      <w:r>
        <w:rPr>
          <w:iCs/>
        </w:rPr>
        <w:instrText xml:space="preserve"> </w:instrText>
      </w:r>
      <w:r>
        <w:rPr>
          <w:rFonts w:hint="eastAsia"/>
          <w:iCs/>
        </w:rPr>
        <w:instrText xml:space="preserve">GOTOBUTTON ZEqnNum218947  \* MERGEFORMAT</w:instrText>
      </w:r>
      <w:r>
        <w:rPr>
          <w:iCs/>
        </w:rPr>
        <w:instrText xml:space="preserve"> </w:instrText>
      </w:r>
      <w:r>
        <w:rPr>
          <w:iCs/>
        </w:rPr>
        <w:fldChar w:fldCharType="begin"/>
      </w:r>
      <w:r>
        <w:rPr>
          <w:iCs/>
        </w:rPr>
        <w:instrText xml:space="preserve"> REF ZEqnNum218947 \* Charformat \! \* MERGEFORMAT </w:instrText>
      </w:r>
      <w:r>
        <w:rPr>
          <w:iCs/>
        </w:rPr>
        <w:fldChar w:fldCharType="separate"/>
      </w:r>
      <w:r>
        <w:rPr>
          <w:iCs/>
        </w:rPr>
        <w:instrText xml:space="preserve">(2-11)</w:instrText>
      </w:r>
      <w:r>
        <w:rPr>
          <w:iCs/>
        </w:rPr>
        <w:fldChar w:fldCharType="end"/>
      </w:r>
      <w:r>
        <w:rPr>
          <w:iCs/>
        </w:rPr>
        <w:fldChar w:fldCharType="end"/>
      </w:r>
      <w:r>
        <w:rPr>
          <w:rFonts w:hint="eastAsia"/>
        </w:rPr>
        <w:t>所示：</w:t>
      </w:r>
    </w:p>
    <w:p>
      <w:pPr>
        <w:pStyle w:val="44"/>
        <w:spacing w:before="326" w:after="326"/>
      </w:pPr>
      <w:r>
        <w:tab/>
      </w:r>
      <w:r>
        <w:rPr>
          <w:position w:val="-14"/>
        </w:rPr>
        <w:object>
          <v:shape id="_x0000_i1078" o:spt="75" type="#_x0000_t75" style="height:20.4pt;width:81.6pt;" o:ole="t" filled="f" o:preferrelative="t" stroked="f" coordsize="21600,21600">
            <v:path/>
            <v:fill on="f" focussize="0,0"/>
            <v:stroke on="f" joinstyle="miter"/>
            <v:imagedata r:id="rId141" o:title=""/>
            <o:lock v:ext="edit" aspectratio="t"/>
            <w10:wrap type="none"/>
            <w10:anchorlock/>
          </v:shape>
          <o:OLEObject Type="Embed" ProgID="Equation.DSMT4" ShapeID="_x0000_i1078" DrawAspect="Content" ObjectID="_1468075778" r:id="rId14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8" w:name="ZEqnNum218947"/>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bookmarkEnd w:id="38"/>
      <w:r>
        <w:fldChar w:fldCharType="end"/>
      </w:r>
    </w:p>
    <w:p>
      <w:r>
        <w:rPr>
          <w:rFonts w:hint="eastAsia"/>
        </w:rPr>
        <w:t>第二种是空间编码（Spatial Encoding），将节点对之间的最短路径距离映射为注意力矩阵中的标量偏置，体现原子间的物理距离的程度。空间编码的规则如公式所示：</w:t>
      </w:r>
    </w:p>
    <w:p>
      <w:pPr>
        <w:pStyle w:val="44"/>
        <w:spacing w:before="326" w:after="326"/>
      </w:pPr>
      <w:r>
        <w:tab/>
      </w:r>
      <w:r>
        <w:rPr>
          <w:position w:val="-16"/>
        </w:rPr>
        <w:object>
          <v:shape id="_x0000_i1079" o:spt="75" type="#_x0000_t75" style="height:20.4pt;width:32.4pt;" o:ole="t" filled="f" o:preferrelative="t" stroked="f" coordsize="21600,21600">
            <v:path/>
            <v:fill on="f" focussize="0,0"/>
            <v:stroke on="f" joinstyle="miter"/>
            <v:imagedata r:id="rId143" o:title=""/>
            <o:lock v:ext="edit" aspectratio="t"/>
            <w10:wrap type="none"/>
            <w10:anchorlock/>
          </v:shape>
          <o:OLEObject Type="Embed" ProgID="Equation.DSMT4" ShapeID="_x0000_i1079" DrawAspect="Content" ObjectID="_1468075779" r:id="rId14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r>
        <w:rPr>
          <w:rFonts w:hint="eastAsia"/>
        </w:rPr>
        <w:t>其中，</w:t>
      </w:r>
      <w:r>
        <w:rPr>
          <w:position w:val="-14"/>
        </w:rPr>
        <w:object>
          <v:shape id="_x0000_i1080" o:spt="75" type="#_x0000_t75" style="height:18pt;width:40.8pt;" o:ole="t" filled="f" o:preferrelative="t" stroked="f" coordsize="21600,21600">
            <v:path/>
            <v:fill on="f" focussize="0,0"/>
            <v:stroke on="f" joinstyle="miter"/>
            <v:imagedata r:id="rId145" o:title=""/>
            <o:lock v:ext="edit" aspectratio="t"/>
            <w10:wrap type="none"/>
            <w10:anchorlock/>
          </v:shape>
          <o:OLEObject Type="Embed" ProgID="Equation.DSMT4" ShapeID="_x0000_i1080" DrawAspect="Content" ObjectID="_1468075780" r:id="rId144">
            <o:LockedField>false</o:LockedField>
          </o:OLEObject>
        </w:object>
      </w:r>
      <w:r>
        <w:rPr>
          <w:rFonts w:hint="eastAsia"/>
        </w:rPr>
        <w:t>是一个计算两个节点之间最短路径的函数，如果两个节点不连通，通常也会设置一个特殊的值。</w:t>
      </w:r>
      <w:r>
        <w:rPr>
          <w:position w:val="-6"/>
        </w:rPr>
        <w:object>
          <v:shape id="_x0000_i1081" o:spt="75" type="#_x0000_t75" style="height:13.2pt;width:9.6pt;" o:ole="t" filled="f" o:preferrelative="t" stroked="f" coordsize="21600,21600">
            <v:path/>
            <v:fill on="f" focussize="0,0"/>
            <v:stroke on="f" joinstyle="miter"/>
            <v:imagedata r:id="rId147" o:title=""/>
            <o:lock v:ext="edit" aspectratio="t"/>
            <w10:wrap type="none"/>
            <w10:anchorlock/>
          </v:shape>
          <o:OLEObject Type="Embed" ProgID="Equation.DSMT4" ShapeID="_x0000_i1081" DrawAspect="Content" ObjectID="_1468075781" r:id="rId146">
            <o:LockedField>false</o:LockedField>
          </o:OLEObject>
        </w:object>
      </w:r>
      <w:r>
        <w:rPr>
          <w:rFonts w:hint="eastAsia"/>
        </w:rPr>
        <w:t>是一个一维数组，每一个位置都存储了一个具体的偏置数值。</w:t>
      </w:r>
    </w:p>
    <w:p>
      <w:r>
        <w:rPr>
          <w:rFonts w:hint="eastAsia"/>
        </w:rPr>
        <w:t>第三种是边编码（Edge Encoding），主要是提取节点对最短路径上所有的边特征，这可以将化学键属性注入注意力权重的计算过程。边编码的计算过程如公式</w:t>
      </w:r>
      <w:r>
        <w:rPr>
          <w:iCs/>
        </w:rPr>
        <w:fldChar w:fldCharType="begin"/>
      </w:r>
      <w:r>
        <w:rPr>
          <w:iCs/>
        </w:rPr>
        <w:instrText xml:space="preserve"> </w:instrText>
      </w:r>
      <w:r>
        <w:rPr>
          <w:rFonts w:hint="eastAsia"/>
          <w:iCs/>
        </w:rPr>
        <w:instrText xml:space="preserve">GOTOBUTTON ZEqnNum798213  \* MERGEFORMAT</w:instrText>
      </w:r>
      <w:r>
        <w:rPr>
          <w:iCs/>
        </w:rPr>
        <w:instrText xml:space="preserve"> </w:instrText>
      </w:r>
      <w:r>
        <w:rPr>
          <w:iCs/>
        </w:rPr>
        <w:fldChar w:fldCharType="begin"/>
      </w:r>
      <w:r>
        <w:rPr>
          <w:iCs/>
        </w:rPr>
        <w:instrText xml:space="preserve"> REF ZEqnNum798213 \* Charformat \! \* MERGEFORMAT </w:instrText>
      </w:r>
      <w:r>
        <w:rPr>
          <w:iCs/>
        </w:rPr>
        <w:fldChar w:fldCharType="separate"/>
      </w:r>
      <w:r>
        <w:rPr>
          <w:iCs/>
        </w:rPr>
        <w:instrText xml:space="preserve">(2-13)</w:instrText>
      </w:r>
      <w:r>
        <w:rPr>
          <w:iCs/>
        </w:rPr>
        <w:fldChar w:fldCharType="end"/>
      </w:r>
      <w:r>
        <w:rPr>
          <w:iCs/>
        </w:rPr>
        <w:fldChar w:fldCharType="end"/>
      </w:r>
      <w:r>
        <w:rPr>
          <w:rFonts w:hint="eastAsia"/>
        </w:rPr>
        <w:t>所示：</w:t>
      </w:r>
    </w:p>
    <w:p>
      <w:pPr>
        <w:pStyle w:val="44"/>
        <w:spacing w:before="326" w:after="326"/>
      </w:pPr>
      <w:r>
        <w:tab/>
      </w:r>
      <w:r>
        <w:rPr>
          <w:position w:val="-28"/>
        </w:rPr>
        <w:object>
          <v:shape id="_x0000_i1082" o:spt="75" type="#_x0000_t75" style="height:32.4pt;width:96.6pt;" o:ole="t" filled="f" o:preferrelative="t" stroked="f" coordsize="21600,21600">
            <v:path/>
            <v:fill on="f" focussize="0,0"/>
            <v:stroke on="f" joinstyle="miter"/>
            <v:imagedata r:id="rId149" o:title=""/>
            <o:lock v:ext="edit" aspectratio="t"/>
            <w10:wrap type="none"/>
            <w10:anchorlock/>
          </v:shape>
          <o:OLEObject Type="Embed" ProgID="Equation.DSMT4" ShapeID="_x0000_i1082" DrawAspect="Content" ObjectID="_1468075782" r:id="rId14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798213"/>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bookmarkEnd w:id="39"/>
      <w:r>
        <w:fldChar w:fldCharType="end"/>
      </w:r>
    </w:p>
    <w:p>
      <w:r>
        <w:rPr>
          <w:rFonts w:hint="eastAsia"/>
        </w:rPr>
        <w:t>其中，</w:t>
      </w:r>
      <w:r>
        <w:rPr>
          <w:position w:val="-14"/>
        </w:rPr>
        <w:object>
          <v:shape id="_x0000_i1083" o:spt="75" type="#_x0000_t75" style="height:18pt;width:13.2pt;" o:ole="t" filled="f" o:preferrelative="t" stroked="f" coordsize="21600,21600">
            <v:path/>
            <v:fill on="f" focussize="0,0"/>
            <v:stroke on="f" joinstyle="miter"/>
            <v:imagedata r:id="rId151" o:title=""/>
            <o:lock v:ext="edit" aspectratio="t"/>
            <w10:wrap type="none"/>
            <w10:anchorlock/>
          </v:shape>
          <o:OLEObject Type="Embed" ProgID="Equation.DSMT4" ShapeID="_x0000_i1083" DrawAspect="Content" ObjectID="_1468075783" r:id="rId150">
            <o:LockedField>false</o:LockedField>
          </o:OLEObject>
        </w:object>
      </w:r>
      <w:r>
        <w:rPr>
          <w:rFonts w:hint="eastAsia"/>
        </w:rPr>
        <w:t>为两个节点之间最短路径上的</w:t>
      </w:r>
      <w:r>
        <w:t>边编码偏置项</w:t>
      </w:r>
      <w:r>
        <w:rPr>
          <w:rFonts w:hint="eastAsia"/>
        </w:rPr>
        <w:t>，</w:t>
      </w:r>
      <w:r>
        <w:rPr>
          <w:position w:val="-14"/>
        </w:rPr>
        <w:object>
          <v:shape id="_x0000_i1084" o:spt="75" type="#_x0000_t75" style="height:18pt;width:15.6pt;" o:ole="t" filled="f" o:preferrelative="t" stroked="f" coordsize="21600,21600">
            <v:path/>
            <v:fill on="f" focussize="0,0"/>
            <v:stroke on="f" joinstyle="miter"/>
            <v:imagedata r:id="rId153" o:title=""/>
            <o:lock v:ext="edit" aspectratio="t"/>
            <w10:wrap type="none"/>
            <w10:anchorlock/>
          </v:shape>
          <o:OLEObject Type="Embed" ProgID="Equation.DSMT4" ShapeID="_x0000_i1084" DrawAspect="Content" ObjectID="_1468075784" r:id="rId152">
            <o:LockedField>false</o:LockedField>
          </o:OLEObject>
        </w:object>
      </w:r>
      <w:r>
        <w:rPr>
          <w:rFonts w:hint="eastAsia"/>
        </w:rPr>
        <w:t>是</w:t>
      </w:r>
      <w:r>
        <w:t>路径上第</w:t>
      </w:r>
      <w:r>
        <w:rPr>
          <w:position w:val="-6"/>
        </w:rPr>
        <w:object>
          <v:shape id="_x0000_i1085" o:spt="75" type="#_x0000_t75" style="height:12pt;width:9.6pt;" o:ole="t" filled="f" o:preferrelative="t" stroked="f" coordsize="21600,21600">
            <v:path/>
            <v:fill on="f" focussize="0,0"/>
            <v:stroke on="f" joinstyle="miter"/>
            <v:imagedata r:id="rId155" o:title=""/>
            <o:lock v:ext="edit" aspectratio="t"/>
            <w10:wrap type="none"/>
            <w10:anchorlock/>
          </v:shape>
          <o:OLEObject Type="Embed" ProgID="Equation.DSMT4" ShapeID="_x0000_i1085" DrawAspect="Content" ObjectID="_1468075785" r:id="rId154">
            <o:LockedField>false</o:LockedField>
          </o:OLEObject>
        </w:object>
      </w:r>
      <w:r>
        <w:t>条边的原始特征。</w:t>
      </w:r>
      <w:r>
        <w:rPr>
          <w:position w:val="-12"/>
        </w:rPr>
        <w:object>
          <v:shape id="_x0000_i1086" o:spt="75" type="#_x0000_t75" style="height:18pt;width:18pt;" o:ole="t" filled="f" o:preferrelative="t" stroked="f" coordsize="21600,21600">
            <v:path/>
            <v:fill on="f" focussize="0,0"/>
            <v:stroke on="f" joinstyle="miter"/>
            <v:imagedata r:id="rId157" o:title=""/>
            <o:lock v:ext="edit" aspectratio="t"/>
            <w10:wrap type="none"/>
            <w10:anchorlock/>
          </v:shape>
          <o:OLEObject Type="Embed" ProgID="Equation.DSMT4" ShapeID="_x0000_i1086" DrawAspect="Content" ObjectID="_1468075786" r:id="rId156">
            <o:LockedField>false</o:LockedField>
          </o:OLEObject>
        </w:object>
      </w:r>
      <w:r>
        <w:rPr>
          <w:rFonts w:hint="eastAsia"/>
        </w:rPr>
        <w:t>是</w:t>
      </w:r>
      <w:r>
        <w:t>第</w:t>
      </w:r>
      <w:r>
        <w:rPr>
          <w:position w:val="-6"/>
        </w:rPr>
        <w:object>
          <v:shape id="_x0000_i1087" o:spt="75" type="#_x0000_t75" style="height:12pt;width:9.6pt;" o:ole="t" filled="f" o:preferrelative="t" stroked="f" coordsize="21600,21600">
            <v:path/>
            <v:fill on="f" focussize="0,0"/>
            <v:stroke on="f" joinstyle="miter"/>
            <v:imagedata r:id="rId159" o:title=""/>
            <o:lock v:ext="edit" aspectratio="t"/>
            <w10:wrap type="none"/>
            <w10:anchorlock/>
          </v:shape>
          <o:OLEObject Type="Embed" ProgID="Equation.DSMT4" ShapeID="_x0000_i1087" DrawAspect="Content" ObjectID="_1468075787" r:id="rId158">
            <o:LockedField>false</o:LockedField>
          </o:OLEObject>
        </w:object>
      </w:r>
      <w:r>
        <w:t>个位置对应的可学习权重向量。最后再</w:t>
      </w:r>
      <w:r>
        <w:rPr>
          <w:rFonts w:hint="eastAsia"/>
        </w:rPr>
        <w:t>取平均值，</w:t>
      </w:r>
      <w:r>
        <w:t>是为了防止距离过远的节点对因为路径太长导致边编码的值过大。</w:t>
      </w:r>
    </w:p>
    <w:p>
      <w:r>
        <w:rPr>
          <w:rFonts w:hint="eastAsia"/>
        </w:rPr>
        <w:t>三种结构编码协同作用，使图Transformer能够在全局注意力框架下同时感知局部化学键属性与全局拓扑距离，将分子的多尺度结构信息映射到统一的高维表示空间。</w:t>
      </w:r>
    </w:p>
    <w:p>
      <w:pPr>
        <w:pStyle w:val="3"/>
      </w:pPr>
      <w:bookmarkStart w:id="40" w:name="_Toc229423331"/>
      <w:r>
        <w:rPr>
          <w:rFonts w:hint="eastAsia"/>
        </w:rPr>
        <w:t>大语言模型与提示词工程</w:t>
      </w:r>
      <w:bookmarkEnd w:id="40"/>
    </w:p>
    <w:p>
      <w:r>
        <w:t>在分子性质预测任务中，纯粹的结构表征往往局限于微观拓扑，难以直接映射到宏观的复杂药代动力学特性。大语言模型（Large Language Models, LLMs）通过在海量语料上进行无监督预训练，内部隐式地压缩了丰富的跨学科知识。本节将系统阐述大语言模型的底层架构、参数高效微调机制以及激发模型推理能力的思维链技术。</w:t>
      </w:r>
    </w:p>
    <w:p>
      <w:pPr>
        <w:pStyle w:val="4"/>
        <w:rPr>
          <w:rFonts w:hint="default"/>
        </w:rPr>
      </w:pPr>
      <w:bookmarkStart w:id="41" w:name="_Toc229423332"/>
      <w:r>
        <w:t>Transformer架构</w:t>
      </w:r>
      <w:bookmarkEnd w:id="41"/>
    </w:p>
    <w:p>
      <w:bookmarkStart w:id="42" w:name="OLE_LINK1"/>
      <w:r>
        <w:t>Vaswani等人在2017年的论文《Attention Is All You Need》中首次提出了Transformer</w:t>
      </w:r>
      <w:r>
        <w:rPr>
          <w:vertAlign w:val="superscript"/>
        </w:rPr>
        <w:fldChar w:fldCharType="begin"/>
      </w:r>
      <w:r>
        <w:rPr>
          <w:vertAlign w:val="superscript"/>
        </w:rPr>
        <w:instrText xml:space="preserve"> REF _Ref225763628 \r \h  \* MERGEFORMAT </w:instrText>
      </w:r>
      <w:r>
        <w:rPr>
          <w:vertAlign w:val="superscript"/>
        </w:rPr>
        <w:fldChar w:fldCharType="separate"/>
      </w:r>
      <w:r>
        <w:rPr>
          <w:vertAlign w:val="superscript"/>
        </w:rPr>
        <w:t>[51]</w:t>
      </w:r>
      <w:r>
        <w:rPr>
          <w:vertAlign w:val="superscript"/>
        </w:rPr>
        <w:fldChar w:fldCharType="end"/>
      </w:r>
      <w:r>
        <w:t>架构。该架构的核心是通过自注意力机制来建立输入序列内部的全局依赖关系</w:t>
      </w:r>
      <w:r>
        <w:rPr>
          <w:rFonts w:hint="eastAsia"/>
        </w:rPr>
        <w:t>，如</w:t>
      </w:r>
      <w:r>
        <w:fldChar w:fldCharType="begin"/>
      </w:r>
      <w:r>
        <w:instrText xml:space="preserve"> </w:instrText>
      </w:r>
      <w:r>
        <w:rPr>
          <w:rFonts w:hint="eastAsia"/>
        </w:rPr>
        <w:instrText xml:space="preserve">REF _Ref224304569 \h</w:instrText>
      </w:r>
      <w:r>
        <w:instrText xml:space="preserve"> </w:instrText>
      </w:r>
      <w:r>
        <w:fldChar w:fldCharType="separate"/>
      </w:r>
      <w:r>
        <w:rPr>
          <w:rFonts w:hint="eastAsia"/>
        </w:rPr>
        <w:t>图2-</w:t>
      </w:r>
      <w:r>
        <w:t>4</w:t>
      </w:r>
      <w:r>
        <w:fldChar w:fldCharType="end"/>
      </w:r>
      <w:r>
        <w:rPr>
          <w:rFonts w:hint="eastAsia"/>
        </w:rPr>
        <w:t>所示</w:t>
      </w:r>
      <w:r>
        <w:t>。相比于传统循环神经网络的递归计算与卷积神经网络的局部感受野范式，Transformer在处理序列数据时的性能得到了极大的提升。Transformer由编码器和解码器两部分组成，每一部分均由多层结构堆叠而成，而每一层又包含多个功能不同的</w:t>
      </w:r>
      <w:r>
        <w:rPr>
          <w:rFonts w:hint="eastAsia"/>
        </w:rPr>
        <w:t>子模块。</w:t>
      </w:r>
    </w:p>
    <w:p>
      <w:r>
        <w:t>Transformer架构采用了缩放点积注意力机制（Scaled Dot-Product Attention）作为最基本的计算单元。在给定输入序列的特征矩阵</w:t>
      </w:r>
      <w:r>
        <w:rPr>
          <w:position w:val="-4"/>
        </w:rPr>
        <w:object>
          <v:shape id="_x0000_i1088" o:spt="75" type="#_x0000_t75" style="height:13.2pt;width:13.2pt;" o:ole="t" filled="f" o:preferrelative="t" stroked="f" coordsize="21600,21600">
            <v:path/>
            <v:fill on="f" focussize="0,0"/>
            <v:stroke on="f" joinstyle="miter"/>
            <v:imagedata r:id="rId161" o:title=""/>
            <o:lock v:ext="edit" aspectratio="t"/>
            <w10:wrap type="none"/>
            <w10:anchorlock/>
          </v:shape>
          <o:OLEObject Type="Embed" ProgID="Equation.DSMT4" ShapeID="_x0000_i1088" DrawAspect="Content" ObjectID="_1468075788" r:id="rId160">
            <o:LockedField>false</o:LockedField>
          </o:OLEObject>
        </w:object>
      </w:r>
      <w:r>
        <w:t>的情况下，模型通过初始化三个可学习的参数矩阵</w:t>
      </w:r>
      <w:r>
        <w:rPr>
          <w:position w:val="-14"/>
        </w:rPr>
        <w:object>
          <v:shape id="_x0000_i1089" o:spt="75" type="#_x0000_t75" style="height:18pt;width:18pt;" o:ole="t" filled="f" o:preferrelative="t" stroked="f" coordsize="21600,21600">
            <v:path/>
            <v:fill on="f" focussize="0,0"/>
            <v:stroke on="f" joinstyle="miter"/>
            <v:imagedata r:id="rId163" o:title=""/>
            <o:lock v:ext="edit" aspectratio="t"/>
            <w10:wrap type="none"/>
            <w10:anchorlock/>
          </v:shape>
          <o:OLEObject Type="Embed" ProgID="Equation.DSMT4" ShapeID="_x0000_i1089" DrawAspect="Content" ObjectID="_1468075789" r:id="rId162">
            <o:LockedField>false</o:LockedField>
          </o:OLEObject>
        </w:object>
      </w:r>
      <w:r>
        <w:t>、</w:t>
      </w:r>
      <w:r>
        <w:rPr>
          <w:position w:val="-12"/>
        </w:rPr>
        <w:object>
          <v:shape id="_x0000_i1090" o:spt="75" type="#_x0000_t75" style="height:18pt;width:18pt;" o:ole="t" filled="f" o:preferrelative="t" stroked="f" coordsize="21600,21600">
            <v:path/>
            <v:fill on="f" focussize="0,0"/>
            <v:stroke on="f" joinstyle="miter"/>
            <v:imagedata r:id="rId165" o:title=""/>
            <o:lock v:ext="edit" aspectratio="t"/>
            <w10:wrap type="none"/>
            <w10:anchorlock/>
          </v:shape>
          <o:OLEObject Type="Embed" ProgID="Equation.DSMT4" ShapeID="_x0000_i1090" DrawAspect="Content" ObjectID="_1468075790" r:id="rId164">
            <o:LockedField>false</o:LockedField>
          </o:OLEObject>
        </w:object>
      </w:r>
      <w:r>
        <w:t>、</w:t>
      </w:r>
      <w:r>
        <w:rPr>
          <w:position w:val="-12"/>
        </w:rPr>
        <w:object>
          <v:shape id="_x0000_i1091" o:spt="75" type="#_x0000_t75" style="height:18pt;width:18pt;" o:ole="t" filled="f" o:preferrelative="t" stroked="f" coordsize="21600,21600">
            <v:path/>
            <v:fill on="f" focussize="0,0"/>
            <v:stroke on="f" joinstyle="miter"/>
            <v:imagedata r:id="rId167" o:title=""/>
            <o:lock v:ext="edit" aspectratio="t"/>
            <w10:wrap type="none"/>
            <w10:anchorlock/>
          </v:shape>
          <o:OLEObject Type="Embed" ProgID="Equation.DSMT4" ShapeID="_x0000_i1091" DrawAspect="Content" ObjectID="_1468075791" r:id="rId166">
            <o:LockedField>false</o:LockedField>
          </o:OLEObject>
        </w:object>
      </w:r>
      <w:r>
        <w:t>，将其分别投影为查询矩阵</w:t>
      </w:r>
      <w:r>
        <w:rPr>
          <w:position w:val="-10"/>
        </w:rPr>
        <w:object>
          <v:shape id="_x0000_i1092" o:spt="75" type="#_x0000_t75" style="height:15.6pt;width:13.2pt;" o:ole="t" filled="f" o:preferrelative="t" stroked="f" coordsize="21600,21600">
            <v:path/>
            <v:fill on="f" focussize="0,0"/>
            <v:stroke on="f" joinstyle="miter"/>
            <v:imagedata r:id="rId169" o:title=""/>
            <o:lock v:ext="edit" aspectratio="t"/>
            <w10:wrap type="none"/>
            <w10:anchorlock/>
          </v:shape>
          <o:OLEObject Type="Embed" ProgID="Equation.DSMT4" ShapeID="_x0000_i1092" DrawAspect="Content" ObjectID="_1468075792" r:id="rId168">
            <o:LockedField>false</o:LockedField>
          </o:OLEObject>
        </w:object>
      </w:r>
      <w:r>
        <w:t>（Query）、键矩阵</w:t>
      </w:r>
      <w:r>
        <w:rPr>
          <w:position w:val="-4"/>
        </w:rPr>
        <w:object>
          <v:shape id="_x0000_i1093" o:spt="75" type="#_x0000_t75" style="height:13.2pt;width:13.2pt;" o:ole="t" filled="f" o:preferrelative="t" stroked="f" coordsize="21600,21600">
            <v:path/>
            <v:fill on="f" focussize="0,0"/>
            <v:stroke on="f" joinstyle="miter"/>
            <v:imagedata r:id="rId171" o:title=""/>
            <o:lock v:ext="edit" aspectratio="t"/>
            <w10:wrap type="none"/>
            <w10:anchorlock/>
          </v:shape>
          <o:OLEObject Type="Embed" ProgID="Equation.DSMT4" ShapeID="_x0000_i1093" DrawAspect="Content" ObjectID="_1468075793" r:id="rId170">
            <o:LockedField>false</o:LockedField>
          </o:OLEObject>
        </w:object>
      </w:r>
      <w:r>
        <w:t>（Key）和值矩阵</w:t>
      </w:r>
      <w:r>
        <w:rPr>
          <w:position w:val="-6"/>
        </w:rPr>
        <w:object>
          <v:shape id="_x0000_i1094" o:spt="75" type="#_x0000_t75" style="height:13.2pt;width:13.2pt;" o:ole="t" filled="f" o:preferrelative="t" stroked="f" coordsize="21600,21600">
            <v:path/>
            <v:fill on="f" focussize="0,0"/>
            <v:stroke on="f" joinstyle="miter"/>
            <v:imagedata r:id="rId173" o:title=""/>
            <o:lock v:ext="edit" aspectratio="t"/>
            <w10:wrap type="none"/>
            <w10:anchorlock/>
          </v:shape>
          <o:OLEObject Type="Embed" ProgID="Equation.DSMT4" ShapeID="_x0000_i1094" DrawAspect="Content" ObjectID="_1468075794" r:id="rId172">
            <o:LockedField>false</o:LockedField>
          </o:OLEObject>
        </w:object>
      </w:r>
      <w:r>
        <w:t>（Value）。通过这三个矩阵，可得注意力权重的计算公式：</w:t>
      </w:r>
    </w:p>
    <w:p>
      <w:pPr>
        <w:pStyle w:val="44"/>
        <w:spacing w:before="326" w:after="326"/>
      </w:pPr>
      <w:r>
        <w:tab/>
      </w:r>
      <w:r>
        <w:rPr>
          <w:position w:val="-36"/>
        </w:rPr>
        <w:object>
          <v:shape id="_x0000_i1095" o:spt="75" type="#_x0000_t75" style="height:40.8pt;width:193.8pt;" o:ole="t" filled="f" o:preferrelative="t" stroked="f" coordsize="21600,21600">
            <v:path/>
            <v:fill on="f" focussize="0,0"/>
            <v:stroke on="f" joinstyle="miter"/>
            <v:imagedata r:id="rId175" o:title=""/>
            <o:lock v:ext="edit" aspectratio="t"/>
            <w10:wrap type="none"/>
            <w10:anchorlock/>
          </v:shape>
          <o:OLEObject Type="Embed" ProgID="Equation.DSMT4" ShapeID="_x0000_i1095" DrawAspect="Content" ObjectID="_1468075795" r:id="rId17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r>
        <w:t>其中，矩阵乘法</w:t>
      </w:r>
      <w:r>
        <w:rPr>
          <w:position w:val="-10"/>
        </w:rPr>
        <w:object>
          <v:shape id="_x0000_i1096" o:spt="75" type="#_x0000_t75" style="height:18pt;width:27pt;" o:ole="t" filled="f" o:preferrelative="t" stroked="f" coordsize="21600,21600">
            <v:path/>
            <v:fill on="f" focussize="0,0"/>
            <v:stroke on="f" joinstyle="miter"/>
            <v:imagedata r:id="rId177" o:title=""/>
            <o:lock v:ext="edit" aspectratio="t"/>
            <w10:wrap type="none"/>
            <w10:anchorlock/>
          </v:shape>
          <o:OLEObject Type="Embed" ProgID="Equation.DSMT4" ShapeID="_x0000_i1096" DrawAspect="Content" ObjectID="_1468075796" r:id="rId176">
            <o:LockedField>false</o:LockedField>
          </o:OLEObject>
        </w:object>
      </w:r>
      <w:r>
        <w:t>计算序列中任意两个特征元素之间的内积相似度；除以缩放因子</w:t>
      </w:r>
      <w:r>
        <w:rPr>
          <w:position w:val="-14"/>
        </w:rPr>
        <w:object>
          <v:shape id="_x0000_i1097" o:spt="75" type="#_x0000_t75" style="height:22.2pt;width:24.6pt;" o:ole="t" filled="f" o:preferrelative="t" stroked="f" coordsize="21600,21600">
            <v:path/>
            <v:fill on="f" focussize="0,0"/>
            <v:stroke on="f" joinstyle="miter"/>
            <v:imagedata r:id="rId179" o:title=""/>
            <o:lock v:ext="edit" aspectratio="t"/>
            <w10:wrap type="none"/>
            <w10:anchorlock/>
          </v:shape>
          <o:OLEObject Type="Embed" ProgID="Equation.DSMT4" ShapeID="_x0000_i1097" DrawAspect="Content" ObjectID="_1468075797" r:id="rId178">
            <o:LockedField>false</o:LockedField>
          </o:OLEObject>
        </w:object>
      </w:r>
      <w:r>
        <w:t>是为了防止特征维度较高时内积数值过大，</w:t>
      </w:r>
      <w:r>
        <w:rPr>
          <w:rFonts w:hint="eastAsia"/>
        </w:rPr>
        <w:t>导致梯度不稳定进而难以计算；</w:t>
      </w:r>
      <w:r>
        <w:t>Softmax操作将相似度矩阵转化为归一化的概率分布，并与值矩阵</w:t>
      </w:r>
      <w:r>
        <w:rPr>
          <w:position w:val="-6"/>
        </w:rPr>
        <w:object>
          <v:shape id="_x0000_i1098" o:spt="75" type="#_x0000_t75" style="height:13.2pt;width:13.2pt;" o:ole="t" filled="f" o:preferrelative="t" stroked="f" coordsize="21600,21600">
            <v:path/>
            <v:fill on="f" focussize="0,0"/>
            <v:stroke on="f" joinstyle="miter"/>
            <v:imagedata r:id="rId181" o:title=""/>
            <o:lock v:ext="edit" aspectratio="t"/>
            <w10:wrap type="none"/>
            <w10:anchorlock/>
          </v:shape>
          <o:OLEObject Type="Embed" ProgID="Equation.DSMT4" ShapeID="_x0000_i1098" DrawAspect="Content" ObjectID="_1468075798" r:id="rId180">
            <o:LockedField>false</o:LockedField>
          </o:OLEObject>
        </w:object>
      </w:r>
      <w:r>
        <w:t>进行加权求和，以此实现全局信息的动态提取。</w:t>
      </w:r>
    </w:p>
    <w:p>
      <w:r>
        <w:t>为了使模型能够</w:t>
      </w:r>
      <w:r>
        <w:rPr>
          <w:rFonts w:hint="eastAsia"/>
        </w:rPr>
        <w:t>同时</w:t>
      </w:r>
      <w:r>
        <w:t>从多个不同的特征子空间中捕捉信息，Vaswani等人将Transformer中的自注意力机制</w:t>
      </w:r>
      <w:r>
        <w:rPr>
          <w:rFonts w:hint="eastAsia"/>
        </w:rPr>
        <w:t>进一步</w:t>
      </w:r>
      <w:r>
        <w:t>扩展为多头注意力机制</w:t>
      </w:r>
      <w:r>
        <w:rPr>
          <w:rFonts w:hint="eastAsia"/>
        </w:rPr>
        <w:t>，如公式</w:t>
      </w:r>
      <w:r>
        <w:rPr>
          <w:iCs/>
        </w:rPr>
        <w:fldChar w:fldCharType="begin"/>
      </w:r>
      <w:r>
        <w:rPr>
          <w:iCs/>
        </w:rPr>
        <w:instrText xml:space="preserve"> </w:instrText>
      </w:r>
      <w:r>
        <w:rPr>
          <w:rFonts w:hint="eastAsia"/>
          <w:iCs/>
        </w:rPr>
        <w:instrText xml:space="preserve">GOTOBUTTON ZEqnNum104716  \* MERGEFORMAT</w:instrText>
      </w:r>
      <w:r>
        <w:rPr>
          <w:iCs/>
        </w:rPr>
        <w:instrText xml:space="preserve"> </w:instrText>
      </w:r>
      <w:r>
        <w:rPr>
          <w:iCs/>
        </w:rPr>
        <w:fldChar w:fldCharType="begin"/>
      </w:r>
      <w:r>
        <w:rPr>
          <w:iCs/>
        </w:rPr>
        <w:instrText xml:space="preserve"> REF ZEqnNum104716 \* Charformat \! \* MERGEFORMAT </w:instrText>
      </w:r>
      <w:r>
        <w:rPr>
          <w:iCs/>
        </w:rPr>
        <w:fldChar w:fldCharType="separate"/>
      </w:r>
      <w:r>
        <w:rPr>
          <w:iCs/>
        </w:rPr>
        <w:instrText xml:space="preserve">(2-15)</w:instrText>
      </w:r>
      <w:r>
        <w:rPr>
          <w:iCs/>
        </w:rPr>
        <w:fldChar w:fldCharType="end"/>
      </w:r>
      <w:r>
        <w:rPr>
          <w:iCs/>
        </w:rPr>
        <w:fldChar w:fldCharType="end"/>
      </w:r>
      <w:r>
        <w:rPr>
          <w:rFonts w:hint="eastAsia"/>
          <w:iCs/>
        </w:rPr>
        <w:t>所示</w:t>
      </w:r>
      <w:r>
        <w:t>。模型将</w:t>
      </w:r>
      <w:r>
        <w:rPr>
          <w:position w:val="-14"/>
        </w:rPr>
        <w:object>
          <v:shape id="_x0000_i1099" o:spt="75" type="#_x0000_t75" style="height:18pt;width:18pt;" o:ole="t" filled="f" o:preferrelative="t" stroked="f" coordsize="21600,21600">
            <v:path/>
            <v:fill on="f" focussize="0,0"/>
            <v:stroke on="f" joinstyle="miter"/>
            <v:imagedata r:id="rId183" o:title=""/>
            <o:lock v:ext="edit" aspectratio="t"/>
            <w10:wrap type="none"/>
            <w10:anchorlock/>
          </v:shape>
          <o:OLEObject Type="Embed" ProgID="Equation.DSMT4" ShapeID="_x0000_i1099" DrawAspect="Content" ObjectID="_1468075799" r:id="rId182">
            <o:LockedField>false</o:LockedField>
          </o:OLEObject>
        </w:object>
      </w:r>
      <w:r>
        <w:t>、</w:t>
      </w:r>
      <w:r>
        <w:rPr>
          <w:position w:val="-12"/>
        </w:rPr>
        <w:object>
          <v:shape id="_x0000_i1100" o:spt="75" type="#_x0000_t75" style="height:18pt;width:18pt;" o:ole="t" filled="f" o:preferrelative="t" stroked="f" coordsize="21600,21600">
            <v:path/>
            <v:fill on="f" focussize="0,0"/>
            <v:stroke on="f" joinstyle="miter"/>
            <v:imagedata r:id="rId185" o:title=""/>
            <o:lock v:ext="edit" aspectratio="t"/>
            <w10:wrap type="none"/>
            <w10:anchorlock/>
          </v:shape>
          <o:OLEObject Type="Embed" ProgID="Equation.DSMT4" ShapeID="_x0000_i1100" DrawAspect="Content" ObjectID="_1468075800" r:id="rId184">
            <o:LockedField>false</o:LockedField>
          </o:OLEObject>
        </w:object>
      </w:r>
      <w:r>
        <w:t>、</w:t>
      </w:r>
      <w:r>
        <w:rPr>
          <w:position w:val="-12"/>
        </w:rPr>
        <w:object>
          <v:shape id="_x0000_i1101" o:spt="75" type="#_x0000_t75" style="height:18pt;width:18pt;" o:ole="t" filled="f" o:preferrelative="t" stroked="f" coordsize="21600,21600">
            <v:path/>
            <v:fill on="f" focussize="0,0"/>
            <v:stroke on="f" joinstyle="miter"/>
            <v:imagedata r:id="rId187" o:title=""/>
            <o:lock v:ext="edit" aspectratio="t"/>
            <w10:wrap type="none"/>
            <w10:anchorlock/>
          </v:shape>
          <o:OLEObject Type="Embed" ProgID="Equation.DSMT4" ShapeID="_x0000_i1101" DrawAspect="Content" ObjectID="_1468075801" r:id="rId186">
            <o:LockedField>false</o:LockedField>
          </o:OLEObject>
        </w:object>
      </w:r>
      <w:r>
        <w:t>并行投影至</w:t>
      </w:r>
      <w:r>
        <w:rPr>
          <w:position w:val="-6"/>
        </w:rPr>
        <w:object>
          <v:shape id="_x0000_i1102" o:spt="75" type="#_x0000_t75" style="height:13.2pt;width:9.6pt;" o:ole="t" filled="f" o:preferrelative="t" stroked="f" coordsize="21600,21600">
            <v:path/>
            <v:fill on="f" focussize="0,0"/>
            <v:stroke on="f" joinstyle="miter"/>
            <v:imagedata r:id="rId189" o:title=""/>
            <o:lock v:ext="edit" aspectratio="t"/>
            <w10:wrap type="none"/>
            <w10:anchorlock/>
          </v:shape>
          <o:OLEObject Type="Embed" ProgID="Equation.DSMT4" ShapeID="_x0000_i1102" DrawAspect="Content" ObjectID="_1468075802" r:id="rId188">
            <o:LockedField>false</o:LockedField>
          </o:OLEObject>
        </w:object>
      </w:r>
      <w:r>
        <w:t>个低维特征</w:t>
      </w:r>
      <w:r>
        <w:rPr>
          <w:rFonts w:hint="eastAsia"/>
        </w:rPr>
        <w:t>子</w:t>
      </w:r>
      <w:r>
        <w:t>空间，</w:t>
      </w:r>
      <w:r>
        <w:rPr>
          <w:rFonts w:hint="eastAsia"/>
        </w:rPr>
        <w:t>在每个子空间中</w:t>
      </w:r>
      <w:r>
        <w:t>分别进行缩放点积注意力计算，随后将各个头的输出拼接，并经过一次线性变换还原维度：</w:t>
      </w:r>
    </w:p>
    <w:p>
      <w:pPr>
        <w:pStyle w:val="44"/>
        <w:spacing w:before="326" w:after="326"/>
      </w:pPr>
      <w:r>
        <w:tab/>
      </w:r>
      <w:r>
        <w:rPr>
          <w:position w:val="-12"/>
        </w:rPr>
        <w:object>
          <v:shape id="_x0000_i1103" o:spt="75" type="#_x0000_t75" style="height:18pt;width:246pt;" o:ole="t" filled="f" o:preferrelative="t" stroked="f" coordsize="21600,21600">
            <v:path/>
            <v:fill on="f" focussize="0,0"/>
            <v:stroke on="f" joinstyle="miter"/>
            <v:imagedata r:id="rId191" o:title=""/>
            <o:lock v:ext="edit" aspectratio="t"/>
            <w10:wrap type="none"/>
            <w10:anchorlock/>
          </v:shape>
          <o:OLEObject Type="Embed" ProgID="Equation.DSMT4" ShapeID="_x0000_i1103" DrawAspect="Content" ObjectID="_1468075803" r:id="rId19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3" w:name="ZEqnNum104716"/>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bookmarkEnd w:id="43"/>
      <w:r>
        <w:fldChar w:fldCharType="end"/>
      </w:r>
    </w:p>
    <w:p>
      <w:pPr>
        <w:pStyle w:val="44"/>
        <w:spacing w:before="326" w:after="326"/>
      </w:pPr>
      <w:r>
        <w:tab/>
      </w:r>
      <w:r>
        <w:rPr>
          <w:position w:val="-14"/>
        </w:rPr>
        <w:object>
          <v:shape id="_x0000_i1104" o:spt="75" type="#_x0000_t75" style="height:22.2pt;width:193.2pt;" o:ole="t" filled="f" o:preferrelative="t" stroked="f" coordsize="21600,21600">
            <v:path/>
            <v:fill on="f" focussize="0,0"/>
            <v:stroke on="f" joinstyle="miter"/>
            <v:imagedata r:id="rId193" o:title=""/>
            <o:lock v:ext="edit" aspectratio="t"/>
            <w10:wrap type="none"/>
            <w10:anchorlock/>
          </v:shape>
          <o:OLEObject Type="Embed" ProgID="Equation.DSMT4" ShapeID="_x0000_i1104" DrawAspect="Content" ObjectID="_1468075804" r:id="rId19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r>
        <w:t>其中</w:t>
      </w:r>
      <w:r>
        <w:rPr>
          <w:rFonts w:hint="eastAsia"/>
        </w:rPr>
        <w:t>，</w:t>
      </w:r>
      <w:r>
        <w:rPr>
          <w:position w:val="-14"/>
        </w:rPr>
        <w:object>
          <v:shape id="_x0000_i1105" o:spt="75" type="#_x0000_t75" style="height:22.2pt;width:21.6pt;" o:ole="t" filled="f" o:preferrelative="t" stroked="f" coordsize="21600,21600">
            <v:path/>
            <v:fill on="f" focussize="0,0"/>
            <v:stroke on="f" joinstyle="miter"/>
            <v:imagedata r:id="rId195" o:title=""/>
            <o:lock v:ext="edit" aspectratio="t"/>
            <w10:wrap type="none"/>
            <w10:anchorlock/>
          </v:shape>
          <o:OLEObject Type="Embed" ProgID="Equation.DSMT4" ShapeID="_x0000_i1105" DrawAspect="Content" ObjectID="_1468075805" r:id="rId194">
            <o:LockedField>false</o:LockedField>
          </o:OLEObject>
        </w:object>
      </w:r>
      <w:r>
        <w:rPr>
          <w:rFonts w:hint="eastAsia"/>
        </w:rPr>
        <w:t>、</w:t>
      </w:r>
      <w:r>
        <w:rPr>
          <w:position w:val="-12"/>
        </w:rPr>
        <w:object>
          <v:shape id="_x0000_i1106" o:spt="75" type="#_x0000_t75" style="height:18pt;width:21.6pt;" o:ole="t" filled="f" o:preferrelative="t" stroked="f" coordsize="21600,21600">
            <v:path/>
            <v:fill on="f" focussize="0,0"/>
            <v:stroke on="f" joinstyle="miter"/>
            <v:imagedata r:id="rId197" o:title=""/>
            <o:lock v:ext="edit" aspectratio="t"/>
            <w10:wrap type="none"/>
            <w10:anchorlock/>
          </v:shape>
          <o:OLEObject Type="Embed" ProgID="Equation.DSMT4" ShapeID="_x0000_i1106" DrawAspect="Content" ObjectID="_1468075806" r:id="rId196">
            <o:LockedField>false</o:LockedField>
          </o:OLEObject>
        </w:object>
      </w:r>
      <w:r>
        <w:rPr>
          <w:rFonts w:hint="eastAsia"/>
        </w:rPr>
        <w:t>、</w:t>
      </w:r>
      <w:r>
        <w:rPr>
          <w:position w:val="-12"/>
        </w:rPr>
        <w:object>
          <v:shape id="_x0000_i1107" o:spt="75" type="#_x0000_t75" style="height:18pt;width:21.6pt;" o:ole="t" filled="f" o:preferrelative="t" stroked="f" coordsize="21600,21600">
            <v:path/>
            <v:fill on="f" focussize="0,0"/>
            <v:stroke on="f" joinstyle="miter"/>
            <v:imagedata r:id="rId199" o:title=""/>
            <o:lock v:ext="edit" aspectratio="t"/>
            <w10:wrap type="none"/>
            <w10:anchorlock/>
          </v:shape>
          <o:OLEObject Type="Embed" ProgID="Equation.DSMT4" ShapeID="_x0000_i1107" DrawAspect="Content" ObjectID="_1468075807" r:id="rId198">
            <o:LockedField>false</o:LockedField>
          </o:OLEObject>
        </w:object>
      </w:r>
      <w:r>
        <w:rPr>
          <w:rFonts w:hint="eastAsia"/>
        </w:rPr>
        <w:t>是索引为</w:t>
      </w:r>
      <w:r>
        <w:rPr>
          <w:position w:val="-6"/>
        </w:rPr>
        <w:object>
          <v:shape id="_x0000_i1108" o:spt="75" type="#_x0000_t75" style="height:13.2pt;width:5.4pt;" o:ole="t" filled="f" o:preferrelative="t" stroked="f" coordsize="21600,21600">
            <v:path/>
            <v:fill on="f" focussize="0,0"/>
            <v:stroke on="f" joinstyle="miter"/>
            <v:imagedata r:id="rId201" o:title=""/>
            <o:lock v:ext="edit" aspectratio="t"/>
            <w10:wrap type="none"/>
            <w10:anchorlock/>
          </v:shape>
          <o:OLEObject Type="Embed" ProgID="Equation.DSMT4" ShapeID="_x0000_i1108" DrawAspect="Content" ObjectID="_1468075808" r:id="rId200">
            <o:LockedField>false</o:LockedField>
          </o:OLEObject>
        </w:object>
      </w:r>
      <w:r>
        <w:rPr>
          <w:rFonts w:hint="eastAsia"/>
        </w:rPr>
        <w:t>的注意力头的投影矩阵，</w:t>
      </w:r>
      <w:r>
        <w:rPr>
          <w:position w:val="-6"/>
        </w:rPr>
        <w:object>
          <v:shape id="_x0000_i1109" o:spt="75" type="#_x0000_t75" style="height:15.6pt;width:73.8pt;" o:ole="t" filled="f" o:preferrelative="t" stroked="f" coordsize="21600,21600">
            <v:path/>
            <v:fill on="f" focussize="0,0"/>
            <v:stroke on="f" joinstyle="miter"/>
            <v:imagedata r:id="rId203" o:title=""/>
            <o:lock v:ext="edit" aspectratio="t"/>
            <w10:wrap type="none"/>
            <w10:anchorlock/>
          </v:shape>
          <o:OLEObject Type="Embed" ProgID="Equation.DSMT4" ShapeID="_x0000_i1109" DrawAspect="Content" ObjectID="_1468075809" r:id="rId202">
            <o:LockedField>false</o:LockedField>
          </o:OLEObject>
        </w:object>
      </w:r>
      <w:r>
        <w:rPr>
          <w:rFonts w:hint="eastAsia"/>
        </w:rPr>
        <w:t>为输出投影矩阵。</w:t>
      </w:r>
      <w:r>
        <w:t>多头</w:t>
      </w:r>
      <w:r>
        <w:rPr>
          <w:rFonts w:hint="eastAsia"/>
        </w:rPr>
        <w:t>注意力</w:t>
      </w:r>
      <w:r>
        <w:t>机制显著提升了模型的特征</w:t>
      </w:r>
      <w:r>
        <w:rPr>
          <w:rFonts w:hint="eastAsia"/>
        </w:rPr>
        <w:t>表达能力</w:t>
      </w:r>
      <w:r>
        <w:t>，使其能够更好地捕获复杂的语法结构与深层语义。在多头注意力层之后，Transformer对序列中的每个位置独立应用了一个全连接的前馈神经网络（</w:t>
      </w:r>
      <w:r>
        <w:rPr>
          <w:rFonts w:hint="eastAsia"/>
        </w:rPr>
        <w:t xml:space="preserve">Position-wise Feed-Forward Network, </w:t>
      </w:r>
      <w:r>
        <w:t>FFN），以引入必要的非线性变换。该网络通常包含两层线性映射与一个ReLU</w:t>
      </w:r>
      <w:r>
        <w:rPr>
          <w:vertAlign w:val="superscript"/>
        </w:rPr>
        <w:fldChar w:fldCharType="begin"/>
      </w:r>
      <w:r>
        <w:rPr>
          <w:vertAlign w:val="superscript"/>
        </w:rPr>
        <w:instrText xml:space="preserve"> REF _Ref225763747 \r \h  \* MERGEFORMAT </w:instrText>
      </w:r>
      <w:r>
        <w:rPr>
          <w:vertAlign w:val="superscript"/>
        </w:rPr>
        <w:fldChar w:fldCharType="separate"/>
      </w:r>
      <w:r>
        <w:rPr>
          <w:vertAlign w:val="superscript"/>
        </w:rPr>
        <w:t>[52]</w:t>
      </w:r>
      <w:r>
        <w:rPr>
          <w:vertAlign w:val="superscript"/>
        </w:rPr>
        <w:fldChar w:fldCharType="end"/>
      </w:r>
      <w:r>
        <w:t>激活函数</w:t>
      </w:r>
      <w:r>
        <w:rPr>
          <w:rFonts w:hint="eastAsia"/>
        </w:rPr>
        <w:t>，如公式</w:t>
      </w:r>
      <w:r>
        <w:rPr>
          <w:iCs/>
        </w:rPr>
        <w:fldChar w:fldCharType="begin"/>
      </w:r>
      <w:r>
        <w:rPr>
          <w:iCs/>
        </w:rPr>
        <w:instrText xml:space="preserve"> </w:instrText>
      </w:r>
      <w:r>
        <w:rPr>
          <w:rFonts w:hint="eastAsia"/>
          <w:iCs/>
        </w:rPr>
        <w:instrText xml:space="preserve">GOTOBUTTON ZEqnNum840977  \* MERGEFORMAT</w:instrText>
      </w:r>
      <w:r>
        <w:rPr>
          <w:iCs/>
        </w:rPr>
        <w:instrText xml:space="preserve"> </w:instrText>
      </w:r>
      <w:r>
        <w:rPr>
          <w:iCs/>
        </w:rPr>
        <w:fldChar w:fldCharType="begin"/>
      </w:r>
      <w:r>
        <w:rPr>
          <w:iCs/>
        </w:rPr>
        <w:instrText xml:space="preserve"> REF ZEqnNum840977 \* Charformat \! \* MERGEFORMAT </w:instrText>
      </w:r>
      <w:r>
        <w:rPr>
          <w:iCs/>
        </w:rPr>
        <w:fldChar w:fldCharType="separate"/>
      </w:r>
      <w:r>
        <w:rPr>
          <w:iCs/>
        </w:rPr>
        <w:instrText xml:space="preserve">(2-17)</w:instrText>
      </w:r>
      <w:r>
        <w:rPr>
          <w:iCs/>
        </w:rPr>
        <w:fldChar w:fldCharType="end"/>
      </w:r>
      <w:r>
        <w:rPr>
          <w:iCs/>
        </w:rPr>
        <w:fldChar w:fldCharType="end"/>
      </w:r>
      <w:r>
        <w:rPr>
          <w:rFonts w:hint="eastAsia"/>
          <w:iCs/>
        </w:rPr>
        <w:t>所示</w:t>
      </w:r>
      <w:r>
        <w:rPr>
          <w:rFonts w:hint="eastAsia"/>
        </w:rPr>
        <w:t>：</w:t>
      </w:r>
    </w:p>
    <w:p>
      <w:pPr>
        <w:pStyle w:val="44"/>
        <w:spacing w:before="326" w:after="326"/>
      </w:pPr>
      <w:r>
        <w:tab/>
      </w:r>
      <w:r>
        <w:rPr>
          <w:position w:val="-12"/>
        </w:rPr>
        <w:object>
          <v:shape id="_x0000_i1110" o:spt="75" type="#_x0000_t75" style="height:18pt;width:162pt;" o:ole="t" filled="f" o:preferrelative="t" stroked="f" coordsize="21600,21600">
            <v:path/>
            <v:fill on="f" focussize="0,0"/>
            <v:stroke on="f" joinstyle="miter"/>
            <v:imagedata r:id="rId205" o:title=""/>
            <o:lock v:ext="edit" aspectratio="t"/>
            <w10:wrap type="none"/>
            <w10:anchorlock/>
          </v:shape>
          <o:OLEObject Type="Embed" ProgID="Equation.DSMT4" ShapeID="_x0000_i1110" DrawAspect="Content" ObjectID="_1468075810" r:id="rId20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4" w:name="ZEqnNum840977"/>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17</w:instrText>
      </w:r>
      <w:r>
        <w:fldChar w:fldCharType="end"/>
      </w:r>
      <w:r>
        <w:instrText xml:space="preserve">)</w:instrText>
      </w:r>
      <w:bookmarkEnd w:id="44"/>
      <w:r>
        <w:fldChar w:fldCharType="end"/>
      </w:r>
    </w:p>
    <w:p>
      <w:r>
        <w:t>其中</w:t>
      </w:r>
      <w:r>
        <w:rPr>
          <w:position w:val="-12"/>
        </w:rPr>
        <w:object>
          <v:shape id="_x0000_i1111" o:spt="75" type="#_x0000_t75" style="height:18pt;width:17.4pt;" o:ole="t" filled="f" o:preferrelative="t" stroked="f" coordsize="21600,21600">
            <v:path/>
            <v:fill on="f" focussize="0,0"/>
            <v:stroke on="f" joinstyle="miter"/>
            <v:imagedata r:id="rId207" o:title=""/>
            <o:lock v:ext="edit" aspectratio="t"/>
            <w10:wrap type="none"/>
            <w10:anchorlock/>
          </v:shape>
          <o:OLEObject Type="Embed" ProgID="Equation.DSMT4" ShapeID="_x0000_i1111" DrawAspect="Content" ObjectID="_1468075811" r:id="rId206">
            <o:LockedField>false</o:LockedField>
          </o:OLEObject>
        </w:object>
      </w:r>
      <w:r>
        <w:t>用于将特征维度</w:t>
      </w:r>
      <w:r>
        <w:rPr>
          <w:rFonts w:hint="eastAsia"/>
        </w:rPr>
        <w:t>从</w:t>
      </w:r>
      <w:r>
        <w:rPr>
          <w:position w:val="-12"/>
        </w:rPr>
        <w:object>
          <v:shape id="_x0000_i1112" o:spt="75" type="#_x0000_t75" style="height:18pt;width:27pt;" o:ole="t" filled="f" o:preferrelative="t" stroked="f" coordsize="21600,21600">
            <v:path/>
            <v:fill on="f" focussize="0,0"/>
            <v:stroke on="f" joinstyle="miter"/>
            <v:imagedata r:id="rId209" o:title=""/>
            <o:lock v:ext="edit" aspectratio="t"/>
            <w10:wrap type="none"/>
            <w10:anchorlock/>
          </v:shape>
          <o:OLEObject Type="Embed" ProgID="Equation.DSMT4" ShapeID="_x0000_i1112" DrawAspect="Content" ObjectID="_1468075812" r:id="rId208">
            <o:LockedField>false</o:LockedField>
          </o:OLEObject>
        </w:object>
      </w:r>
      <w:r>
        <w:t>扩展</w:t>
      </w:r>
      <w:r>
        <w:rPr>
          <w:rFonts w:hint="eastAsia"/>
        </w:rPr>
        <w:t>至更高的维度</w:t>
      </w:r>
      <w:r>
        <w:t>，而</w:t>
      </w:r>
      <w:r>
        <w:rPr>
          <w:position w:val="-12"/>
        </w:rPr>
        <w:object>
          <v:shape id="_x0000_i1113" o:spt="75" type="#_x0000_t75" style="height:18pt;width:15.6pt;" o:ole="t" filled="f" o:preferrelative="t" stroked="f" coordsize="21600,21600">
            <v:path/>
            <v:fill on="f" focussize="0,0"/>
            <v:stroke on="f" joinstyle="miter"/>
            <v:imagedata r:id="rId211" o:title=""/>
            <o:lock v:ext="edit" aspectratio="t"/>
            <w10:wrap type="none"/>
            <w10:anchorlock/>
          </v:shape>
          <o:OLEObject Type="Embed" ProgID="Equation.DSMT4" ShapeID="_x0000_i1113" DrawAspect="Content" ObjectID="_1468075813" r:id="rId210">
            <o:LockedField>false</o:LockedField>
          </o:OLEObject>
        </w:object>
      </w:r>
      <w:r>
        <w:t>则将其映射回原始维度</w:t>
      </w:r>
      <w:r>
        <w:rPr>
          <w:position w:val="-12"/>
        </w:rPr>
        <w:object>
          <v:shape id="_x0000_i1114" o:spt="75" type="#_x0000_t75" style="height:18pt;width:27pt;" o:ole="t" filled="f" o:preferrelative="t" stroked="f" coordsize="21600,21600">
            <v:path/>
            <v:fill on="f" focussize="0,0"/>
            <v:stroke on="f" joinstyle="miter"/>
            <v:imagedata r:id="rId213" o:title=""/>
            <o:lock v:ext="edit" aspectratio="t"/>
            <w10:wrap type="none"/>
            <w10:anchorlock/>
          </v:shape>
          <o:OLEObject Type="Embed" ProgID="Equation.DSMT4" ShapeID="_x0000_i1114" DrawAspect="Content" ObjectID="_1468075814" r:id="rId212">
            <o:LockedField>false</o:LockedField>
          </o:OLEObject>
        </w:object>
      </w:r>
      <w:r>
        <w:rPr>
          <w:rFonts w:hint="eastAsia"/>
        </w:rPr>
        <w:t>，两次线性变换结合激活函数共同实现对每个位置特征的非线性变换。最后会进入一个SoftMax函数得到最终的输出结果。</w:t>
      </w:r>
    </w:p>
    <w:p/>
    <w:bookmarkEnd w:id="42"/>
    <w:p>
      <w:pPr>
        <w:ind w:firstLine="0" w:firstLineChars="0"/>
        <w:jc w:val="center"/>
      </w:pPr>
      <w:r>
        <w:rPr>
          <w:rFonts w:hint="eastAsia"/>
        </w:rPr>
        <w:drawing>
          <wp:inline distT="0" distB="0" distL="0" distR="0">
            <wp:extent cx="4752340" cy="2989580"/>
            <wp:effectExtent l="0" t="0" r="0" b="1270"/>
            <wp:docPr id="1238169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9152" name="图片 2"/>
                    <pic:cNvPicPr>
                      <a:picLocks noChangeAspect="1"/>
                    </pic:cNvPicPr>
                  </pic:nvPicPr>
                  <pic:blipFill>
                    <a:blip r:embed="rId214">
                      <a:extLst>
                        <a:ext uri="{28A0092B-C50C-407E-A947-70E740481C1C}">
                          <a14:useLocalDpi xmlns:a14="http://schemas.microsoft.com/office/drawing/2010/main" val="0"/>
                        </a:ext>
                      </a:extLst>
                    </a:blip>
                    <a:stretch>
                      <a:fillRect/>
                    </a:stretch>
                  </pic:blipFill>
                  <pic:spPr>
                    <a:xfrm>
                      <a:off x="0" y="0"/>
                      <a:ext cx="4846104" cy="3048507"/>
                    </a:xfrm>
                    <a:prstGeom prst="rect">
                      <a:avLst/>
                    </a:prstGeom>
                  </pic:spPr>
                </pic:pic>
              </a:graphicData>
            </a:graphic>
          </wp:inline>
        </w:drawing>
      </w:r>
    </w:p>
    <w:p>
      <w:pPr>
        <w:pStyle w:val="11"/>
        <w:rPr>
          <w:vertAlign w:val="superscript"/>
        </w:rPr>
      </w:pPr>
      <w:bookmarkStart w:id="45" w:name="_Ref224304569"/>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4</w:t>
      </w:r>
      <w:r>
        <w:fldChar w:fldCharType="end"/>
      </w:r>
      <w:bookmarkEnd w:id="45"/>
      <w:r>
        <w:rPr>
          <w:rFonts w:hint="eastAsia"/>
        </w:rPr>
        <w:t xml:space="preserve"> Transformer架构</w:t>
      </w:r>
      <w:r>
        <w:rPr>
          <w:vertAlign w:val="superscript"/>
        </w:rPr>
        <w:fldChar w:fldCharType="begin"/>
      </w:r>
      <w:r>
        <w:rPr>
          <w:vertAlign w:val="superscript"/>
        </w:rPr>
        <w:instrText xml:space="preserve"> REF _Ref225763628 \r \h  \* MERGEFORMAT </w:instrText>
      </w:r>
      <w:r>
        <w:rPr>
          <w:vertAlign w:val="superscript"/>
        </w:rPr>
        <w:fldChar w:fldCharType="separate"/>
      </w:r>
      <w:r>
        <w:rPr>
          <w:vertAlign w:val="superscript"/>
        </w:rPr>
        <w:t>[51]</w:t>
      </w:r>
      <w:r>
        <w:rPr>
          <w:vertAlign w:val="superscript"/>
        </w:rPr>
        <w:fldChar w:fldCharType="end"/>
      </w:r>
    </w:p>
    <w:p/>
    <w:p>
      <w:pPr>
        <w:pStyle w:val="4"/>
        <w:rPr>
          <w:rFonts w:hint="default"/>
        </w:rPr>
      </w:pPr>
      <w:bookmarkStart w:id="46" w:name="_Toc229423333"/>
      <w:r>
        <w:t>LoRA技术</w:t>
      </w:r>
      <w:bookmarkEnd w:id="46"/>
    </w:p>
    <w:p>
      <w:r>
        <w:t>低秩自适应</w:t>
      </w:r>
      <w:r>
        <w:rPr>
          <w:vertAlign w:val="superscript"/>
        </w:rPr>
        <w:fldChar w:fldCharType="begin"/>
      </w:r>
      <w:r>
        <w:rPr>
          <w:vertAlign w:val="superscript"/>
        </w:rPr>
        <w:instrText xml:space="preserve"> REF _Ref225763766 \r \h  \* MERGEFORMAT </w:instrText>
      </w:r>
      <w:r>
        <w:rPr>
          <w:vertAlign w:val="superscript"/>
        </w:rPr>
        <w:fldChar w:fldCharType="separate"/>
      </w:r>
      <w:r>
        <w:rPr>
          <w:vertAlign w:val="superscript"/>
        </w:rPr>
        <w:t>[53]</w:t>
      </w:r>
      <w:r>
        <w:rPr>
          <w:vertAlign w:val="superscript"/>
        </w:rPr>
        <w:fldChar w:fldCharType="end"/>
      </w:r>
      <w:r>
        <w:t>（Low-Rank Adaptation, LoRA）是由Edward J. Hu等人于2021年在论文《LoRA:</w:t>
      </w:r>
      <w:r>
        <w:rPr>
          <w:rFonts w:hint="eastAsia"/>
        </w:rPr>
        <w:t xml:space="preserve"> </w:t>
      </w:r>
      <w:r>
        <w:t>Low-Rank Adaptation of Large Language Models》中提出的一种参数高效的轻量化微调方法。其核心动机在于解决当前</w:t>
      </w:r>
      <w:r>
        <w:rPr>
          <w:rFonts w:hint="eastAsia"/>
        </w:rPr>
        <w:t>大</w:t>
      </w:r>
      <w:r>
        <w:t>语言模型</w:t>
      </w:r>
      <w:r>
        <w:rPr>
          <w:rFonts w:hint="eastAsia"/>
        </w:rPr>
        <w:t>微调时</w:t>
      </w:r>
      <w:r>
        <w:t>面临的算力</w:t>
      </w:r>
      <w:r>
        <w:rPr>
          <w:rFonts w:hint="eastAsia"/>
        </w:rPr>
        <w:t>瓶颈。</w:t>
      </w:r>
      <w:r>
        <w:t>随着大语言模型参数规模呈指数级增长，面向下游特定领域任务进行全参数微调的计算成本与硬件门槛</w:t>
      </w:r>
      <w:r>
        <w:rPr>
          <w:rFonts w:hint="eastAsia"/>
        </w:rPr>
        <w:t>非常高</w:t>
      </w:r>
      <w:r>
        <w:t>。此外，针对资源受限的垂直领域应用，全参数微调模式不仅面临高昂的计算</w:t>
      </w:r>
      <w:r>
        <w:rPr>
          <w:rFonts w:hint="eastAsia"/>
        </w:rPr>
        <w:t>成本</w:t>
      </w:r>
      <w:r>
        <w:t>，还伴随着灾难性遗忘的风险，即模型在特定任务的适应过程中丧失了预训练阶段获得的通用泛化知识</w:t>
      </w:r>
      <w:r>
        <w:rPr>
          <w:vertAlign w:val="superscript"/>
        </w:rPr>
        <w:fldChar w:fldCharType="begin"/>
      </w:r>
      <w:r>
        <w:rPr>
          <w:vertAlign w:val="superscript"/>
        </w:rPr>
        <w:instrText xml:space="preserve"> REF _Ref225763788 \r \h  \* MERGEFORMAT </w:instrText>
      </w:r>
      <w:r>
        <w:rPr>
          <w:vertAlign w:val="superscript"/>
        </w:rPr>
        <w:fldChar w:fldCharType="separate"/>
      </w:r>
      <w:r>
        <w:rPr>
          <w:vertAlign w:val="superscript"/>
        </w:rPr>
        <w:t>[54]</w:t>
      </w:r>
      <w:r>
        <w:rPr>
          <w:vertAlign w:val="superscript"/>
        </w:rPr>
        <w:fldChar w:fldCharType="end"/>
      </w:r>
      <w:r>
        <w:t>。</w:t>
      </w:r>
      <w:r>
        <w:rPr>
          <w:rFonts w:hint="eastAsia"/>
        </w:rPr>
        <w:t>LoRA的理论依据建立在深度学习模型的内在秩假设之上，即尽管预训练模型包含海量参数，但其在适配特定下游任务时，并非所有的参数都需要调整，真正对下游任务有效的权重实际上只存在于一个极低维度的子空间中。基于此假设，LoRA提出了一种旁路更新机制：通过向模型的部分网络层添加额外的可训练低秩矩阵，来实现模型在特定任务上的微调，同时保持原有模型的全部参数处于冻结状态。LoRA技术原理如</w:t>
      </w:r>
      <w:r>
        <w:fldChar w:fldCharType="begin"/>
      </w:r>
      <w:r>
        <w:instrText xml:space="preserve"> </w:instrText>
      </w:r>
      <w:r>
        <w:rPr>
          <w:rFonts w:hint="eastAsia"/>
        </w:rPr>
        <w:instrText xml:space="preserve">REF _Ref225849852 \h</w:instrText>
      </w:r>
      <w:r>
        <w:instrText xml:space="preserve"> </w:instrText>
      </w:r>
      <w:r>
        <w:fldChar w:fldCharType="separate"/>
      </w:r>
      <w:r>
        <w:rPr>
          <w:rFonts w:hint="eastAsia"/>
        </w:rPr>
        <w:t>图2-</w:t>
      </w:r>
      <w:r>
        <w:t>5</w:t>
      </w:r>
      <w:r>
        <w:fldChar w:fldCharType="end"/>
      </w:r>
      <w:r>
        <w:rPr>
          <w:rFonts w:hint="eastAsia"/>
        </w:rPr>
        <w:t>所示。</w:t>
      </w:r>
    </w:p>
    <w:p/>
    <w:p>
      <w:pPr>
        <w:keepNext/>
        <w:ind w:firstLine="0" w:firstLineChars="0"/>
        <w:jc w:val="center"/>
      </w:pPr>
      <w:r>
        <w:rPr>
          <w:rFonts w:hint="eastAsia"/>
        </w:rPr>
        <w:drawing>
          <wp:inline distT="0" distB="0" distL="0" distR="0">
            <wp:extent cx="3689350" cy="3434715"/>
            <wp:effectExtent l="0" t="0" r="6350" b="0"/>
            <wp:docPr id="1659726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26489" name="图片 3"/>
                    <pic:cNvPicPr>
                      <a:picLocks noChangeAspect="1"/>
                    </pic:cNvPicPr>
                  </pic:nvPicPr>
                  <pic:blipFill>
                    <a:blip r:embed="rId215"/>
                    <a:stretch>
                      <a:fillRect/>
                    </a:stretch>
                  </pic:blipFill>
                  <pic:spPr>
                    <a:xfrm>
                      <a:off x="0" y="0"/>
                      <a:ext cx="3689432" cy="3434989"/>
                    </a:xfrm>
                    <a:prstGeom prst="rect">
                      <a:avLst/>
                    </a:prstGeom>
                  </pic:spPr>
                </pic:pic>
              </a:graphicData>
            </a:graphic>
          </wp:inline>
        </w:drawing>
      </w:r>
    </w:p>
    <w:p>
      <w:pPr>
        <w:pStyle w:val="11"/>
      </w:pPr>
      <w:bookmarkStart w:id="47" w:name="_Ref225849852"/>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5</w:t>
      </w:r>
      <w:r>
        <w:fldChar w:fldCharType="end"/>
      </w:r>
      <w:bookmarkEnd w:id="47"/>
      <w:r>
        <w:rPr>
          <w:rFonts w:hint="eastAsia"/>
        </w:rPr>
        <w:t xml:space="preserve"> LoRA技术原理示意图</w:t>
      </w:r>
      <w:r>
        <w:rPr>
          <w:vertAlign w:val="superscript"/>
        </w:rPr>
        <w:fldChar w:fldCharType="begin"/>
      </w:r>
      <w:r>
        <w:rPr>
          <w:vertAlign w:val="superscript"/>
        </w:rPr>
        <w:instrText xml:space="preserve"> </w:instrText>
      </w:r>
      <w:r>
        <w:rPr>
          <w:rFonts w:hint="eastAsia"/>
          <w:vertAlign w:val="superscript"/>
        </w:rPr>
        <w:instrText xml:space="preserve">REF _Ref225763766 \r \h</w:instrText>
      </w:r>
      <w:r>
        <w:rPr>
          <w:vertAlign w:val="superscript"/>
        </w:rPr>
        <w:instrText xml:space="preserve">  \* MERGEFORMAT </w:instrText>
      </w:r>
      <w:r>
        <w:rPr>
          <w:vertAlign w:val="superscript"/>
        </w:rPr>
        <w:fldChar w:fldCharType="separate"/>
      </w:r>
      <w:r>
        <w:rPr>
          <w:vertAlign w:val="superscript"/>
        </w:rPr>
        <w:t>[53]</w:t>
      </w:r>
      <w:r>
        <w:rPr>
          <w:vertAlign w:val="superscript"/>
        </w:rPr>
        <w:fldChar w:fldCharType="end"/>
      </w:r>
    </w:p>
    <w:p>
      <w:r>
        <w:rPr>
          <w:rFonts w:hint="eastAsia"/>
        </w:rPr>
        <w:t>LoRA的工作机制可分为两部分：微调和推理。</w:t>
      </w:r>
      <w:r>
        <w:t>在模型训练过程中，LoRA保持模型原始的预训练参数矩阵</w:t>
      </w:r>
      <w:r>
        <w:rPr>
          <w:position w:val="-6"/>
        </w:rPr>
        <w:object>
          <v:shape id="_x0000_i1115" o:spt="75" type="#_x0000_t75" style="height:15.6pt;width:47.4pt;" o:ole="t" filled="f" o:preferrelative="t" stroked="f" coordsize="21600,21600">
            <v:path/>
            <v:fill on="f" focussize="0,0"/>
            <v:stroke on="f" joinstyle="miter"/>
            <v:imagedata r:id="rId217" o:title=""/>
            <o:lock v:ext="edit" aspectratio="t"/>
            <w10:wrap type="none"/>
            <w10:anchorlock/>
          </v:shape>
          <o:OLEObject Type="Embed" ProgID="Equation.DSMT4" ShapeID="_x0000_i1115" DrawAspect="Content" ObjectID="_1468075815" r:id="rId216">
            <o:LockedField>false</o:LockedField>
          </o:OLEObject>
        </w:object>
      </w:r>
      <w:r>
        <w:t>处于完全冻结状态，使其不参与任何梯度更新。与此同时，在原始矩阵旁引入两个较小的可训练参数矩阵</w:t>
      </w:r>
      <w:r>
        <w:rPr>
          <w:position w:val="-4"/>
        </w:rPr>
        <w:object>
          <v:shape id="_x0000_i1116" o:spt="75" type="#_x0000_t75" style="height:17.4pt;width:45pt;" o:ole="t" filled="f" o:preferrelative="t" stroked="f" coordsize="21600,21600">
            <v:path/>
            <v:fill on="f" focussize="0,0"/>
            <v:stroke on="f" joinstyle="miter"/>
            <v:imagedata r:id="rId219" o:title=""/>
            <o:lock v:ext="edit" aspectratio="t"/>
            <w10:wrap type="none"/>
            <w10:anchorlock/>
          </v:shape>
          <o:OLEObject Type="Embed" ProgID="Equation.DSMT4" ShapeID="_x0000_i1116" DrawAspect="Content" ObjectID="_1468075816" r:id="rId218">
            <o:LockedField>false</o:LockedField>
          </o:OLEObject>
        </w:object>
      </w:r>
      <w:r>
        <w:t>和</w:t>
      </w:r>
      <w:r>
        <w:rPr>
          <w:position w:val="-4"/>
        </w:rPr>
        <w:object>
          <v:shape id="_x0000_i1117" o:spt="75" type="#_x0000_t75" style="height:17.4pt;width:45pt;" o:ole="t" filled="f" o:preferrelative="t" stroked="f" coordsize="21600,21600">
            <v:path/>
            <v:fill on="f" focussize="0,0"/>
            <v:stroke on="f" joinstyle="miter"/>
            <v:imagedata r:id="rId221" o:title=""/>
            <o:lock v:ext="edit" aspectratio="t"/>
            <w10:wrap type="none"/>
            <w10:anchorlock/>
          </v:shape>
          <o:OLEObject Type="Embed" ProgID="Equation.DSMT4" ShapeID="_x0000_i1117" DrawAspect="Content" ObjectID="_1468075817" r:id="rId220">
            <o:LockedField>false</o:LockedField>
          </o:OLEObject>
        </w:object>
      </w:r>
      <w:r>
        <w:rPr>
          <w:rFonts w:hint="eastAsia"/>
        </w:rPr>
        <w:t>，</w:t>
      </w:r>
      <w:r>
        <w:t>其中</w:t>
      </w:r>
      <m:oMath>
        <m:r>
          <w:rPr>
            <w:rFonts w:ascii="Cambria Math"/>
          </w:rPr>
          <m:t>r</m:t>
        </m:r>
      </m:oMath>
      <w:r>
        <w:t>为极小的</w:t>
      </w:r>
      <w:r>
        <w:rPr>
          <w:rFonts w:hint="eastAsia"/>
        </w:rPr>
        <w:t>本征</w:t>
      </w:r>
      <w:r>
        <w:t>秩</w:t>
      </w:r>
      <w:r>
        <w:rPr>
          <w:rFonts w:hint="eastAsia"/>
        </w:rPr>
        <w:t>超参数</w:t>
      </w:r>
      <w:r>
        <w:t>。模型将这两个低秩矩阵的乘积</w:t>
      </w:r>
      <w:r>
        <w:rPr>
          <w:position w:val="-6"/>
        </w:rPr>
        <w:object>
          <v:shape id="_x0000_i1118" o:spt="75" type="#_x0000_t75" style="height:13.2pt;width:58.8pt;" o:ole="t" filled="f" o:preferrelative="t" stroked="f" coordsize="21600,21600">
            <v:path/>
            <v:fill on="f" focussize="0,0"/>
            <v:stroke on="f" joinstyle="miter"/>
            <v:imagedata r:id="rId223" o:title=""/>
            <o:lock v:ext="edit" aspectratio="t"/>
            <w10:wrap type="none"/>
            <w10:anchorlock/>
          </v:shape>
          <o:OLEObject Type="Embed" ProgID="Equation.DSMT4" ShapeID="_x0000_i1118" DrawAspect="Content" ObjectID="_1468075818" r:id="rId222">
            <o:LockedField>false</o:LockedField>
          </o:OLEObject>
        </w:object>
      </w:r>
      <w:r>
        <w:t>作为对原参数矩阵</w:t>
      </w:r>
      <m:oMath>
        <m:r>
          <w:rPr>
            <w:rFonts w:ascii="Cambria Math"/>
          </w:rPr>
          <m:t>W</m:t>
        </m:r>
      </m:oMath>
      <w:r>
        <w:t>的附加调整项，使得整体等效权重演变为：</w:t>
      </w:r>
    </w:p>
    <w:p>
      <w:pPr>
        <w:pStyle w:val="44"/>
        <w:spacing w:before="326" w:after="326"/>
      </w:pPr>
      <w:r>
        <w:tab/>
      </w:r>
      <w:r>
        <w:rPr>
          <w:position w:val="-6"/>
        </w:rPr>
        <w:object>
          <v:shape id="_x0000_i1119" o:spt="75" type="#_x0000_t75" style="height:18pt;width:124.2pt;" o:ole="t" filled="f" o:preferrelative="t" stroked="f" coordsize="21600,21600">
            <v:path/>
            <v:fill on="f" focussize="0,0"/>
            <v:stroke on="f" joinstyle="miter"/>
            <v:imagedata r:id="rId225" o:title=""/>
            <o:lock v:ext="edit" aspectratio="t"/>
            <w10:wrap type="none"/>
            <w10:anchorlock/>
          </v:shape>
          <o:OLEObject Type="Embed" ProgID="Equation.DSMT4" ShapeID="_x0000_i1119" DrawAspect="Content" ObjectID="_1468075819" r:id="rId22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18</w:instrText>
      </w:r>
      <w:r>
        <w:fldChar w:fldCharType="end"/>
      </w:r>
      <w:r>
        <w:instrText xml:space="preserve">)</w:instrText>
      </w:r>
      <w:r>
        <w:fldChar w:fldCharType="end"/>
      </w:r>
    </w:p>
    <w:p>
      <w:r>
        <w:rPr>
          <w:lang w:bidi="ar"/>
        </w:rPr>
        <w:t>在反向传播</w:t>
      </w:r>
      <w:r>
        <w:rPr>
          <w:rFonts w:hint="eastAsia"/>
          <w:lang w:bidi="ar"/>
        </w:rPr>
        <w:t>的过程中</w:t>
      </w:r>
      <w:r>
        <w:rPr>
          <w:lang w:bidi="ar"/>
        </w:rPr>
        <w:t>，优化器仅对矩阵</w:t>
      </w:r>
      <m:oMath>
        <m:r>
          <w:rPr>
            <w:rFonts w:ascii="Cambria Math" w:hAnsi="Cambria Math"/>
          </w:rPr>
          <m:t>A</m:t>
        </m:r>
      </m:oMath>
      <w:r>
        <w:rPr>
          <w:lang w:bidi="ar"/>
        </w:rPr>
        <w:t>和</w:t>
      </w:r>
      <m:oMath>
        <m:r>
          <w:rPr>
            <w:rFonts w:ascii="Cambria Math" w:hAnsi="Cambria Math"/>
          </w:rPr>
          <m:t>B</m:t>
        </m:r>
      </m:oMath>
      <w:r>
        <w:rPr>
          <w:lang w:bidi="ar"/>
        </w:rPr>
        <w:t>的参数进行梯度计算与更新，</w:t>
      </w:r>
      <w:r>
        <w:rPr>
          <w:rFonts w:hint="eastAsia"/>
          <w:lang w:bidi="ar"/>
        </w:rPr>
        <w:t>原始权重</w:t>
      </w:r>
      <w:r>
        <w:rPr>
          <w:position w:val="-6"/>
        </w:rPr>
        <w:object>
          <v:shape id="_x0000_i1120" o:spt="75" type="#_x0000_t75" style="height:13.2pt;width:13.2pt;" o:ole="t" filled="f" o:preferrelative="t" stroked="f" coordsize="21600,21600">
            <v:path/>
            <v:fill on="f" focussize="0,0"/>
            <v:stroke on="f" joinstyle="miter"/>
            <v:imagedata r:id="rId227" o:title=""/>
            <o:lock v:ext="edit" aspectratio="t"/>
            <w10:wrap type="none"/>
            <w10:anchorlock/>
          </v:shape>
          <o:OLEObject Type="Embed" ProgID="Equation.DSMT4" ShapeID="_x0000_i1120" DrawAspect="Content" ObjectID="_1468075820" r:id="rId226">
            <o:LockedField>false</o:LockedField>
          </o:OLEObject>
        </w:object>
      </w:r>
      <w:r>
        <w:rPr>
          <w:rFonts w:hint="eastAsia"/>
          <w:lang w:bidi="ar"/>
        </w:rPr>
        <w:t>始终保持不变，</w:t>
      </w:r>
      <w:r>
        <w:rPr>
          <w:lang w:bidi="ar"/>
        </w:rPr>
        <w:t>从而在极大降低显存开销的同时实现了特定任务的参数适配。</w:t>
      </w:r>
    </w:p>
    <w:p>
      <w:r>
        <w:t>在模型部署与实际计算时，LoRA模块可以无缝叠加到原始权重中，不引入任何额外的计算延迟</w:t>
      </w:r>
      <w:r>
        <w:rPr>
          <w:rFonts w:hint="eastAsia"/>
        </w:rPr>
        <w:t>。</w:t>
      </w:r>
      <w:r>
        <w:t>当输入张量</w:t>
      </w:r>
      <m:oMath>
        <m:r>
          <w:rPr>
            <w:rFonts w:ascii="Cambria Math"/>
          </w:rPr>
          <m:t>x</m:t>
        </m:r>
      </m:oMath>
      <w:r>
        <w:t>经过该线性层时，不再仅仅与原始权重</w:t>
      </w:r>
      <w:r>
        <w:rPr>
          <w:position w:val="-6"/>
        </w:rPr>
        <w:object>
          <v:shape id="_x0000_i1121" o:spt="75" type="#_x0000_t75" style="height:13.2pt;width:13.2pt;" o:ole="t" filled="f" o:preferrelative="t" stroked="f" coordsize="21600,21600">
            <v:path/>
            <v:fill on="f" focussize="0,0"/>
            <v:stroke on="f" joinstyle="miter"/>
            <v:imagedata r:id="rId229" o:title=""/>
            <o:lock v:ext="edit" aspectratio="t"/>
            <w10:wrap type="none"/>
            <w10:anchorlock/>
          </v:shape>
          <o:OLEObject Type="Embed" ProgID="Equation.DSMT4" ShapeID="_x0000_i1121" DrawAspect="Content" ObjectID="_1468075821" r:id="rId228">
            <o:LockedField>false</o:LockedField>
          </o:OLEObject>
        </w:object>
      </w:r>
      <w:r>
        <w:t>相乘，而是使用带有LoRA调整项的融合权重。模型的正向传播行为等效为</w:t>
      </w:r>
      <w:r>
        <w:rPr>
          <w:rFonts w:hint="eastAsia"/>
        </w:rPr>
        <w:t>：</w:t>
      </w:r>
    </w:p>
    <w:p>
      <w:pPr>
        <w:pStyle w:val="44"/>
        <w:spacing w:before="326" w:after="326"/>
      </w:pPr>
      <w:r>
        <w:tab/>
      </w:r>
      <w:r>
        <w:rPr>
          <w:position w:val="-10"/>
        </w:rPr>
        <w:object>
          <v:shape id="_x0000_i1122" o:spt="75" type="#_x0000_t75" style="height:18pt;width:102pt;" o:ole="t" filled="f" o:preferrelative="t" stroked="f" coordsize="21600,21600">
            <v:path/>
            <v:fill on="f" focussize="0,0"/>
            <v:stroke on="f" joinstyle="miter"/>
            <v:imagedata r:id="rId231" o:title=""/>
            <o:lock v:ext="edit" aspectratio="t"/>
            <w10:wrap type="none"/>
            <w10:anchorlock/>
          </v:shape>
          <o:OLEObject Type="Embed" ProgID="Equation.DSMT4" ShapeID="_x0000_i1122" DrawAspect="Content" ObjectID="_1468075822" r:id="rId23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19</w:instrText>
      </w:r>
      <w:r>
        <w:fldChar w:fldCharType="end"/>
      </w:r>
      <w:r>
        <w:instrText xml:space="preserve">)</w:instrText>
      </w:r>
      <w:r>
        <w:fldChar w:fldCharType="end"/>
      </w:r>
    </w:p>
    <w:p>
      <w:r>
        <w:t>由于</w:t>
      </w:r>
      <w:r>
        <w:rPr>
          <w:position w:val="-6"/>
        </w:rPr>
        <w:object>
          <v:shape id="_x0000_i1123" o:spt="75" type="#_x0000_t75" style="height:13.2pt;width:58.8pt;" o:ole="t" filled="f" o:preferrelative="t" stroked="f" coordsize="21600,21600">
            <v:path/>
            <v:fill on="f" focussize="0,0"/>
            <v:stroke on="f" joinstyle="miter"/>
            <v:imagedata r:id="rId233" o:title=""/>
            <o:lock v:ext="edit" aspectratio="t"/>
            <w10:wrap type="none"/>
            <w10:anchorlock/>
          </v:shape>
          <o:OLEObject Type="Embed" ProgID="Equation.DSMT4" ShapeID="_x0000_i1123" DrawAspect="Content" ObjectID="_1468075823" r:id="rId232">
            <o:LockedField>false</o:LockedField>
          </o:OLEObject>
        </w:object>
      </w:r>
      <w:r>
        <w:t>是来自LoRA模块的补充权重，</w:t>
      </w:r>
      <w:r>
        <w:rPr>
          <w:rFonts w:hint="eastAsia"/>
        </w:rPr>
        <w:t>可在部署前静态预计算并直接叠加至</w:t>
      </w:r>
      <w:r>
        <w:rPr>
          <w:position w:val="-6"/>
        </w:rPr>
        <w:object>
          <v:shape id="_x0000_i1124" o:spt="75" type="#_x0000_t75" style="height:13.2pt;width:13.2pt;" o:ole="t" filled="f" o:preferrelative="t" stroked="f" coordsize="21600,21600">
            <v:path/>
            <v:fill on="f" focussize="0,0"/>
            <v:stroke on="f" joinstyle="miter"/>
            <v:imagedata r:id="rId235" o:title=""/>
            <o:lock v:ext="edit" aspectratio="t"/>
            <w10:wrap type="none"/>
            <w10:anchorlock/>
          </v:shape>
          <o:OLEObject Type="Embed" ProgID="Equation.DSMT4" ShapeID="_x0000_i1124" DrawAspect="Content" ObjectID="_1468075824" r:id="rId234">
            <o:LockedField>false</o:LockedField>
          </o:OLEObject>
        </w:object>
      </w:r>
      <w:r>
        <w:rPr>
          <w:rFonts w:hint="eastAsia"/>
        </w:rPr>
        <w:t>中，推理时的实际计算量与原始模型完全一致，兼顾了参数效率与推理性能。</w:t>
      </w:r>
    </w:p>
    <w:p>
      <w:pPr>
        <w:pStyle w:val="4"/>
        <w:rPr>
          <w:rFonts w:hint="default"/>
        </w:rPr>
      </w:pPr>
      <w:bookmarkStart w:id="48" w:name="_Toc229423334"/>
      <w:r>
        <w:t>思维链</w:t>
      </w:r>
      <w:bookmarkEnd w:id="48"/>
    </w:p>
    <w:p>
      <w:r>
        <w:rPr>
          <w:rFonts w:hint="eastAsia"/>
        </w:rPr>
        <w:t>大语言模型通过在海量的文本数据上进行无监督训练，构建了蕴含丰富世界知识的高维语义表示空间。为将模型中潜藏的广义知识精确地迁移至特定的下游任务，提示词工程成为一种核心的技术，其通过将具体任务构建为自然语言指令，使目标任务在输入形式上对齐模型预训练阶段的自回归目标。2022年，Wei等人在论文《Chain-of-Thought Prompting Elicits Reasoning in Large Language Models》中首次提出思维链</w:t>
      </w:r>
      <w:r>
        <w:rPr>
          <w:vertAlign w:val="superscript"/>
        </w:rPr>
        <w:fldChar w:fldCharType="begin"/>
      </w:r>
      <w:r>
        <w:rPr>
          <w:vertAlign w:val="superscript"/>
        </w:rPr>
        <w:instrText xml:space="preserve"> </w:instrText>
      </w:r>
      <w:r>
        <w:rPr>
          <w:rFonts w:hint="eastAsia"/>
          <w:vertAlign w:val="superscript"/>
        </w:rPr>
        <w:instrText xml:space="preserve">REF _Ref225763817 \r \h</w:instrText>
      </w:r>
      <w:r>
        <w:rPr>
          <w:vertAlign w:val="superscript"/>
        </w:rPr>
        <w:instrText xml:space="preserve">  \* MERGEFORMAT </w:instrText>
      </w:r>
      <w:r>
        <w:rPr>
          <w:vertAlign w:val="superscript"/>
        </w:rPr>
        <w:fldChar w:fldCharType="separate"/>
      </w:r>
      <w:r>
        <w:rPr>
          <w:vertAlign w:val="superscript"/>
        </w:rPr>
        <w:t>[55]</w:t>
      </w:r>
      <w:r>
        <w:rPr>
          <w:vertAlign w:val="superscript"/>
        </w:rPr>
        <w:fldChar w:fldCharType="end"/>
      </w:r>
      <w:r>
        <w:rPr>
          <w:rFonts w:hint="eastAsia"/>
        </w:rPr>
        <w:t>（Chain-of-Thought, CoT）技术。思维链的核心在于通过引导大语言模型将复杂的问题逐步分解成一系列可求解的简单的子问题，并依次生成每个子步骤的推理过程，从而显著提升模型在复杂推理任务上的性能表现。这些介于输入与最终答案之间的中间推理步骤被定义为思维链。CoT和普通输入输出提示的工作机制如</w:t>
      </w:r>
      <w:r>
        <w:fldChar w:fldCharType="begin"/>
      </w:r>
      <w:r>
        <w:instrText xml:space="preserve"> </w:instrText>
      </w:r>
      <w:r>
        <w:rPr>
          <w:rFonts w:hint="eastAsia"/>
        </w:rPr>
        <w:instrText xml:space="preserve">REF _Ref225849929 \h</w:instrText>
      </w:r>
      <w:r>
        <w:instrText xml:space="preserve"> </w:instrText>
      </w:r>
      <w:r>
        <w:fldChar w:fldCharType="separate"/>
      </w:r>
      <w:r>
        <w:rPr>
          <w:rFonts w:hint="eastAsia"/>
        </w:rPr>
        <w:t>图2-</w:t>
      </w:r>
      <w:r>
        <w:t>6</w:t>
      </w:r>
      <w:r>
        <w:fldChar w:fldCharType="end"/>
      </w:r>
      <w:r>
        <w:rPr>
          <w:rFonts w:hint="eastAsia"/>
        </w:rPr>
        <w:t>所示。</w:t>
      </w:r>
    </w:p>
    <w:p/>
    <w:p>
      <w:pPr>
        <w:keepNext/>
        <w:ind w:firstLine="0" w:firstLineChars="0"/>
        <w:jc w:val="center"/>
      </w:pPr>
      <w:r>
        <w:rPr>
          <w:rFonts w:hint="eastAsia"/>
        </w:rPr>
        <w:drawing>
          <wp:inline distT="0" distB="0" distL="0" distR="0">
            <wp:extent cx="3139440" cy="3575050"/>
            <wp:effectExtent l="0" t="0" r="3810" b="6350"/>
            <wp:docPr id="1383277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784" name="图片 4"/>
                    <pic:cNvPicPr>
                      <a:picLocks noChangeAspect="1"/>
                    </pic:cNvPicPr>
                  </pic:nvPicPr>
                  <pic:blipFill>
                    <a:blip r:embed="rId236"/>
                    <a:stretch>
                      <a:fillRect/>
                    </a:stretch>
                  </pic:blipFill>
                  <pic:spPr>
                    <a:xfrm>
                      <a:off x="0" y="0"/>
                      <a:ext cx="3139450" cy="3575668"/>
                    </a:xfrm>
                    <a:prstGeom prst="rect">
                      <a:avLst/>
                    </a:prstGeom>
                  </pic:spPr>
                </pic:pic>
              </a:graphicData>
            </a:graphic>
          </wp:inline>
        </w:drawing>
      </w:r>
    </w:p>
    <w:p>
      <w:pPr>
        <w:pStyle w:val="11"/>
      </w:pPr>
      <w:bookmarkStart w:id="49" w:name="_Ref225849929"/>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6</w:t>
      </w:r>
      <w:r>
        <w:fldChar w:fldCharType="end"/>
      </w:r>
      <w:bookmarkEnd w:id="49"/>
      <w:r>
        <w:rPr>
          <w:rFonts w:hint="eastAsia"/>
        </w:rPr>
        <w:t xml:space="preserve"> 输入-输出提示与思维链提示对比示意图</w:t>
      </w:r>
    </w:p>
    <w:p>
      <w:r>
        <w:rPr>
          <w:rFonts w:hint="eastAsia"/>
        </w:rPr>
        <w:t>CoT技术的出现具有深刻的现实动机，研究人员观察到尽管大语言模型在参数规模扩展后展现出强大的知识存储能力，但是在面对数学推理、逻辑判断等需要多步骤因果推断的复杂任务时，模型往往倾向于直接输出答案而跳过中间推导过程，这导致模型的正确率大幅下降。这是由于传统的提示词要求模型执行从输入到输出的直接映射，也就是</w:t>
      </w:r>
      <w:r>
        <w:rPr>
          <w:position w:val="-10"/>
        </w:rPr>
        <w:object>
          <v:shape id="_x0000_i1125" o:spt="75" type="#_x0000_t75" style="height:15.6pt;width:85.2pt;" o:ole="t" filled="f" o:preferrelative="t" stroked="f" coordsize="21600,21600">
            <v:path/>
            <v:fill on="f" focussize="0,0"/>
            <v:stroke on="f" joinstyle="miter"/>
            <v:imagedata r:id="rId238" o:title=""/>
            <o:lock v:ext="edit" aspectratio="t"/>
            <w10:wrap type="none"/>
            <w10:anchorlock/>
          </v:shape>
          <o:OLEObject Type="Embed" ProgID="Equation.DSMT4" ShapeID="_x0000_i1125" DrawAspect="Content" ObjectID="_1468075825" r:id="rId237">
            <o:LockedField>false</o:LockedField>
          </o:OLEObject>
        </w:object>
      </w:r>
      <w:r>
        <w:rPr>
          <w:rFonts w:hint="eastAsia"/>
        </w:rPr>
        <w:t>，将复杂的多步推理过度压缩为单次前向传播，超出了模型在有限计算步骤内的推理能力边界。而CoT技术改变了这一映射方式，将推理流程拓展为</w:t>
      </w:r>
      <w:r>
        <w:rPr>
          <w:position w:val="-10"/>
        </w:rPr>
        <w:object>
          <v:shape id="_x0000_i1126" o:spt="75" type="#_x0000_t75" style="height:15.6pt;width:177pt;" o:ole="t" filled="f" o:preferrelative="t" stroked="f" coordsize="21600,21600">
            <v:path/>
            <v:fill on="f" focussize="0,0"/>
            <v:stroke on="f" joinstyle="miter"/>
            <v:imagedata r:id="rId240" o:title=""/>
            <o:lock v:ext="edit" aspectratio="t"/>
            <w10:wrap type="none"/>
            <w10:anchorlock/>
          </v:shape>
          <o:OLEObject Type="Embed" ProgID="Equation.DSMT4" ShapeID="_x0000_i1126" DrawAspect="Content" ObjectID="_1468075826" r:id="rId239">
            <o:LockedField>false</o:LockedField>
          </o:OLEObject>
        </w:object>
      </w:r>
      <w:r>
        <w:rPr>
          <w:rFonts w:hint="eastAsia"/>
        </w:rPr>
        <w:t>，即模型在给出答案之前，显式地要求完整生成中间的推理链条</w:t>
      </w:r>
      <w:r>
        <w:rPr>
          <w:vertAlign w:val="superscript"/>
        </w:rPr>
        <w:fldChar w:fldCharType="begin"/>
      </w:r>
      <w:r>
        <w:rPr>
          <w:vertAlign w:val="superscript"/>
        </w:rPr>
        <w:instrText xml:space="preserve"> </w:instrText>
      </w:r>
      <w:r>
        <w:rPr>
          <w:rFonts w:hint="eastAsia"/>
          <w:vertAlign w:val="superscript"/>
        </w:rPr>
        <w:instrText xml:space="preserve">REF _Ref225763837 \r \h</w:instrText>
      </w:r>
      <w:r>
        <w:rPr>
          <w:vertAlign w:val="superscript"/>
        </w:rPr>
        <w:instrText xml:space="preserve">  \* MERGEFORMAT </w:instrText>
      </w:r>
      <w:r>
        <w:rPr>
          <w:vertAlign w:val="superscript"/>
        </w:rPr>
        <w:fldChar w:fldCharType="separate"/>
      </w:r>
      <w:r>
        <w:rPr>
          <w:vertAlign w:val="superscript"/>
        </w:rPr>
        <w:t>[56]</w:t>
      </w:r>
      <w:r>
        <w:rPr>
          <w:vertAlign w:val="superscript"/>
        </w:rPr>
        <w:fldChar w:fldCharType="end"/>
      </w:r>
      <w:r>
        <w:rPr>
          <w:rFonts w:hint="eastAsia"/>
        </w:rPr>
        <w:t>。在数学表示上，CoT将原本的条件概率建模</w:t>
      </w:r>
      <w:r>
        <w:rPr>
          <w:position w:val="-10"/>
        </w:rPr>
        <w:object>
          <v:shape id="_x0000_i1127" o:spt="75" type="#_x0000_t75" style="height:15.6pt;width:45pt;" o:ole="t" filled="f" o:preferrelative="t" stroked="f" coordsize="21600,21600">
            <v:path/>
            <v:fill on="f" focussize="0,0"/>
            <v:stroke on="f" joinstyle="miter"/>
            <v:imagedata r:id="rId242" o:title=""/>
            <o:lock v:ext="edit" aspectratio="t"/>
            <w10:wrap type="none"/>
            <w10:anchorlock/>
          </v:shape>
          <o:OLEObject Type="Embed" ProgID="Equation.DSMT4" ShapeID="_x0000_i1127" DrawAspect="Content" ObjectID="_1468075827" r:id="rId241">
            <o:LockedField>false</o:LockedField>
          </o:OLEObject>
        </w:object>
      </w:r>
      <w:r>
        <w:rPr>
          <w:rFonts w:hint="eastAsia"/>
        </w:rPr>
        <w:t>扩展为联合概率分布</w:t>
      </w:r>
    </w:p>
    <w:p>
      <w:pPr>
        <w:pStyle w:val="44"/>
        <w:spacing w:before="326" w:after="326"/>
      </w:pPr>
      <w:r>
        <w:tab/>
      </w:r>
      <w:r>
        <w:rPr>
          <w:position w:val="-10"/>
        </w:rPr>
        <w:object>
          <v:shape id="_x0000_i1128" o:spt="75" type="#_x0000_t75" style="height:15.6pt;width:172.2pt;" o:ole="t" filled="f" o:preferrelative="t" stroked="f" coordsize="21600,21600">
            <v:path/>
            <v:fill on="f" focussize="0,0"/>
            <v:stroke on="f" joinstyle="miter"/>
            <v:imagedata r:id="rId244" o:title=""/>
            <o:lock v:ext="edit" aspectratio="t"/>
            <w10:wrap type="none"/>
            <w10:anchorlock/>
          </v:shape>
          <o:OLEObject Type="Embed" ProgID="Equation.DSMT4" ShapeID="_x0000_i1128" DrawAspect="Content" ObjectID="_1468075828" r:id="rId24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20</w:instrText>
      </w:r>
      <w:r>
        <w:fldChar w:fldCharType="end"/>
      </w:r>
      <w:r>
        <w:instrText xml:space="preserve">)</w:instrText>
      </w:r>
      <w:r>
        <w:fldChar w:fldCharType="end"/>
      </w:r>
    </w:p>
    <w:p>
      <w:r>
        <w:rPr>
          <w:rFonts w:hint="eastAsia"/>
        </w:rPr>
        <w:t>其中，</w:t>
      </w:r>
      <w:r>
        <w:rPr>
          <w:position w:val="-4"/>
        </w:rPr>
        <w:object>
          <v:shape id="_x0000_i1129" o:spt="75" type="#_x0000_t75" style="height:13.2pt;width:13.2pt;" o:ole="t" filled="f" o:preferrelative="t" stroked="f" coordsize="21600,21600">
            <v:path/>
            <v:fill on="f" focussize="0,0"/>
            <v:stroke on="f" joinstyle="miter"/>
            <v:imagedata r:id="rId246" o:title=""/>
            <o:lock v:ext="edit" aspectratio="t"/>
            <w10:wrap type="none"/>
            <w10:anchorlock/>
          </v:shape>
          <o:OLEObject Type="Embed" ProgID="Equation.DSMT4" ShapeID="_x0000_i1129" DrawAspect="Content" ObjectID="_1468075829" r:id="rId245">
            <o:LockedField>false</o:LockedField>
          </o:OLEObject>
        </w:object>
      </w:r>
      <w:r>
        <w:rPr>
          <w:rFonts w:hint="eastAsia"/>
        </w:rPr>
        <w:t>为任务输入，</w:t>
      </w:r>
      <w:r>
        <w:rPr>
          <w:position w:val="-12"/>
        </w:rPr>
        <w:object>
          <v:shape id="_x0000_i1130" o:spt="75" type="#_x0000_t75" style="height:18.6pt;width:78pt;" o:ole="t" filled="f" o:preferrelative="t" stroked="f" coordsize="21600,21600">
            <v:path/>
            <v:fill on="f" focussize="0,0"/>
            <v:stroke on="f" joinstyle="miter"/>
            <v:imagedata r:id="rId248" o:title=""/>
            <o:lock v:ext="edit" aspectratio="t"/>
            <w10:wrap type="none"/>
            <w10:anchorlock/>
          </v:shape>
          <o:OLEObject Type="Embed" ProgID="Equation.DSMT4" ShapeID="_x0000_i1130" DrawAspect="Content" ObjectID="_1468075830" r:id="rId247">
            <o:LockedField>false</o:LockedField>
          </o:OLEObject>
        </w:object>
      </w:r>
      <w:r>
        <w:rPr>
          <w:rFonts w:hint="eastAsia"/>
        </w:rPr>
        <w:t>为由</w:t>
      </w:r>
      <w:r>
        <w:rPr>
          <w:position w:val="-6"/>
        </w:rPr>
        <w:object>
          <v:shape id="_x0000_i1131" o:spt="75" type="#_x0000_t75" style="height:13.2pt;width:13.2pt;" o:ole="t" filled="f" o:preferrelative="t" stroked="f" coordsize="21600,21600">
            <v:path/>
            <v:fill on="f" focussize="0,0"/>
            <v:stroke on="f" joinstyle="miter"/>
            <v:imagedata r:id="rId250" o:title=""/>
            <o:lock v:ext="edit" aspectratio="t"/>
            <w10:wrap type="none"/>
            <w10:anchorlock/>
          </v:shape>
          <o:OLEObject Type="Embed" ProgID="Equation.DSMT4" ShapeID="_x0000_i1131" DrawAspect="Content" ObjectID="_1468075831" r:id="rId249">
            <o:LockedField>false</o:LockedField>
          </o:OLEObject>
        </w:object>
      </w:r>
      <w:r>
        <w:rPr>
          <w:rFonts w:hint="eastAsia"/>
        </w:rPr>
        <w:t>个逻辑节点组成的中间推理路径，</w:t>
      </w:r>
      <w:r>
        <w:rPr>
          <w:position w:val="-4"/>
        </w:rPr>
        <w:object>
          <v:shape id="_x0000_i1132" o:spt="75" type="#_x0000_t75" style="height:13.2pt;width:13.2pt;" o:ole="t" filled="f" o:preferrelative="t" stroked="f" coordsize="21600,21600">
            <v:path/>
            <v:fill on="f" focussize="0,0"/>
            <v:stroke on="f" joinstyle="miter"/>
            <v:imagedata r:id="rId252" o:title=""/>
            <o:lock v:ext="edit" aspectratio="t"/>
            <w10:wrap type="none"/>
            <w10:anchorlock/>
          </v:shape>
          <o:OLEObject Type="Embed" ProgID="Equation.DSMT4" ShapeID="_x0000_i1132" DrawAspect="Content" ObjectID="_1468075832" r:id="rId251">
            <o:LockedField>false</o:LockedField>
          </o:OLEObject>
        </w:object>
      </w:r>
      <w:r>
        <w:rPr>
          <w:rFonts w:hint="eastAsia"/>
        </w:rPr>
        <w:t>为最终输出。该分解表明，模型首先基于输入</w:t>
      </w:r>
      <w:r>
        <w:rPr>
          <w:position w:val="-4"/>
        </w:rPr>
        <w:object>
          <v:shape id="_x0000_i1133" o:spt="75" type="#_x0000_t75" style="height:13.2pt;width:13.2pt;" o:ole="t" filled="f" o:preferrelative="t" stroked="f" coordsize="21600,21600">
            <v:path/>
            <v:fill on="f" focussize="0,0"/>
            <v:stroke on="f" joinstyle="miter"/>
            <v:imagedata r:id="rId254" o:title=""/>
            <o:lock v:ext="edit" aspectratio="t"/>
            <w10:wrap type="none"/>
            <w10:anchorlock/>
          </v:shape>
          <o:OLEObject Type="Embed" ProgID="Equation.DSMT4" ShapeID="_x0000_i1133" DrawAspect="Content" ObjectID="_1468075833" r:id="rId253">
            <o:LockedField>false</o:LockedField>
          </o:OLEObject>
        </w:object>
      </w:r>
      <w:r>
        <w:rPr>
          <w:rFonts w:hint="eastAsia"/>
        </w:rPr>
        <w:t>生成推理路径</w:t>
      </w:r>
      <w:r>
        <w:rPr>
          <w:position w:val="-4"/>
        </w:rPr>
        <w:object>
          <v:shape id="_x0000_i1134" o:spt="75" type="#_x0000_t75" style="height:13.2pt;width:13.2pt;" o:ole="t" filled="f" o:preferrelative="t" stroked="f" coordsize="21600,21600">
            <v:path/>
            <v:fill on="f" focussize="0,0"/>
            <v:stroke on="f" joinstyle="miter"/>
            <v:imagedata r:id="rId256" o:title=""/>
            <o:lock v:ext="edit" aspectratio="t"/>
            <w10:wrap type="none"/>
            <w10:anchorlock/>
          </v:shape>
          <o:OLEObject Type="Embed" ProgID="Equation.DSMT4" ShapeID="_x0000_i1134" DrawAspect="Content" ObjectID="_1468075834" r:id="rId255">
            <o:LockedField>false</o:LockedField>
          </o:OLEObject>
        </w:object>
      </w:r>
      <w:r>
        <w:rPr>
          <w:rFonts w:hint="eastAsia"/>
        </w:rPr>
        <w:t>，再在</w:t>
      </w:r>
      <w:r>
        <w:rPr>
          <w:position w:val="-4"/>
        </w:rPr>
        <w:object>
          <v:shape id="_x0000_i1135" o:spt="75" type="#_x0000_t75" style="height:13.2pt;width:13.2pt;" o:ole="t" filled="f" o:preferrelative="t" stroked="f" coordsize="21600,21600">
            <v:path/>
            <v:fill on="f" focussize="0,0"/>
            <v:stroke on="f" joinstyle="miter"/>
            <v:imagedata r:id="rId258" o:title=""/>
            <o:lock v:ext="edit" aspectratio="t"/>
            <w10:wrap type="none"/>
            <w10:anchorlock/>
          </v:shape>
          <o:OLEObject Type="Embed" ProgID="Equation.DSMT4" ShapeID="_x0000_i1135" DrawAspect="Content" ObjectID="_1468075835" r:id="rId257">
            <o:LockedField>false</o:LockedField>
          </o:OLEObject>
        </w:object>
      </w:r>
      <w:r>
        <w:rPr>
          <w:rFonts w:hint="eastAsia"/>
        </w:rPr>
        <w:t>与</w:t>
      </w:r>
      <w:r>
        <w:rPr>
          <w:position w:val="-4"/>
        </w:rPr>
        <w:object>
          <v:shape id="_x0000_i1136" o:spt="75" type="#_x0000_t75" style="height:13.2pt;width:13.2pt;" o:ole="t" filled="f" o:preferrelative="t" stroked="f" coordsize="21600,21600">
            <v:path/>
            <v:fill on="f" focussize="0,0"/>
            <v:stroke on="f" joinstyle="miter"/>
            <v:imagedata r:id="rId260" o:title=""/>
            <o:lock v:ext="edit" aspectratio="t"/>
            <w10:wrap type="none"/>
            <w10:anchorlock/>
          </v:shape>
          <o:OLEObject Type="Embed" ProgID="Equation.DSMT4" ShapeID="_x0000_i1136" DrawAspect="Content" ObjectID="_1468075836" r:id="rId259">
            <o:LockedField>false</o:LockedField>
          </o:OLEObject>
        </w:object>
      </w:r>
      <w:r>
        <w:rPr>
          <w:rFonts w:hint="eastAsia"/>
        </w:rPr>
        <w:t>的双重条件约束下推导最终结果</w:t>
      </w:r>
      <w:r>
        <w:rPr>
          <w:position w:val="-4"/>
        </w:rPr>
        <w:object>
          <v:shape id="_x0000_i1137" o:spt="75" type="#_x0000_t75" style="height:13.2pt;width:13.2pt;" o:ole="t" filled="f" o:preferrelative="t" stroked="f" coordsize="21600,21600">
            <v:path/>
            <v:fill on="f" focussize="0,0"/>
            <v:stroke on="f" joinstyle="miter"/>
            <v:imagedata r:id="rId262" o:title=""/>
            <o:lock v:ext="edit" aspectratio="t"/>
            <w10:wrap type="none"/>
            <w10:anchorlock/>
          </v:shape>
          <o:OLEObject Type="Embed" ProgID="Equation.DSMT4" ShapeID="_x0000_i1137" DrawAspect="Content" ObjectID="_1468075837" r:id="rId261">
            <o:LockedField>false</o:LockedField>
          </o:OLEObject>
        </w:object>
      </w:r>
      <w:r>
        <w:rPr>
          <w:rFonts w:hint="eastAsia"/>
        </w:rPr>
        <w:t>。</w:t>
      </w:r>
    </w:p>
    <w:p/>
    <w:p>
      <w:pPr>
        <w:pStyle w:val="3"/>
      </w:pPr>
      <w:bookmarkStart w:id="50" w:name="_Toc229423335"/>
      <w:r>
        <w:rPr>
          <w:rFonts w:hint="eastAsia"/>
        </w:rPr>
        <w:t>本章小结</w:t>
      </w:r>
      <w:bookmarkEnd w:id="50"/>
    </w:p>
    <w:p>
      <w:r>
        <w:t>本章系统梳理了多模态分子性质预测的核心理论基础，为后续的模型构建确立了严谨的数学框架</w:t>
      </w:r>
      <w:r>
        <w:rPr>
          <w:rFonts w:hint="eastAsia"/>
        </w:rPr>
        <w:t>，提供了</w:t>
      </w:r>
      <w:r>
        <w:t>算法支撑。首先，明确了涵盖一维序列、二维拓扑、分子指纹与自然语言的多维数据表征方法，确</w:t>
      </w:r>
      <w:r>
        <w:rPr>
          <w:rFonts w:hint="eastAsia"/>
        </w:rPr>
        <w:t>定</w:t>
      </w:r>
      <w:r>
        <w:t>了模型的多</w:t>
      </w:r>
      <w:r>
        <w:rPr>
          <w:rFonts w:hint="eastAsia"/>
        </w:rPr>
        <w:t>模态数据</w:t>
      </w:r>
      <w:r>
        <w:t>输入。其次，深入剖析了特征提取的底层逻辑：在图空间</w:t>
      </w:r>
      <w:r>
        <w:rPr>
          <w:rFonts w:hint="eastAsia"/>
        </w:rPr>
        <w:t>上</w:t>
      </w:r>
      <w:r>
        <w:t>，</w:t>
      </w:r>
      <w:r>
        <w:rPr>
          <w:rFonts w:hint="eastAsia"/>
        </w:rPr>
        <w:t>阐述</w:t>
      </w:r>
      <w:r>
        <w:t>了消息传递神经网络及图Transformer的拓扑聚合机制；在文本语义</w:t>
      </w:r>
      <w:r>
        <w:rPr>
          <w:rFonts w:hint="eastAsia"/>
        </w:rPr>
        <w:t>上</w:t>
      </w:r>
      <w:r>
        <w:t>，详细阐释了Transformer自注意力架构、LoRA轻量化微调策略，以及激发大模型复杂因果推理的思维链理论。最后，界定了基于交叉注意力的特征动态融合与基于对比学习的跨模态空间对齐范式。综上所述，本章所构建的完整理论体系，为后文第三章与第四章中复杂网络架构的设计、目标函数的推导及多模态协同机制的实现奠定了基石。</w:t>
      </w:r>
    </w:p>
    <w:p/>
    <w:p>
      <w:pPr>
        <w:sectPr>
          <w:headerReference r:id="rId18" w:type="default"/>
          <w:headerReference r:id="rId19" w:type="even"/>
          <w:pgSz w:w="11906" w:h="16838"/>
          <w:pgMar w:top="1418" w:right="1134" w:bottom="1134" w:left="1418" w:header="851" w:footer="851" w:gutter="0"/>
          <w:cols w:space="425" w:num="1"/>
          <w:docGrid w:type="lines" w:linePitch="326" w:charSpace="0"/>
        </w:sectPr>
      </w:pPr>
    </w:p>
    <w:p>
      <w:pPr>
        <w:pStyle w:val="2"/>
      </w:pPr>
      <w:bookmarkStart w:id="51" w:name="_Toc229423336"/>
      <w:r>
        <w:rPr>
          <w:rFonts w:hint="eastAsia"/>
        </w:rPr>
        <w:t>基于思维链增强与消息传递的分子性质预测方法</w:t>
      </w:r>
      <w:bookmarkEnd w:id="51"/>
    </w:p>
    <w:p>
      <w:r>
        <w:rPr>
          <w:rFonts w:hint="eastAsia"/>
        </w:rPr>
        <w:t>在现代创新药物研发的早期阶段，精准评估候选分子的吸收、分布、代谢、排泄与毒性（ADMET）等性质，对于降低研发成本与规避后期临床风险具有至关重要的意义。近年来，随着计算化学与人工智能技术的交叉与发展，基于深度学习的分子表征技术在药物分子筛选中得到了广泛的应用。这类方法能够从分子结构和序列信息中自动地学习表征信息，从而提高分子性质预测的准确性。</w:t>
      </w:r>
    </w:p>
    <w:p>
      <w:r>
        <w:rPr>
          <w:rFonts w:hint="eastAsia"/>
        </w:rPr>
        <w:t>然而，在面对一些复杂的ADMET任务的时候，现有方法仍存在一些不足。一方面，传统的图神经网络大多依赖于局部节点的无向聚合机制，较少显式建模原子与化学键在消息传递中的动态交互，因此在处理多环结构和复杂长链分子的时候，结构表征能力仍然受到一定的限制。另一方面，虽然大语言模型在知识表示和文本生成方面表现出较强的能力，但是现有方法往往直接利用其完成分子性质的预测，缺少了对中间推理步骤的约束，</w:t>
      </w:r>
      <w:r>
        <w:t>因而在结果解释和生成稳定性方面仍存在不足。</w:t>
      </w:r>
    </w:p>
    <w:p>
      <w:r>
        <w:rPr>
          <w:rFonts w:hint="eastAsia"/>
        </w:rPr>
        <w:t>针对以上问题，</w:t>
      </w:r>
      <w:r>
        <w:t>本章提出了一种基于思维链增强与通信式图交互的分子性质预测模型（Chain-of-Thought enabled Communicative Message Passing framework, CoT-CMP）</w:t>
      </w:r>
      <w:r>
        <w:rPr>
          <w:rFonts w:hint="eastAsia"/>
        </w:rPr>
        <w:t>。该方法创新性地构建了双塔融合架构：在文本编码端，引入LLaMA-3.1</w:t>
      </w:r>
      <w:r>
        <w:rPr>
          <w:vertAlign w:val="superscript"/>
        </w:rPr>
        <w:fldChar w:fldCharType="begin"/>
      </w:r>
      <w:r>
        <w:rPr>
          <w:vertAlign w:val="superscript"/>
        </w:rPr>
        <w:instrText xml:space="preserve"> </w:instrText>
      </w:r>
      <w:r>
        <w:rPr>
          <w:rFonts w:hint="eastAsia"/>
          <w:vertAlign w:val="superscript"/>
        </w:rPr>
        <w:instrText xml:space="preserve">REF _Ref225763888 \r \h</w:instrText>
      </w:r>
      <w:r>
        <w:rPr>
          <w:vertAlign w:val="superscript"/>
        </w:rPr>
        <w:instrText xml:space="preserve">  \* MERGEFORMAT </w:instrText>
      </w:r>
      <w:r>
        <w:rPr>
          <w:vertAlign w:val="superscript"/>
        </w:rPr>
        <w:fldChar w:fldCharType="separate"/>
      </w:r>
      <w:r>
        <w:rPr>
          <w:vertAlign w:val="superscript"/>
        </w:rPr>
        <w:t>[57]</w:t>
      </w:r>
      <w:r>
        <w:rPr>
          <w:vertAlign w:val="superscript"/>
        </w:rPr>
        <w:fldChar w:fldCharType="end"/>
      </w:r>
      <w:r>
        <w:rPr>
          <w:rFonts w:hint="eastAsia"/>
        </w:rPr>
        <w:t>大语言模型与低秩自适应（LoRA）轻量化微调技术，并结合思维链（CoT）提示工程，引导模型自发生成包含</w:t>
      </w:r>
      <w:r>
        <w:t>微观结构识别</w:t>
      </w:r>
      <w:r>
        <w:rPr>
          <w:rFonts w:hint="eastAsia"/>
        </w:rPr>
        <w:t>、</w:t>
      </w:r>
      <w:r>
        <w:t>理化属性分析</w:t>
      </w:r>
      <w:r>
        <w:rPr>
          <w:rFonts w:hint="eastAsia"/>
        </w:rPr>
        <w:t>和</w:t>
      </w:r>
      <w:r>
        <w:t>目标性质推导</w:t>
      </w:r>
      <w:r>
        <w:rPr>
          <w:rFonts w:hint="eastAsia"/>
        </w:rPr>
        <w:t>的显式逻辑推理文本，</w:t>
      </w:r>
      <w:r>
        <w:t>增强了模型决策过程的可解释性</w:t>
      </w:r>
      <w:r>
        <w:rPr>
          <w:rFonts w:hint="eastAsia"/>
        </w:rPr>
        <w:t>；在分子图编码端，采用交互式图神经网络（CMPNN）对分子图进行编码，</w:t>
      </w:r>
      <w:r>
        <w:t>通过增强原子与化学键之间的特征交互，提高结构表征能力</w:t>
      </w:r>
      <w:r>
        <w:rPr>
          <w:rFonts w:hint="eastAsia"/>
        </w:rPr>
        <w:t>。随后，本框架通过交叉注意力机制，</w:t>
      </w:r>
      <w:r>
        <w:t>对图特征与文本特征进行融合，以提升对复杂ADMET任务的预测效果</w:t>
      </w:r>
      <w:r>
        <w:rPr>
          <w:rFonts w:hint="eastAsia"/>
        </w:rPr>
        <w:t>。</w:t>
      </w:r>
    </w:p>
    <w:p>
      <w:pPr>
        <w:pStyle w:val="3"/>
      </w:pPr>
      <w:bookmarkStart w:id="52" w:name="_Toc229423337"/>
      <w:r>
        <w:rPr>
          <w:rFonts w:hint="eastAsia"/>
        </w:rPr>
        <w:t>模型设计与描述</w:t>
      </w:r>
      <w:bookmarkEnd w:id="52"/>
    </w:p>
    <w:p>
      <w:pPr>
        <w:pStyle w:val="4"/>
        <w:rPr>
          <w:rFonts w:hint="default"/>
        </w:rPr>
      </w:pPr>
      <w:bookmarkStart w:id="53" w:name="_Toc229423338"/>
      <w:r>
        <w:t>CoT-CMP架构概述</w:t>
      </w:r>
      <w:bookmarkEnd w:id="53"/>
    </w:p>
    <w:p>
      <w:r>
        <w:rPr>
          <w:rFonts w:hint="eastAsia"/>
        </w:rPr>
        <w:t>针对ADMET（吸收、分布、代谢、排泄、毒性）分子性质预测任务中存在的结构特征与语义逻辑难以对齐的挑战，本章提出了一种基于思维链增强与通信式图交互的分子性质预测模型</w:t>
      </w:r>
      <w:r>
        <w:t>（Chain-of-Thought enabled Communicative Message Passing framework, CoT-CMP）</w:t>
      </w:r>
      <w:r>
        <w:rPr>
          <w:rFonts w:hint="eastAsia"/>
        </w:rPr>
        <w:t>。该模型采用双塔编码结构，并在此基础上加入跨模态融合模块。</w:t>
      </w:r>
    </w:p>
    <w:p>
      <w:r>
        <w:rPr>
          <w:rFonts w:hint="eastAsia"/>
        </w:rPr>
        <w:t>其中，文本端利用大语言模型显式的逻辑推理能力来弥补传统模型</w:t>
      </w:r>
      <w:r>
        <w:t>在可解释性上的不足</w:t>
      </w:r>
      <w:r>
        <w:rPr>
          <w:rFonts w:hint="eastAsia"/>
        </w:rPr>
        <w:t>；图结构端则通过改进的通信式图神经网络捕捉分子内部原子和化学键之间的交互关系，从而提升表征能力。ADMET数据集通常样本规模较小且具有较强的领域特异性，所以本文采用面向下游任务的直接微调策略</w:t>
      </w:r>
      <w:r>
        <w:fldChar w:fldCharType="begin"/>
      </w:r>
      <w:r>
        <w:instrText xml:space="preserve"> </w:instrText>
      </w:r>
      <w:r>
        <w:rPr>
          <w:rFonts w:hint="eastAsia"/>
        </w:rPr>
        <w:instrText xml:space="preserve">MACROBUTTON MTEditEquationSection2</w:instrText>
      </w:r>
      <w:r>
        <w:instrText xml:space="preserve"> </w:instrText>
      </w:r>
      <w:r>
        <w:rPr>
          <w:rStyle w:val="43"/>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Pr>
          <w:rFonts w:hint="eastAsia"/>
        </w:rPr>
        <w:t>。如</w:t>
      </w:r>
      <w:r>
        <w:fldChar w:fldCharType="begin"/>
      </w:r>
      <w:r>
        <w:instrText xml:space="preserve"> </w:instrText>
      </w:r>
      <w:r>
        <w:rPr>
          <w:rFonts w:hint="eastAsia"/>
        </w:rPr>
        <w:instrText xml:space="preserve">REF _Ref224304649 \h</w:instrText>
      </w:r>
      <w:r>
        <w:instrText xml:space="preserve"> </w:instrText>
      </w:r>
      <w:r>
        <w:fldChar w:fldCharType="separate"/>
      </w:r>
      <w:r>
        <w:rPr>
          <w:rFonts w:hint="eastAsia"/>
        </w:rPr>
        <w:t>图3-</w:t>
      </w:r>
      <w:r>
        <w:t>1</w:t>
      </w:r>
      <w:r>
        <w:fldChar w:fldCharType="end"/>
      </w:r>
      <w:r>
        <w:rPr>
          <w:rFonts w:hint="eastAsia"/>
        </w:rPr>
        <w:t>所示，</w:t>
      </w:r>
      <w:r>
        <w:t>整个模型主要包括文本编码、图编码和融合预测三个部分</w:t>
      </w:r>
      <w:r>
        <w:rPr>
          <w:rFonts w:hint="eastAsia"/>
        </w:rPr>
        <w:t>，详细介绍如下。</w:t>
      </w:r>
    </w:p>
    <w:p>
      <w:r>
        <w:rPr>
          <w:rFonts w:hint="eastAsia"/>
        </w:rPr>
        <w:t>首先是基于思维链的大语言模型文本编码模块，该模块利用LLaMA-3.1-8B强大的广义知识库与逻辑推理能力，通过提示词工程将分子的SMILES序列转化为蕴含丰富药理规则的显式推理文本，最后使用低秩自适应（LoRA）技术</w:t>
      </w:r>
      <w:r>
        <w:t>对模型进行轻量化微调，从生成文本中提取相应的语义特征</w:t>
      </w:r>
      <w:r>
        <w:rPr>
          <w:rFonts w:hint="eastAsia"/>
        </w:rPr>
        <w:t>。</w:t>
      </w:r>
    </w:p>
    <w:p>
      <w:r>
        <w:rPr>
          <w:rFonts w:hint="eastAsia"/>
        </w:rPr>
        <w:t>其次是交互式图编码模块，该模块引入了CMPNN</w:t>
      </w:r>
      <w:r>
        <w:rPr>
          <w:vertAlign w:val="superscript"/>
        </w:rPr>
        <w:fldChar w:fldCharType="begin"/>
      </w:r>
      <w:r>
        <w:rPr>
          <w:vertAlign w:val="superscript"/>
        </w:rPr>
        <w:instrText xml:space="preserve"> </w:instrText>
      </w:r>
      <w:r>
        <w:rPr>
          <w:rFonts w:hint="eastAsia"/>
          <w:vertAlign w:val="superscript"/>
        </w:rPr>
        <w:instrText xml:space="preserve">REF _Ref225763909 \r \h</w:instrText>
      </w:r>
      <w:r>
        <w:rPr>
          <w:vertAlign w:val="superscript"/>
        </w:rPr>
        <w:instrText xml:space="preserve">  \* MERGEFORMAT </w:instrText>
      </w:r>
      <w:r>
        <w:rPr>
          <w:vertAlign w:val="superscript"/>
        </w:rPr>
        <w:fldChar w:fldCharType="separate"/>
      </w:r>
      <w:r>
        <w:rPr>
          <w:vertAlign w:val="superscript"/>
        </w:rPr>
        <w:t>[58]</w:t>
      </w:r>
      <w:r>
        <w:rPr>
          <w:vertAlign w:val="superscript"/>
        </w:rPr>
        <w:fldChar w:fldCharType="end"/>
      </w:r>
      <w:r>
        <w:rPr>
          <w:rFonts w:hint="eastAsia"/>
        </w:rPr>
        <w:t>(Communicative Message Passing Neural Network)架构。</w:t>
      </w:r>
      <w:r>
        <w:t>与以节点聚合为主的常规图消息传递方式不同，该模块更加关注原子信息与键关系在传播过程中的协同建模，使边特征不再只是辅助信息，而是与节点表示共同参与分子结构建模</w:t>
      </w:r>
      <w:r>
        <w:rPr>
          <w:rFonts w:hint="eastAsia"/>
        </w:rPr>
        <w:t>，</w:t>
      </w:r>
      <w:r>
        <w:t>从而增强模型对分子局部结构关系的建模能力。</w:t>
      </w:r>
    </w:p>
    <w:p>
      <w:r>
        <w:rPr>
          <w:rFonts w:hint="eastAsia"/>
        </w:rPr>
        <w:t>最后是多模态融合预测模块，该模块以结构信息更为稳定的图表征作为查询端，通过交叉注意力机制动态聚合文本推理特征，最终通过多层感知机输出分子ADMET性质预测结果。这种设计不仅赋予了模型强大的预测能力，更通过思维链的生成与关键子结构的交互，显著提升了模型决策过程的可解释性。</w:t>
      </w:r>
    </w:p>
    <w:p/>
    <w:p>
      <w:pPr>
        <w:ind w:firstLine="0" w:firstLineChars="0"/>
        <w:jc w:val="center"/>
      </w:pPr>
      <w:r>
        <w:rPr>
          <w:rFonts w:hint="eastAsia"/>
        </w:rPr>
        <w:drawing>
          <wp:inline distT="0" distB="0" distL="114300" distR="114300">
            <wp:extent cx="6200775" cy="2244725"/>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3"/>
                    <a:stretch>
                      <a:fillRect/>
                    </a:stretch>
                  </pic:blipFill>
                  <pic:spPr>
                    <a:xfrm>
                      <a:off x="0" y="0"/>
                      <a:ext cx="6201354" cy="2245057"/>
                    </a:xfrm>
                    <a:prstGeom prst="rect">
                      <a:avLst/>
                    </a:prstGeom>
                  </pic:spPr>
                </pic:pic>
              </a:graphicData>
            </a:graphic>
          </wp:inline>
        </w:drawing>
      </w:r>
    </w:p>
    <w:p>
      <w:pPr>
        <w:pStyle w:val="11"/>
      </w:pPr>
      <w:bookmarkStart w:id="54" w:name="_Ref224304649"/>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w:t>
      </w:r>
      <w:r>
        <w:fldChar w:fldCharType="end"/>
      </w:r>
      <w:bookmarkEnd w:id="54"/>
      <w:r>
        <w:t xml:space="preserve"> </w:t>
      </w:r>
      <w:r>
        <w:rPr>
          <w:rFonts w:hint="eastAsia"/>
        </w:rPr>
        <w:t>CoT-CMP架构图</w:t>
      </w:r>
    </w:p>
    <w:p>
      <w:pPr>
        <w:pStyle w:val="4"/>
        <w:rPr>
          <w:rFonts w:hint="default"/>
        </w:rPr>
      </w:pPr>
      <w:bookmarkStart w:id="55" w:name="_Toc229423339"/>
      <w:r>
        <w:rPr>
          <w:rFonts w:ascii="宋体" w:hAnsi="宋体" w:cs="宋体"/>
        </w:rPr>
        <w:t>思维链增强的文本编码器</w:t>
      </w:r>
      <w:bookmarkEnd w:id="55"/>
    </w:p>
    <w:p>
      <w:r>
        <w:t>在药物分子性质预测中，传统的文本编码方式往往仅将SMILES字符串视为无语义的符号序列，</w:t>
      </w:r>
      <w:r>
        <w:rPr>
          <w:rFonts w:hint="eastAsia"/>
        </w:rPr>
        <w:t>难以捕捉分子结构与性质之间的关系</w:t>
      </w:r>
      <w:r>
        <w:t>。为了解决这一问题，本</w:t>
      </w:r>
      <w:r>
        <w:rPr>
          <w:rFonts w:hint="eastAsia"/>
        </w:rPr>
        <w:t>文</w:t>
      </w:r>
      <w:r>
        <w:t>引入了思维链（Chain-of-Thought, CoT）技术，旨在模拟药物化学家在分析分子时的逐步推理过程</w:t>
      </w:r>
      <w:r>
        <w:rPr>
          <w:rFonts w:hint="eastAsia"/>
        </w:rPr>
        <w:t>，以便</w:t>
      </w:r>
      <w:r>
        <w:t>使模型能够生成更具逻辑性的推理文本，并为结果解释提供依据。文本编码器的首要任务是</w:t>
      </w:r>
      <w:r>
        <w:rPr>
          <w:rFonts w:hint="eastAsia"/>
        </w:rPr>
        <w:t>进行</w:t>
      </w:r>
      <w:r>
        <w:t>高质量的提示词工程。</w:t>
      </w:r>
      <w:r>
        <w:rPr>
          <w:rFonts w:hint="eastAsia"/>
        </w:rPr>
        <w:t>本架构</w:t>
      </w:r>
      <w:r>
        <w:t>不再直接要求模型输出预测结果，而是设计了一种包含分子描述</w:t>
      </w:r>
      <w:r>
        <w:rPr>
          <w:rFonts w:hint="eastAsia"/>
        </w:rPr>
        <w:t>、</w:t>
      </w:r>
      <w:r>
        <w:t>任务指令</w:t>
      </w:r>
      <w:r>
        <w:rPr>
          <w:rFonts w:hint="eastAsia"/>
        </w:rPr>
        <w:t>、</w:t>
      </w:r>
      <w:r>
        <w:t>推理引导的复合提示</w:t>
      </w:r>
      <w:r>
        <w:rPr>
          <w:rFonts w:hint="eastAsia"/>
        </w:rPr>
        <w:t>词</w:t>
      </w:r>
      <w:r>
        <w:t>模板。具体来说，输入的SMILES序列</w:t>
      </w:r>
      <w:r>
        <w:rPr>
          <w:rFonts w:hint="eastAsia"/>
        </w:rPr>
        <w:t>和理化性质会</w:t>
      </w:r>
      <w:r>
        <w:t>结合“Let's think step by step”</w:t>
      </w:r>
      <w:r>
        <w:rPr>
          <w:vertAlign w:val="superscript"/>
        </w:rPr>
        <w:fldChar w:fldCharType="begin"/>
      </w:r>
      <w:r>
        <w:rPr>
          <w:vertAlign w:val="superscript"/>
        </w:rPr>
        <w:instrText xml:space="preserve"> REF _Ref225763929 \r \h  \* MERGEFORMAT </w:instrText>
      </w:r>
      <w:r>
        <w:rPr>
          <w:vertAlign w:val="superscript"/>
        </w:rPr>
        <w:fldChar w:fldCharType="separate"/>
      </w:r>
      <w:r>
        <w:rPr>
          <w:vertAlign w:val="superscript"/>
        </w:rPr>
        <w:t>[59]</w:t>
      </w:r>
      <w:r>
        <w:rPr>
          <w:vertAlign w:val="superscript"/>
        </w:rPr>
        <w:fldChar w:fldCharType="end"/>
      </w:r>
      <w:r>
        <w:rPr>
          <w:rFonts w:hint="eastAsia"/>
        </w:rPr>
        <w:t>相关</w:t>
      </w:r>
      <w:r>
        <w:t>的引导指令输入至大语言模型中</w:t>
      </w:r>
      <w:r>
        <w:rPr>
          <w:rFonts w:hint="eastAsia"/>
        </w:rPr>
        <w:t>。详细的提示词模板如</w:t>
      </w:r>
      <w:r>
        <w:fldChar w:fldCharType="begin"/>
      </w:r>
      <w:r>
        <w:instrText xml:space="preserve"> </w:instrText>
      </w:r>
      <w:r>
        <w:rPr>
          <w:rFonts w:hint="eastAsia"/>
        </w:rPr>
        <w:instrText xml:space="preserve">REF _Ref224754368 \h</w:instrText>
      </w:r>
      <w:r>
        <w:instrText xml:space="preserve"> </w:instrText>
      </w:r>
      <w:r>
        <w:fldChar w:fldCharType="separate"/>
      </w:r>
      <w:r>
        <w:rPr>
          <w:rFonts w:hint="eastAsia"/>
        </w:rPr>
        <w:t>表3-</w:t>
      </w:r>
      <w:r>
        <w:t>1</w:t>
      </w:r>
      <w:r>
        <w:fldChar w:fldCharType="end"/>
      </w:r>
      <w:r>
        <w:rPr>
          <w:rFonts w:hint="eastAsia"/>
        </w:rPr>
        <w:t>所示</w:t>
      </w:r>
      <w:r>
        <w:t>。</w:t>
      </w:r>
    </w:p>
    <w:p>
      <w:pPr>
        <w:pStyle w:val="11"/>
      </w:pPr>
      <w:bookmarkStart w:id="56" w:name="_Ref224754368"/>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1</w:t>
      </w:r>
      <w:r>
        <w:fldChar w:fldCharType="end"/>
      </w:r>
      <w:bookmarkEnd w:id="56"/>
      <w:r>
        <w:rPr>
          <w:rFonts w:hint="eastAsia"/>
        </w:rPr>
        <w:t xml:space="preserve"> 提示词模板</w:t>
      </w:r>
    </w:p>
    <w:tbl>
      <w:tblPr>
        <w:tblStyle w:val="2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5"/>
        <w:gridCol w:w="719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1" w:type="pct"/>
            <w:tcBorders>
              <w:top w:val="single" w:color="auto" w:sz="12" w:space="0"/>
              <w:bottom w:val="single" w:color="auto" w:sz="8" w:space="0"/>
            </w:tcBorders>
            <w:vAlign w:val="center"/>
          </w:tcPr>
          <w:p>
            <w:pPr>
              <w:spacing w:line="300" w:lineRule="auto"/>
              <w:ind w:firstLine="0" w:firstLineChars="0"/>
              <w:jc w:val="center"/>
            </w:pPr>
            <w:r>
              <w:t>System Instruction</w:t>
            </w:r>
          </w:p>
        </w:tc>
        <w:tc>
          <w:tcPr>
            <w:tcW w:w="3759" w:type="pct"/>
            <w:tcBorders>
              <w:top w:val="single" w:color="auto" w:sz="12" w:space="0"/>
              <w:bottom w:val="single" w:color="auto" w:sz="8" w:space="0"/>
            </w:tcBorders>
          </w:tcPr>
          <w:p>
            <w:pPr>
              <w:spacing w:line="300" w:lineRule="auto"/>
              <w:ind w:firstLine="0" w:firstLineChars="0"/>
            </w:pPr>
            <w:r>
              <w:t>You are an expert medicinal chemist and toxicologist. Your task is to analyze the molecular structure and predict its property in a specific biochemical task.</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1" w:type="pct"/>
            <w:tcBorders>
              <w:top w:val="single" w:color="auto" w:sz="8" w:space="0"/>
              <w:bottom w:val="single" w:color="auto" w:sz="8" w:space="0"/>
            </w:tcBorders>
            <w:vAlign w:val="center"/>
          </w:tcPr>
          <w:p>
            <w:pPr>
              <w:spacing w:line="300" w:lineRule="auto"/>
              <w:ind w:firstLine="0" w:firstLineChars="0"/>
              <w:jc w:val="center"/>
            </w:pPr>
            <w:r>
              <w:t>Input Context</w:t>
            </w:r>
          </w:p>
        </w:tc>
        <w:tc>
          <w:tcPr>
            <w:tcW w:w="3759" w:type="pct"/>
            <w:tcBorders>
              <w:top w:val="single" w:color="auto" w:sz="8" w:space="0"/>
              <w:bottom w:val="single" w:color="auto" w:sz="8" w:space="0"/>
            </w:tcBorders>
          </w:tcPr>
          <w:p>
            <w:pPr>
              <w:spacing w:line="300" w:lineRule="auto"/>
              <w:ind w:firstLine="0" w:firstLineChars="0"/>
            </w:pPr>
            <w:r>
              <w:t>Here is the information of a specific drug molecule:</w:t>
            </w:r>
          </w:p>
          <w:p>
            <w:pPr>
              <w:spacing w:line="300" w:lineRule="auto"/>
              <w:ind w:firstLine="0" w:firstLineChars="0"/>
            </w:pPr>
            <w:r>
              <w:t>SMILES: {smiles}</w:t>
            </w:r>
          </w:p>
          <w:p>
            <w:pPr>
              <w:spacing w:line="300" w:lineRule="auto"/>
              <w:ind w:firstLine="0" w:firstLineChars="0"/>
            </w:pPr>
            <w:r>
              <w:t>Physicochemical Properties:</w:t>
            </w:r>
            <w:r>
              <w:rPr>
                <w:rFonts w:hint="eastAsia"/>
              </w:rPr>
              <w:t xml:space="preserve"> </w:t>
            </w:r>
            <w:r>
              <w:t>{properties}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1" w:type="pct"/>
            <w:tcBorders>
              <w:top w:val="single" w:color="auto" w:sz="8" w:space="0"/>
              <w:bottom w:val="single" w:color="auto" w:sz="8" w:space="0"/>
            </w:tcBorders>
            <w:vAlign w:val="center"/>
          </w:tcPr>
          <w:p>
            <w:pPr>
              <w:spacing w:line="300" w:lineRule="auto"/>
              <w:ind w:firstLine="0" w:firstLineChars="0"/>
              <w:jc w:val="center"/>
            </w:pPr>
            <w:r>
              <w:t>Task</w:t>
            </w:r>
          </w:p>
        </w:tc>
        <w:tc>
          <w:tcPr>
            <w:tcW w:w="3759" w:type="pct"/>
            <w:tcBorders>
              <w:top w:val="single" w:color="auto" w:sz="8" w:space="0"/>
              <w:bottom w:val="single" w:color="auto" w:sz="8" w:space="0"/>
            </w:tcBorders>
          </w:tcPr>
          <w:p>
            <w:pPr>
              <w:spacing w:line="300" w:lineRule="auto"/>
              <w:ind w:firstLine="0" w:firstLineChars="0"/>
            </w:pPr>
            <w:r>
              <w:t>Let's think step by step. Determine whether this molecule is likely to exhibit the target property in the {dataset_task} task.</w:t>
            </w:r>
          </w:p>
          <w:p>
            <w:pPr>
              <w:spacing w:line="300" w:lineRule="auto"/>
              <w:ind w:firstLine="0" w:firstLineChars="0"/>
            </w:pPr>
            <w:r>
              <w:t>Please reason explicitly in the following three stages:</w:t>
            </w:r>
          </w:p>
          <w:p>
            <w:pPr>
              <w:spacing w:line="300" w:lineRule="auto"/>
              <w:ind w:firstLine="0" w:firstLineChars="0"/>
            </w:pPr>
            <w:r>
              <w:t>1. Key Substructure Identification:</w:t>
            </w:r>
          </w:p>
          <w:p>
            <w:pPr>
              <w:spacing w:line="300" w:lineRule="auto"/>
              <w:ind w:firstLine="0" w:firstLineChars="0"/>
            </w:pPr>
            <w:r>
              <w:t>Identify the major functional groups, ring systems, and core scaffold.</w:t>
            </w:r>
          </w:p>
          <w:p>
            <w:pPr>
              <w:spacing w:line="300" w:lineRule="auto"/>
              <w:ind w:firstLine="0" w:firstLineChars="0"/>
            </w:pPr>
            <w:r>
              <w:t>2. Physicochemical and Toxicological Interpretation:</w:t>
            </w:r>
          </w:p>
          <w:p>
            <w:pPr>
              <w:spacing w:line="300" w:lineRule="auto"/>
              <w:ind w:firstLine="0" w:firstLineChars="0"/>
            </w:pPr>
            <w:r>
              <w:t>Explain how the identified substructures and the provided physicochemical properties may contribute to the target property.</w:t>
            </w:r>
          </w:p>
          <w:p>
            <w:pPr>
              <w:spacing w:line="300" w:lineRule="auto"/>
              <w:ind w:firstLine="0" w:firstLineChars="0"/>
            </w:pPr>
            <w:r>
              <w:t>3. Final Property Deduction:</w:t>
            </w:r>
          </w:p>
          <w:p>
            <w:pPr>
              <w:spacing w:line="300" w:lineRule="auto"/>
              <w:ind w:firstLine="0" w:firstLineChars="0"/>
            </w:pPr>
            <w:r>
              <w:t>Provide one concise sentence summarizing whether the molecule is likely to exhibit the target property.</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1" w:type="pct"/>
            <w:tcBorders>
              <w:top w:val="single" w:color="auto" w:sz="8" w:space="0"/>
            </w:tcBorders>
            <w:vAlign w:val="center"/>
          </w:tcPr>
          <w:p>
            <w:pPr>
              <w:spacing w:line="300" w:lineRule="auto"/>
              <w:ind w:firstLine="0" w:firstLineChars="0"/>
              <w:jc w:val="center"/>
            </w:pPr>
            <w:r>
              <w:t>Output Format</w:t>
            </w:r>
          </w:p>
        </w:tc>
        <w:tc>
          <w:tcPr>
            <w:tcW w:w="3759" w:type="pct"/>
            <w:tcBorders>
              <w:top w:val="single" w:color="auto" w:sz="8" w:space="0"/>
            </w:tcBorders>
          </w:tcPr>
          <w:p>
            <w:pPr>
              <w:spacing w:line="300" w:lineRule="auto"/>
              <w:ind w:firstLine="0" w:firstLineChars="0"/>
            </w:pPr>
            <w:r>
              <w:t>[Key Substructure Identification]</w:t>
            </w:r>
          </w:p>
          <w:p>
            <w:pPr>
              <w:spacing w:line="300" w:lineRule="auto"/>
              <w:ind w:firstLine="0" w:firstLineChars="0"/>
            </w:pPr>
            <w:r>
              <w:t>…</w:t>
            </w:r>
          </w:p>
          <w:p>
            <w:pPr>
              <w:spacing w:line="300" w:lineRule="auto"/>
              <w:ind w:firstLine="0" w:firstLineChars="0"/>
            </w:pPr>
            <w:r>
              <w:t>[Physicochemical and Toxicological Interpretation]</w:t>
            </w:r>
          </w:p>
          <w:p>
            <w:pPr>
              <w:spacing w:line="300" w:lineRule="auto"/>
              <w:ind w:firstLine="0" w:firstLineChars="0"/>
            </w:pPr>
            <w:r>
              <w:t>…</w:t>
            </w:r>
          </w:p>
          <w:p>
            <w:pPr>
              <w:spacing w:line="300" w:lineRule="auto"/>
              <w:ind w:firstLine="0" w:firstLineChars="0"/>
            </w:pPr>
            <w:r>
              <w:t>[Final Property Deduction]</w:t>
            </w:r>
          </w:p>
          <w:p>
            <w:pPr>
              <w:spacing w:line="300" w:lineRule="auto"/>
              <w:ind w:firstLine="0" w:firstLineChars="0"/>
            </w:pPr>
            <w:r>
              <w:t>…</w:t>
            </w:r>
          </w:p>
        </w:tc>
      </w:tr>
    </w:tbl>
    <w:p>
      <w:r>
        <w:t>首先，将分子的SMILES序列</w:t>
      </w:r>
      <w:r>
        <w:rPr>
          <w:position w:val="-6"/>
        </w:rPr>
        <w:object>
          <v:shape id="_x0000_i1138" o:spt="75" type="#_x0000_t75" style="height:13.2pt;width:12pt;" o:ole="t" filled="f" o:preferrelative="t" stroked="f" coordsize="21600,21600">
            <v:path/>
            <v:fill on="f" focussize="0,0"/>
            <v:stroke on="f" joinstyle="miter"/>
            <v:imagedata r:id="rId265" o:title=""/>
            <o:lock v:ext="edit" aspectratio="t"/>
            <w10:wrap type="none"/>
            <w10:anchorlock/>
          </v:shape>
          <o:OLEObject Type="Embed" ProgID="Equation.DSMT4" ShapeID="_x0000_i1138" DrawAspect="Content" ObjectID="_1468075838" r:id="rId264">
            <o:LockedField>false</o:LockedField>
          </o:OLEObject>
        </w:object>
      </w:r>
      <w:r>
        <w:t>与理化属性集合</w:t>
      </w:r>
      <w:r>
        <w:rPr>
          <w:position w:val="-4"/>
        </w:rPr>
        <w:object>
          <v:shape id="_x0000_i1139" o:spt="75" type="#_x0000_t75" style="height:13.2pt;width:12pt;" o:ole="t" filled="f" o:preferrelative="t" stroked="f" coordsize="21600,21600">
            <v:path/>
            <v:fill on="f" focussize="0,0"/>
            <v:stroke on="f" joinstyle="miter"/>
            <v:imagedata r:id="rId267" o:title=""/>
            <o:lock v:ext="edit" aspectratio="t"/>
            <w10:wrap type="none"/>
            <w10:anchorlock/>
          </v:shape>
          <o:OLEObject Type="Embed" ProgID="Equation.DSMT4" ShapeID="_x0000_i1139" DrawAspect="Content" ObjectID="_1468075839" r:id="rId266">
            <o:LockedField>false</o:LockedField>
          </o:OLEObject>
        </w:object>
      </w:r>
      <w:r>
        <w:t>通过提示词模板函数</w:t>
      </w:r>
      <w:r>
        <w:rPr>
          <w:position w:val="-4"/>
        </w:rPr>
        <w:object>
          <v:shape id="_x0000_i1140" o:spt="75" type="#_x0000_t75" style="height:12pt;width:13.2pt;" o:ole="t" filled="f" o:preferrelative="t" stroked="f" coordsize="21600,21600">
            <v:path/>
            <v:fill on="f" focussize="0,0"/>
            <v:stroke on="f" joinstyle="miter"/>
            <v:imagedata r:id="rId269" o:title=""/>
            <o:lock v:ext="edit" aspectratio="t"/>
            <w10:wrap type="none"/>
            <w10:anchorlock/>
          </v:shape>
          <o:OLEObject Type="Embed" ProgID="Equation.DSMT4" ShapeID="_x0000_i1140" DrawAspect="Content" ObjectID="_1468075840" r:id="rId268">
            <o:LockedField>false</o:LockedField>
          </o:OLEObject>
        </w:object>
      </w:r>
      <w:r>
        <w:t>封装为用于生成的指令上下文</w:t>
      </w:r>
      <w:r>
        <w:rPr>
          <w:position w:val="-14"/>
        </w:rPr>
        <w:object>
          <v:shape id="_x0000_i1141" o:spt="75" type="#_x0000_t75" style="height:18.6pt;width:36pt;" o:ole="t" filled="f" o:preferrelative="t" stroked="f" coordsize="21600,21600">
            <v:path/>
            <v:fill on="f" focussize="0,0"/>
            <v:stroke on="f" joinstyle="miter"/>
            <v:imagedata r:id="rId271" o:title=""/>
            <o:lock v:ext="edit" aspectratio="t"/>
            <w10:wrap type="none"/>
            <w10:anchorlock/>
          </v:shape>
          <o:OLEObject Type="Embed" ProgID="Equation.DSMT4" ShapeID="_x0000_i1141" DrawAspect="Content" ObjectID="_1468075841" r:id="rId270">
            <o:LockedField>false</o:LockedField>
          </o:OLEObject>
        </w:object>
      </w:r>
      <w:r>
        <w:rPr>
          <w:rFonts w:hint="eastAsia"/>
        </w:rPr>
        <w:t>，如公式</w:t>
      </w:r>
      <w:r>
        <w:rPr>
          <w:iCs/>
        </w:rPr>
        <w:fldChar w:fldCharType="begin"/>
      </w:r>
      <w:r>
        <w:rPr>
          <w:iCs/>
        </w:rPr>
        <w:instrText xml:space="preserve"> </w:instrText>
      </w:r>
      <w:r>
        <w:rPr>
          <w:rFonts w:hint="eastAsia"/>
          <w:iCs/>
        </w:rPr>
        <w:instrText xml:space="preserve">GOTOBUTTON ZEqnNum322456  \* MERGEFORMAT</w:instrText>
      </w:r>
      <w:r>
        <w:rPr>
          <w:iCs/>
        </w:rPr>
        <w:instrText xml:space="preserve"> </w:instrText>
      </w:r>
      <w:r>
        <w:rPr>
          <w:iCs/>
        </w:rPr>
        <w:fldChar w:fldCharType="begin"/>
      </w:r>
      <w:r>
        <w:rPr>
          <w:iCs/>
        </w:rPr>
        <w:instrText xml:space="preserve"> REF ZEqnNum322456 \* Charformat \! \* MERGEFORMAT </w:instrText>
      </w:r>
      <w:r>
        <w:rPr>
          <w:iCs/>
        </w:rPr>
        <w:fldChar w:fldCharType="separate"/>
      </w:r>
      <w:r>
        <w:rPr>
          <w:iCs/>
        </w:rPr>
        <w:instrText xml:space="preserve">(3-1)</w:instrText>
      </w:r>
      <w:r>
        <w:rPr>
          <w:iCs/>
        </w:rPr>
        <w:fldChar w:fldCharType="end"/>
      </w:r>
      <w:r>
        <w:rPr>
          <w:iCs/>
        </w:rPr>
        <w:fldChar w:fldCharType="end"/>
      </w:r>
      <w:r>
        <w:rPr>
          <w:rFonts w:hint="eastAsia"/>
        </w:rPr>
        <w:t>所示：</w:t>
      </w:r>
    </w:p>
    <w:p>
      <w:pPr>
        <w:pStyle w:val="44"/>
        <w:spacing w:before="326" w:after="326"/>
      </w:pPr>
      <w:r>
        <w:tab/>
      </w:r>
      <w:r>
        <w:rPr>
          <w:position w:val="-14"/>
        </w:rPr>
        <w:object>
          <v:shape id="_x0000_i1142" o:spt="75" type="#_x0000_t75" style="height:18.6pt;width:85.2pt;" o:ole="t" filled="f" o:preferrelative="t" stroked="f" coordsize="21600,21600">
            <v:path/>
            <v:fill on="f" focussize="0,0"/>
            <v:stroke on="f" joinstyle="miter"/>
            <v:imagedata r:id="rId273" o:title=""/>
            <o:lock v:ext="edit" aspectratio="t"/>
            <w10:wrap type="none"/>
            <w10:anchorlock/>
          </v:shape>
          <o:OLEObject Type="Embed" ProgID="Equation.DSMT4" ShapeID="_x0000_i1142" DrawAspect="Content" ObjectID="_1468075842" r:id="rId27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7" w:name="ZEqnNum322456"/>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bookmarkEnd w:id="57"/>
      <w:r>
        <w:fldChar w:fldCharType="end"/>
      </w:r>
    </w:p>
    <w:p>
      <w:r>
        <w:rPr>
          <w:rFonts w:hint="eastAsia"/>
        </w:rPr>
        <w:t>然后，提示词会送入大模型，使其生成包含思维链的文本</w:t>
      </w:r>
      <w:r>
        <w:rPr>
          <w:position w:val="-12"/>
        </w:rPr>
        <w:object>
          <v:shape id="_x0000_i1143" o:spt="75" type="#_x0000_t75" style="height:18.6pt;width:24.6pt;" o:ole="t" filled="f" o:preferrelative="t" stroked="f" coordsize="21600,21600">
            <v:path/>
            <v:fill on="f" focussize="0,0"/>
            <v:stroke on="f" joinstyle="miter"/>
            <v:imagedata r:id="rId275" o:title=""/>
            <o:lock v:ext="edit" aspectratio="t"/>
            <w10:wrap type="none"/>
            <w10:anchorlock/>
          </v:shape>
          <o:OLEObject Type="Embed" ProgID="Equation.DSMT4" ShapeID="_x0000_i1143" DrawAspect="Content" ObjectID="_1468075843" r:id="rId274">
            <o:LockedField>false</o:LockedField>
          </o:OLEObject>
        </w:object>
      </w:r>
      <w:r>
        <w:rPr>
          <w:rFonts w:hint="eastAsia"/>
        </w:rPr>
        <w:t>，如公式</w:t>
      </w:r>
      <w:r>
        <w:fldChar w:fldCharType="begin"/>
      </w:r>
      <w:r>
        <w:instrText xml:space="preserve"> </w:instrText>
      </w:r>
      <w:r>
        <w:rPr>
          <w:rFonts w:hint="eastAsia"/>
        </w:rPr>
        <w:instrText xml:space="preserve">GOTOBUTTON ZEqnNum775899  \* MERGEFORMAT</w:instrText>
      </w:r>
      <w:r>
        <w:instrText xml:space="preserve"> </w:instrText>
      </w:r>
      <w:r>
        <w:fldChar w:fldCharType="begin"/>
      </w:r>
      <w:r>
        <w:instrText xml:space="preserve"> REF ZEqnNum775899 \* Charformat \! \* MERGEFORMAT </w:instrText>
      </w:r>
      <w:r>
        <w:fldChar w:fldCharType="separate"/>
      </w:r>
      <w:r>
        <w:instrText xml:space="preserve">(3-2)</w:instrText>
      </w:r>
      <w:r>
        <w:fldChar w:fldCharType="end"/>
      </w:r>
      <w:r>
        <w:fldChar w:fldCharType="end"/>
      </w:r>
      <w:r>
        <w:rPr>
          <w:rFonts w:hint="eastAsia"/>
        </w:rPr>
        <w:t>所示。</w:t>
      </w:r>
    </w:p>
    <w:p>
      <w:pPr>
        <w:pStyle w:val="44"/>
        <w:spacing w:before="326" w:after="326"/>
      </w:pPr>
      <w:r>
        <w:tab/>
      </w:r>
      <w:r>
        <w:rPr>
          <w:position w:val="-14"/>
        </w:rPr>
        <w:object>
          <v:shape id="_x0000_i1144" o:spt="75" type="#_x0000_t75" style="height:18.6pt;width:103.2pt;" o:ole="t" filled="f" o:preferrelative="t" stroked="f" coordsize="21600,21600">
            <v:path/>
            <v:fill on="f" focussize="0,0"/>
            <v:stroke on="f" joinstyle="miter"/>
            <v:imagedata r:id="rId277" o:title=""/>
            <o:lock v:ext="edit" aspectratio="t"/>
            <w10:wrap type="none"/>
            <w10:anchorlock/>
          </v:shape>
          <o:OLEObject Type="Embed" ProgID="Equation.DSMT4" ShapeID="_x0000_i1144" DrawAspect="Content" ObjectID="_1468075844" r:id="rId27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8" w:name="ZEqnNum775899"/>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bookmarkEnd w:id="58"/>
      <w:r>
        <w:fldChar w:fldCharType="end"/>
      </w:r>
    </w:p>
    <w:p>
      <w:r>
        <w:t>这一过程能够激发大模型内部潜藏的化学知识，使其自发地从分子量、氢键供受体数量、旋转键数等理化性质出发，逐步推导其对特定ADMET性质的影响，最终生成一段逻辑严密的推理文本。</w:t>
      </w:r>
      <w:r>
        <w:rPr>
          <w:rFonts w:hint="eastAsia"/>
        </w:rPr>
        <w:t>再获取到推理文本之后，本文将原始序列、理化性质描述、思维链文本进行拼接，作为最终的输入，如公式</w:t>
      </w:r>
      <w:r>
        <w:rPr>
          <w:iCs/>
        </w:rPr>
        <w:fldChar w:fldCharType="begin"/>
      </w:r>
      <w:r>
        <w:rPr>
          <w:iCs/>
        </w:rPr>
        <w:instrText xml:space="preserve"> </w:instrText>
      </w:r>
      <w:r>
        <w:rPr>
          <w:rFonts w:hint="eastAsia"/>
          <w:iCs/>
        </w:rPr>
        <w:instrText xml:space="preserve">GOTOBUTTON ZEqnNum874211  \* MERGEFORMAT</w:instrText>
      </w:r>
      <w:r>
        <w:rPr>
          <w:iCs/>
        </w:rPr>
        <w:instrText xml:space="preserve"> </w:instrText>
      </w:r>
      <w:r>
        <w:rPr>
          <w:iCs/>
        </w:rPr>
        <w:fldChar w:fldCharType="begin"/>
      </w:r>
      <w:r>
        <w:rPr>
          <w:iCs/>
        </w:rPr>
        <w:instrText xml:space="preserve"> REF ZEqnNum874211 \* Charformat \! \* MERGEFORMAT </w:instrText>
      </w:r>
      <w:r>
        <w:rPr>
          <w:iCs/>
        </w:rPr>
        <w:fldChar w:fldCharType="separate"/>
      </w:r>
      <w:r>
        <w:rPr>
          <w:iCs/>
        </w:rPr>
        <w:instrText xml:space="preserve">(3-3)</w:instrText>
      </w:r>
      <w:r>
        <w:rPr>
          <w:iCs/>
        </w:rPr>
        <w:fldChar w:fldCharType="end"/>
      </w:r>
      <w:r>
        <w:rPr>
          <w:iCs/>
        </w:rPr>
        <w:fldChar w:fldCharType="end"/>
      </w:r>
      <w:r>
        <w:rPr>
          <w:rFonts w:hint="eastAsia"/>
        </w:rPr>
        <w:t>所示：</w:t>
      </w:r>
    </w:p>
    <w:p>
      <w:pPr>
        <w:pStyle w:val="44"/>
        <w:spacing w:before="326" w:after="326"/>
      </w:pPr>
      <w:r>
        <w:tab/>
      </w:r>
      <w:r>
        <w:rPr>
          <w:position w:val="-14"/>
        </w:rPr>
        <w:object>
          <v:shape id="_x0000_i1145" o:spt="75" type="#_x0000_t75" style="height:18.6pt;width:104.4pt;" o:ole="t" filled="f" o:preferrelative="t" stroked="f" coordsize="21600,21600">
            <v:path/>
            <v:fill on="f" focussize="0,0"/>
            <v:stroke on="f" joinstyle="miter"/>
            <v:imagedata r:id="rId279" o:title=""/>
            <o:lock v:ext="edit" aspectratio="t"/>
            <w10:wrap type="none"/>
            <w10:anchorlock/>
          </v:shape>
          <o:OLEObject Type="Embed" ProgID="Equation.DSMT4" ShapeID="_x0000_i1145" DrawAspect="Content" ObjectID="_1468075845" r:id="rId27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9" w:name="ZEqnNum874211"/>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bookmarkEnd w:id="59"/>
      <w:r>
        <w:fldChar w:fldCharType="end"/>
      </w:r>
    </w:p>
    <w:p>
      <w:r>
        <w:rPr>
          <w:rFonts w:hint="eastAsia"/>
        </w:rPr>
        <w:t>其中，</w:t>
      </w:r>
      <w:r>
        <w:rPr>
          <w:position w:val="-10"/>
        </w:rPr>
        <w:object>
          <v:shape id="_x0000_i1146" o:spt="75" type="#_x0000_t75" style="height:16.2pt;width:9pt;" o:ole="t" filled="f" o:preferrelative="t" stroked="f" coordsize="21600,21600">
            <v:path/>
            <v:fill on="f" focussize="0,0"/>
            <v:stroke on="f" joinstyle="miter"/>
            <v:imagedata r:id="rId281" o:title=""/>
            <o:lock v:ext="edit" aspectratio="t"/>
            <w10:wrap type="none"/>
            <w10:anchorlock/>
          </v:shape>
          <o:OLEObject Type="Embed" ProgID="Equation.DSMT4" ShapeID="_x0000_i1146" DrawAspect="Content" ObjectID="_1468075846" r:id="rId280">
            <o:LockedField>false</o:LockedField>
          </o:OLEObject>
        </w:object>
      </w:r>
      <w:r>
        <w:rPr>
          <w:rFonts w:hint="eastAsia"/>
        </w:rPr>
        <w:t>为拼接符号。</w:t>
      </w:r>
      <w:r>
        <w:t>在模型选择上，选</w:t>
      </w:r>
      <w:r>
        <w:rPr>
          <w:rFonts w:hint="eastAsia"/>
        </w:rPr>
        <w:t>用</w:t>
      </w:r>
      <w:r>
        <w:t>了具有80亿参数的LLaMA-3.1模型作为文本编码的主干网络。鉴于全参数微调大模型对计算资源的需求极高且容易在小样本的ADMET数据集上发生过拟合，</w:t>
      </w:r>
      <w:r>
        <w:rPr>
          <w:rFonts w:hint="eastAsia"/>
        </w:rPr>
        <w:t>本文</w:t>
      </w:r>
      <w:r>
        <w:t>采用了低秩自适应微调策略。这种方法不仅大幅</w:t>
      </w:r>
      <w:r>
        <w:rPr>
          <w:rFonts w:hint="eastAsia"/>
        </w:rPr>
        <w:t>度</w:t>
      </w:r>
      <w:r>
        <w:t>降低了显存开销，</w:t>
      </w:r>
      <w:r>
        <w:rPr>
          <w:rFonts w:hint="eastAsia"/>
        </w:rPr>
        <w:t>并且可以</w:t>
      </w:r>
      <w:r>
        <w:t>快速适配下游特定的分子性质预测任务。</w:t>
      </w:r>
      <w:r>
        <w:rPr>
          <w:rFonts w:hint="eastAsia"/>
        </w:rPr>
        <w:t>将</w:t>
      </w:r>
      <w:r>
        <w:t>重构序列输入至带有LoRA模块的文本编码器中。对于网络中任意被冻结的预训练权重矩阵</w:t>
      </w:r>
      <w:r>
        <w:rPr>
          <w:position w:val="-12"/>
        </w:rPr>
        <w:object>
          <v:shape id="_x0000_i1147" o:spt="75" type="#_x0000_t75" style="height:18.6pt;width:16.2pt;" o:ole="t" filled="f" o:preferrelative="t" stroked="f" coordsize="21600,21600">
            <v:path/>
            <v:fill on="f" focussize="0,0"/>
            <v:stroke on="f" joinstyle="miter"/>
            <v:imagedata r:id="rId283" o:title=""/>
            <o:lock v:ext="edit" aspectratio="t"/>
            <w10:wrap type="none"/>
            <w10:anchorlock/>
          </v:shape>
          <o:OLEObject Type="Embed" ProgID="Equation.DSMT4" ShapeID="_x0000_i1147" DrawAspect="Content" ObjectID="_1468075847" r:id="rId282">
            <o:LockedField>false</o:LockedField>
          </o:OLEObject>
        </w:object>
      </w:r>
      <w:r>
        <w:t>，其在微调过程中的线性映射过程</w:t>
      </w:r>
      <w:r>
        <w:rPr>
          <w:rFonts w:hint="eastAsia"/>
        </w:rPr>
        <w:t>将</w:t>
      </w:r>
      <w:r>
        <w:t>被重构</w:t>
      </w:r>
      <w:r>
        <w:rPr>
          <w:rFonts w:hint="eastAsia"/>
        </w:rPr>
        <w:t>，如公式</w:t>
      </w:r>
      <w:r>
        <w:rPr>
          <w:iCs/>
        </w:rPr>
        <w:fldChar w:fldCharType="begin"/>
      </w:r>
      <w:r>
        <w:rPr>
          <w:iCs/>
        </w:rPr>
        <w:instrText xml:space="preserve"> </w:instrText>
      </w:r>
      <w:r>
        <w:rPr>
          <w:rFonts w:hint="eastAsia"/>
          <w:iCs/>
        </w:rPr>
        <w:instrText xml:space="preserve">GOTOBUTTON ZEqnNum854235  \* MERGEFORMAT</w:instrText>
      </w:r>
      <w:r>
        <w:rPr>
          <w:iCs/>
        </w:rPr>
        <w:instrText xml:space="preserve"> </w:instrText>
      </w:r>
      <w:r>
        <w:rPr>
          <w:iCs/>
        </w:rPr>
        <w:fldChar w:fldCharType="begin"/>
      </w:r>
      <w:r>
        <w:rPr>
          <w:iCs/>
        </w:rPr>
        <w:instrText xml:space="preserve"> REF ZEqnNum854235 \* Charformat \! \* MERGEFORMAT </w:instrText>
      </w:r>
      <w:r>
        <w:rPr>
          <w:iCs/>
        </w:rPr>
        <w:fldChar w:fldCharType="separate"/>
      </w:r>
      <w:r>
        <w:rPr>
          <w:iCs/>
        </w:rPr>
        <w:instrText xml:space="preserve">(3-4)</w:instrText>
      </w:r>
      <w:r>
        <w:rPr>
          <w:iCs/>
        </w:rPr>
        <w:fldChar w:fldCharType="end"/>
      </w:r>
      <w:r>
        <w:rPr>
          <w:iCs/>
        </w:rPr>
        <w:fldChar w:fldCharType="end"/>
      </w:r>
      <w:r>
        <w:rPr>
          <w:rFonts w:hint="eastAsia"/>
        </w:rPr>
        <w:t>所示</w:t>
      </w:r>
      <w:r>
        <w:t>：</w:t>
      </w:r>
    </w:p>
    <w:p>
      <w:pPr>
        <w:pStyle w:val="44"/>
        <w:spacing w:before="326" w:after="326"/>
      </w:pPr>
      <w:r>
        <w:tab/>
      </w:r>
      <w:r>
        <w:rPr>
          <w:position w:val="-24"/>
        </w:rPr>
        <w:object>
          <v:shape id="_x0000_i1148" o:spt="75" type="#_x0000_t75" style="height:31.2pt;width:91.8pt;" o:ole="t" filled="f" o:preferrelative="t" stroked="f" coordsize="21600,21600">
            <v:path/>
            <v:fill on="f" focussize="0,0"/>
            <v:stroke on="f" joinstyle="miter"/>
            <v:imagedata r:id="rId285" o:title=""/>
            <o:lock v:ext="edit" aspectratio="t"/>
            <w10:wrap type="none"/>
            <w10:anchorlock/>
          </v:shape>
          <o:OLEObject Type="Embed" ProgID="Equation.DSMT4" ShapeID="_x0000_i1148" DrawAspect="Content" ObjectID="_1468075848" r:id="rId28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0" w:name="ZEqnNum854235"/>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bookmarkEnd w:id="60"/>
      <w:r>
        <w:fldChar w:fldCharType="end"/>
      </w:r>
    </w:p>
    <w:p>
      <w:r>
        <w:t>其中，</w:t>
      </w:r>
      <w:r>
        <w:rPr>
          <w:position w:val="-4"/>
        </w:rPr>
        <w:object>
          <v:shape id="_x0000_i1149" o:spt="75" type="#_x0000_t75" style="height:13.2pt;width:12.6pt;" o:ole="t" filled="f" o:preferrelative="t" stroked="f" coordsize="21600,21600">
            <v:path/>
            <v:fill on="f" focussize="0,0"/>
            <v:stroke on="f" joinstyle="miter"/>
            <v:imagedata r:id="rId287" o:title=""/>
            <o:lock v:ext="edit" aspectratio="t"/>
            <w10:wrap type="none"/>
            <w10:anchorlock/>
          </v:shape>
          <o:OLEObject Type="Embed" ProgID="Equation.DSMT4" ShapeID="_x0000_i1149" DrawAspect="Content" ObjectID="_1468075849" r:id="rId286">
            <o:LockedField>false</o:LockedField>
          </o:OLEObject>
        </w:object>
      </w:r>
      <w:r>
        <w:t>与</w:t>
      </w:r>
      <w:r>
        <w:rPr>
          <w:position w:val="-4"/>
        </w:rPr>
        <w:object>
          <v:shape id="_x0000_i1150" o:spt="75" type="#_x0000_t75" style="height:13.2pt;width:12.6pt;" o:ole="t" filled="f" o:preferrelative="t" stroked="f" coordsize="21600,21600">
            <v:path/>
            <v:fill on="f" focussize="0,0"/>
            <v:stroke on="f" joinstyle="miter"/>
            <v:imagedata r:id="rId289" o:title=""/>
            <o:lock v:ext="edit" aspectratio="t"/>
            <w10:wrap type="none"/>
            <w10:anchorlock/>
          </v:shape>
          <o:OLEObject Type="Embed" ProgID="Equation.DSMT4" ShapeID="_x0000_i1150" DrawAspect="Content" ObjectID="_1468075850" r:id="rId288">
            <o:LockedField>false</o:LockedField>
          </o:OLEObject>
        </w:object>
      </w:r>
      <w:r>
        <w:t>为针对</w:t>
      </w:r>
      <w:r>
        <w:rPr>
          <w:rFonts w:hint="eastAsia"/>
        </w:rPr>
        <w:t>下游</w:t>
      </w:r>
      <w:r>
        <w:t>任务学习的低秩矩阵。该机制确保了模型在编码</w:t>
      </w:r>
      <w:r>
        <w:rPr>
          <w:position w:val="-14"/>
        </w:rPr>
        <w:object>
          <v:shape id="_x0000_i1151" o:spt="75" type="#_x0000_t75" style="height:18.6pt;width:28.2pt;" o:ole="t" filled="f" o:preferrelative="t" stroked="f" coordsize="21600,21600">
            <v:path/>
            <v:fill on="f" focussize="0,0"/>
            <v:stroke on="f" joinstyle="miter"/>
            <v:imagedata r:id="rId291" o:title=""/>
            <o:lock v:ext="edit" aspectratio="t"/>
            <w10:wrap type="none"/>
            <w10:anchorlock/>
          </v:shape>
          <o:OLEObject Type="Embed" ProgID="Equation.DSMT4" ShapeID="_x0000_i1151" DrawAspect="Content" ObjectID="_1468075851" r:id="rId290">
            <o:LockedField>false</o:LockedField>
          </o:OLEObject>
        </w:object>
      </w:r>
      <w:r>
        <w:t>时，能精准捕捉到与特定药理性质相关的语义特征。</w:t>
      </w:r>
      <w:r>
        <w:rPr>
          <w:rFonts w:hint="eastAsia"/>
        </w:rPr>
        <w:t>最终提取文本编码器输出的隐藏状态，通过非线性映射生成最终的语义特征向量</w:t>
      </w:r>
      <w:r>
        <w:rPr>
          <w:position w:val="-12"/>
        </w:rPr>
        <w:object>
          <v:shape id="_x0000_i1152" o:spt="75" type="#_x0000_t75" style="height:18.6pt;width:13.2pt;" o:ole="t" filled="f" o:preferrelative="t" stroked="f" coordsize="21600,21600">
            <v:path/>
            <v:fill on="f" focussize="0,0"/>
            <v:stroke on="f" joinstyle="miter"/>
            <v:imagedata r:id="rId293" o:title=""/>
            <o:lock v:ext="edit" aspectratio="t"/>
            <w10:wrap type="none"/>
            <w10:anchorlock/>
          </v:shape>
          <o:OLEObject Type="Embed" ProgID="Equation.DSMT4" ShapeID="_x0000_i1152" DrawAspect="Content" ObjectID="_1468075852" r:id="rId292">
            <o:LockedField>false</o:LockedField>
          </o:OLEObject>
        </w:object>
      </w:r>
      <w:r>
        <w:rPr>
          <w:rFonts w:hint="eastAsia"/>
        </w:rPr>
        <w:t>，如公式</w:t>
      </w:r>
      <w:r>
        <w:rPr>
          <w:iCs/>
        </w:rPr>
        <w:fldChar w:fldCharType="begin"/>
      </w:r>
      <w:r>
        <w:rPr>
          <w:iCs/>
        </w:rPr>
        <w:instrText xml:space="preserve"> </w:instrText>
      </w:r>
      <w:r>
        <w:rPr>
          <w:rFonts w:hint="eastAsia"/>
          <w:iCs/>
        </w:rPr>
        <w:instrText xml:space="preserve">GOTOBUTTON ZEqnNum506376  \* MERGEFORMAT</w:instrText>
      </w:r>
      <w:r>
        <w:rPr>
          <w:iCs/>
        </w:rPr>
        <w:instrText xml:space="preserve"> </w:instrText>
      </w:r>
      <w:r>
        <w:rPr>
          <w:iCs/>
        </w:rPr>
        <w:fldChar w:fldCharType="begin"/>
      </w:r>
      <w:r>
        <w:rPr>
          <w:iCs/>
        </w:rPr>
        <w:instrText xml:space="preserve"> REF ZEqnNum506376 \* Charformat \! \* MERGEFORMAT </w:instrText>
      </w:r>
      <w:r>
        <w:rPr>
          <w:iCs/>
        </w:rPr>
        <w:fldChar w:fldCharType="separate"/>
      </w:r>
      <w:r>
        <w:rPr>
          <w:iCs/>
        </w:rPr>
        <w:instrText xml:space="preserve">(3-5)</w:instrText>
      </w:r>
      <w:r>
        <w:rPr>
          <w:iCs/>
        </w:rPr>
        <w:fldChar w:fldCharType="end"/>
      </w:r>
      <w:r>
        <w:rPr>
          <w:iCs/>
        </w:rPr>
        <w:fldChar w:fldCharType="end"/>
      </w:r>
      <w:r>
        <w:rPr>
          <w:rFonts w:hint="eastAsia"/>
        </w:rPr>
        <w:t>所示：</w:t>
      </w:r>
    </w:p>
    <w:p>
      <w:pPr>
        <w:pStyle w:val="44"/>
        <w:spacing w:before="326" w:after="326"/>
      </w:pPr>
      <w:r>
        <w:tab/>
      </w:r>
      <w:r>
        <w:rPr>
          <w:position w:val="-16"/>
        </w:rPr>
        <w:object>
          <v:shape id="_x0000_i1153" o:spt="75" type="#_x0000_t75" style="height:21pt;width:136.2pt;" o:ole="t" filled="f" o:preferrelative="t" stroked="f" coordsize="21600,21600">
            <v:path/>
            <v:fill on="f" focussize="0,0"/>
            <v:stroke on="f" joinstyle="miter"/>
            <v:imagedata r:id="rId295" o:title=""/>
            <o:lock v:ext="edit" aspectratio="t"/>
            <w10:wrap type="none"/>
            <w10:anchorlock/>
          </v:shape>
          <o:OLEObject Type="Embed" ProgID="Equation.DSMT4" ShapeID="_x0000_i1153" DrawAspect="Content" ObjectID="_1468075853" r:id="rId29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1" w:name="ZEqnNum506376"/>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bookmarkEnd w:id="61"/>
      <w:r>
        <w:fldChar w:fldCharType="end"/>
      </w:r>
    </w:p>
    <w:p>
      <w:r>
        <w:rPr>
          <w:rFonts w:hint="eastAsia"/>
        </w:rPr>
        <w:t>其中，</w:t>
      </w:r>
      <w:r>
        <w:rPr>
          <w:position w:val="-14"/>
        </w:rPr>
        <w:object>
          <v:shape id="_x0000_i1154" o:spt="75" type="#_x0000_t75" style="height:18.6pt;width:16.8pt;" o:ole="t" filled="f" o:preferrelative="t" stroked="f" coordsize="21600,21600">
            <v:path/>
            <v:fill on="f" focussize="0,0"/>
            <v:stroke on="f" joinstyle="miter"/>
            <v:imagedata r:id="rId297" o:title=""/>
            <o:lock v:ext="edit" aspectratio="t"/>
            <w10:wrap type="none"/>
            <w10:anchorlock/>
          </v:shape>
          <o:OLEObject Type="Embed" ProgID="Equation.DSMT4" ShapeID="_x0000_i1154" DrawAspect="Content" ObjectID="_1468075854" r:id="rId296">
            <o:LockedField>false</o:LockedField>
          </o:OLEObject>
        </w:object>
      </w:r>
      <w:r>
        <w:rPr>
          <w:rFonts w:hint="eastAsia"/>
        </w:rPr>
        <w:t>和</w:t>
      </w:r>
      <w:r>
        <w:rPr>
          <w:position w:val="-14"/>
        </w:rPr>
        <w:object>
          <v:shape id="_x0000_i1155" o:spt="75" type="#_x0000_t75" style="height:18.6pt;width:13.2pt;" o:ole="t" filled="f" o:preferrelative="t" stroked="f" coordsize="21600,21600">
            <v:path/>
            <v:fill on="f" focussize="0,0"/>
            <v:stroke on="f" joinstyle="miter"/>
            <v:imagedata r:id="rId299" o:title=""/>
            <o:lock v:ext="edit" aspectratio="t"/>
            <w10:wrap type="none"/>
            <w10:anchorlock/>
          </v:shape>
          <o:OLEObject Type="Embed" ProgID="Equation.DSMT4" ShapeID="_x0000_i1155" DrawAspect="Content" ObjectID="_1468075855" r:id="rId298">
            <o:LockedField>false</o:LockedField>
          </o:OLEObject>
        </w:object>
      </w:r>
      <w:r>
        <w:rPr>
          <w:rFonts w:hint="eastAsia"/>
        </w:rPr>
        <w:t>为可学习的投影参数。</w:t>
      </w:r>
      <w:r>
        <w:rPr>
          <w:position w:val="-6"/>
        </w:rPr>
        <w:object>
          <v:shape id="_x0000_i1156" o:spt="75" type="#_x0000_t75" style="height:12pt;width:12.6pt;" o:ole="t" filled="f" o:preferrelative="t" stroked="f" coordsize="21600,21600">
            <v:path/>
            <v:fill on="f" focussize="0,0"/>
            <v:stroke on="f" joinstyle="miter"/>
            <v:imagedata r:id="rId301" o:title=""/>
            <o:lock v:ext="edit" aspectratio="t"/>
            <w10:wrap type="none"/>
            <w10:anchorlock/>
          </v:shape>
          <o:OLEObject Type="Embed" ProgID="Equation.DSMT4" ShapeID="_x0000_i1156" DrawAspect="Content" ObjectID="_1468075856" r:id="rId300">
            <o:LockedField>false</o:LockedField>
          </o:OLEObject>
        </w:object>
      </w:r>
      <w:r>
        <w:rPr>
          <w:rFonts w:hint="eastAsia"/>
        </w:rPr>
        <w:t>为激活函数。</w:t>
      </w:r>
    </w:p>
    <w:p>
      <w:pPr>
        <w:pStyle w:val="4"/>
        <w:rPr>
          <w:rFonts w:hint="default"/>
        </w:rPr>
      </w:pPr>
      <w:bookmarkStart w:id="62" w:name="_Toc229423340"/>
      <w:r>
        <w:rPr>
          <w:rFonts w:ascii="宋体" w:hAnsi="宋体" w:cs="宋体"/>
        </w:rPr>
        <w:t>分子图编码器</w:t>
      </w:r>
      <w:bookmarkEnd w:id="62"/>
    </w:p>
    <w:p>
      <w:r>
        <w:t>尽管大语言模型在宏观的药理规则推理上具有优势，但其对微观分子拓扑结构的感知能力存在天然缺陷。为了弥补这一短板并精准捕捉原子间的化学键合作用与电子效应，本</w:t>
      </w:r>
      <w:r>
        <w:rPr>
          <w:rFonts w:hint="eastAsia"/>
        </w:rPr>
        <w:t>文</w:t>
      </w:r>
      <w:r>
        <w:t>采用了交互式消息传递图神经网络（Communicative Message Passing Neural Network, CMPNN</w:t>
      </w:r>
      <w:r>
        <w:rPr>
          <w:rFonts w:hint="eastAsia"/>
        </w:rPr>
        <w:t>）</w:t>
      </w:r>
      <w:r>
        <w:t>作为图编码器。</w:t>
      </w:r>
      <w:r>
        <w:rPr>
          <w:rFonts w:hint="eastAsia"/>
        </w:rPr>
        <w:t>同样地，本文的图编码器将分子表示为</w:t>
      </w:r>
      <w:r>
        <w:rPr>
          <w:position w:val="-10"/>
        </w:rPr>
        <w:object>
          <v:shape id="_x0000_i1157" o:spt="75" type="#_x0000_t75" style="height:16.2pt;width:54.6pt;" o:ole="t" filled="f" o:preferrelative="t" stroked="f" coordsize="21600,21600">
            <v:path/>
            <v:fill on="f" focussize="0,0"/>
            <v:stroke on="f" joinstyle="miter"/>
            <v:imagedata r:id="rId303" o:title=""/>
            <o:lock v:ext="edit" aspectratio="t"/>
            <w10:wrap type="none"/>
            <w10:anchorlock/>
          </v:shape>
          <o:OLEObject Type="Embed" ProgID="Equation.DSMT4" ShapeID="_x0000_i1157" DrawAspect="Content" ObjectID="_1468075857" r:id="rId302">
            <o:LockedField>false</o:LockedField>
          </o:OLEObject>
        </w:object>
      </w:r>
      <w:r>
        <w:rPr>
          <w:rFonts w:hint="eastAsia"/>
        </w:rPr>
        <w:t>，其中</w:t>
      </w:r>
      <w:r>
        <w:rPr>
          <w:position w:val="-6"/>
        </w:rPr>
        <w:object>
          <v:shape id="_x0000_i1158" o:spt="75" type="#_x0000_t75" style="height:13.2pt;width:30pt;" o:ole="t" filled="f" o:preferrelative="t" stroked="f" coordsize="21600,21600">
            <v:path/>
            <v:fill on="f" focussize="0,0"/>
            <v:stroke on="f" joinstyle="miter"/>
            <v:imagedata r:id="rId305" o:title=""/>
            <o:lock v:ext="edit" aspectratio="t"/>
            <w10:wrap type="none"/>
            <w10:anchorlock/>
          </v:shape>
          <o:OLEObject Type="Embed" ProgID="Equation.DSMT4" ShapeID="_x0000_i1158" DrawAspect="Content" ObjectID="_1468075858" r:id="rId304">
            <o:LockedField>false</o:LockedField>
          </o:OLEObject>
        </w:object>
      </w:r>
      <w:r>
        <w:rPr>
          <w:rFonts w:hint="eastAsia"/>
        </w:rPr>
        <w:t>表示分子中的原子节点，</w:t>
      </w:r>
      <w:r>
        <w:rPr>
          <w:position w:val="-12"/>
        </w:rPr>
        <w:object>
          <v:shape id="_x0000_i1159" o:spt="75" type="#_x0000_t75" style="height:18.6pt;width:36pt;" o:ole="t" filled="f" o:preferrelative="t" stroked="f" coordsize="21600,21600">
            <v:path/>
            <v:fill on="f" focussize="0,0"/>
            <v:stroke on="f" joinstyle="miter"/>
            <v:imagedata r:id="rId307" o:title=""/>
            <o:lock v:ext="edit" aspectratio="t"/>
            <w10:wrap type="none"/>
            <w10:anchorlock/>
          </v:shape>
          <o:OLEObject Type="Embed" ProgID="Equation.DSMT4" ShapeID="_x0000_i1159" DrawAspect="Content" ObjectID="_1468075859" r:id="rId306">
            <o:LockedField>false</o:LockedField>
          </o:OLEObject>
        </w:object>
      </w:r>
      <w:r>
        <w:rPr>
          <w:rFonts w:hint="eastAsia"/>
        </w:rPr>
        <w:t>表示原子</w:t>
      </w:r>
      <w:r>
        <w:rPr>
          <w:position w:val="-6"/>
        </w:rPr>
        <w:object>
          <v:shape id="_x0000_i1160" o:spt="75" type="#_x0000_t75" style="height:13.2pt;width:9pt;" o:ole="t" filled="f" o:preferrelative="t" stroked="f" coordsize="21600,21600">
            <v:path/>
            <v:fill on="f" focussize="0,0"/>
            <v:stroke on="f" joinstyle="miter"/>
            <v:imagedata r:id="rId309" o:title=""/>
            <o:lock v:ext="edit" aspectratio="t"/>
            <w10:wrap type="none"/>
            <w10:anchorlock/>
          </v:shape>
          <o:OLEObject Type="Embed" ProgID="Equation.DSMT4" ShapeID="_x0000_i1160" DrawAspect="Content" ObjectID="_1468075860" r:id="rId308">
            <o:LockedField>false</o:LockedField>
          </o:OLEObject>
        </w:object>
      </w:r>
      <w:r>
        <w:rPr>
          <w:rFonts w:hint="eastAsia"/>
        </w:rPr>
        <w:t>与原子</w:t>
      </w:r>
      <w:r>
        <w:rPr>
          <w:position w:val="-6"/>
        </w:rPr>
        <w:object>
          <v:shape id="_x0000_i1161" o:spt="75" type="#_x0000_t75" style="height:13.2pt;width:9pt;" o:ole="t" filled="f" o:preferrelative="t" stroked="f" coordsize="21600,21600">
            <v:path/>
            <v:fill on="f" focussize="0,0"/>
            <v:stroke on="f" joinstyle="miter"/>
            <v:imagedata r:id="rId311" o:title=""/>
            <o:lock v:ext="edit" aspectratio="t"/>
            <w10:wrap type="none"/>
            <w10:anchorlock/>
          </v:shape>
          <o:OLEObject Type="Embed" ProgID="Equation.DSMT4" ShapeID="_x0000_i1161" DrawAspect="Content" ObjectID="_1468075861" r:id="rId310">
            <o:LockedField>false</o:LockedField>
          </o:OLEObject>
        </w:object>
      </w:r>
      <w:r>
        <w:rPr>
          <w:rFonts w:hint="eastAsia"/>
        </w:rPr>
        <w:t>之间的化学键。相比于只更新节点特征的MPNN模型和只更新边特征的DMPNN模型，CMPNN模型同时对节点特征和边特征进行更新，并使用一个被称为通信核的特殊模块来进行操作。</w:t>
      </w:r>
      <w:r>
        <w:t>该模块打破了传统方法中化学键特征仅作为辅助输入的惯例，强制原子特征与化学键特征在传递前进行深度的交互操作。在每一次迭代中，原子节点的特征向量会与相连化学键的特征向量进行非线性融合，生成增强的消息向量。最终，经过多</w:t>
      </w:r>
      <w:r>
        <w:rPr>
          <w:rFonts w:hint="eastAsia"/>
        </w:rPr>
        <w:t>次</w:t>
      </w:r>
      <w:r>
        <w:t>更新的有向边特征被映射回原子节点，并通过一个基于门控机制的读出层聚合成图级别的全局表征向量。这一向量高度浓缩了分子的拓扑连接及其相关性质信息</w:t>
      </w:r>
      <w:r>
        <w:rPr>
          <w:rFonts w:hint="eastAsia"/>
        </w:rPr>
        <w:t>，</w:t>
      </w:r>
      <w:r>
        <w:t>将作为后续</w:t>
      </w:r>
      <w:r>
        <w:rPr>
          <w:rFonts w:hint="eastAsia"/>
        </w:rPr>
        <w:t>与文本模态</w:t>
      </w:r>
      <w:r>
        <w:t>融合过程中的结构锚点，引导文本模态的推理逻辑与</w:t>
      </w:r>
      <w:r>
        <w:rPr>
          <w:rFonts w:hint="eastAsia"/>
        </w:rPr>
        <w:t>其</w:t>
      </w:r>
      <w:r>
        <w:t>对齐。</w:t>
      </w:r>
    </w:p>
    <w:p>
      <w:pPr>
        <w:pStyle w:val="4"/>
        <w:rPr>
          <w:rFonts w:hint="default"/>
        </w:rPr>
      </w:pPr>
      <w:bookmarkStart w:id="63" w:name="_Toc229423341"/>
      <w:r>
        <w:t>融合与预测模块</w:t>
      </w:r>
      <w:bookmarkEnd w:id="63"/>
    </w:p>
    <w:p>
      <w:r>
        <w:t>在获取了包含显式推理逻辑的文本表征与包含深层拓扑结构的图表征后，如何将这两</w:t>
      </w:r>
      <w:r>
        <w:rPr>
          <w:rFonts w:hint="eastAsia"/>
        </w:rPr>
        <w:t>类不同模态的</w:t>
      </w:r>
      <w:r>
        <w:t>信息进行有效融合是决定预测性能的关键。简单的特征拼接往往忽略了不同模态特征之间的语义鸿沟，难以实现深度的信息交互。因此，本文</w:t>
      </w:r>
      <w:r>
        <w:rPr>
          <w:rFonts w:hint="eastAsia"/>
        </w:rPr>
        <w:t>使用</w:t>
      </w:r>
      <w:r>
        <w:t>了一个基于交叉注意力机制的融合模块。在该模块中，</w:t>
      </w:r>
      <w:r>
        <w:rPr>
          <w:rFonts w:hint="eastAsia"/>
        </w:rPr>
        <w:t>本文</w:t>
      </w:r>
      <w:r>
        <w:t>选取物理意义更为明确、结构更为稳定的图表征向量作为查询向量，而将包含丰富语义推理信息的文本表征向量作为键向量和值向量</w:t>
      </w:r>
      <w:r>
        <w:rPr>
          <w:rFonts w:hint="eastAsia"/>
        </w:rPr>
        <w:t>，如公式</w:t>
      </w:r>
      <w:r>
        <w:rPr>
          <w:iCs/>
        </w:rPr>
        <w:fldChar w:fldCharType="begin"/>
      </w:r>
      <w:r>
        <w:rPr>
          <w:iCs/>
        </w:rPr>
        <w:instrText xml:space="preserve"> </w:instrText>
      </w:r>
      <w:r>
        <w:rPr>
          <w:rFonts w:hint="eastAsia"/>
          <w:iCs/>
        </w:rPr>
        <w:instrText xml:space="preserve">GOTOBUTTON ZEqnNum687004  \* MERGEFORMAT</w:instrText>
      </w:r>
      <w:r>
        <w:rPr>
          <w:iCs/>
        </w:rPr>
        <w:instrText xml:space="preserve"> </w:instrText>
      </w:r>
      <w:r>
        <w:rPr>
          <w:iCs/>
        </w:rPr>
        <w:fldChar w:fldCharType="begin"/>
      </w:r>
      <w:r>
        <w:rPr>
          <w:iCs/>
        </w:rPr>
        <w:instrText xml:space="preserve"> REF ZEqnNum687004 \* Charformat \! \* MERGEFORMAT </w:instrText>
      </w:r>
      <w:r>
        <w:rPr>
          <w:iCs/>
        </w:rPr>
        <w:fldChar w:fldCharType="separate"/>
      </w:r>
      <w:r>
        <w:rPr>
          <w:iCs/>
        </w:rPr>
        <w:instrText xml:space="preserve">(3-6)</w:instrText>
      </w:r>
      <w:r>
        <w:rPr>
          <w:iCs/>
        </w:rPr>
        <w:fldChar w:fldCharType="end"/>
      </w:r>
      <w:r>
        <w:rPr>
          <w:iCs/>
        </w:rPr>
        <w:fldChar w:fldCharType="end"/>
      </w:r>
      <w:r>
        <w:rPr>
          <w:rFonts w:hint="eastAsia"/>
        </w:rPr>
        <w:t>所示：</w:t>
      </w:r>
    </w:p>
    <w:p>
      <w:pPr>
        <w:pStyle w:val="44"/>
        <w:spacing w:before="326" w:after="326"/>
      </w:pPr>
      <w:r>
        <w:tab/>
      </w:r>
      <w:r>
        <w:rPr>
          <w:position w:val="-14"/>
        </w:rPr>
        <w:object>
          <v:shape id="_x0000_i1162" o:spt="75" type="#_x0000_t75" style="height:18.6pt;width:168pt;" o:ole="t" filled="f" o:preferrelative="t" stroked="f" coordsize="21600,21600">
            <v:path/>
            <v:fill on="f" focussize="0,0"/>
            <v:stroke on="f" joinstyle="miter"/>
            <v:imagedata r:id="rId313" o:title=""/>
            <o:lock v:ext="edit" aspectratio="t"/>
            <w10:wrap type="none"/>
            <w10:anchorlock/>
          </v:shape>
          <o:OLEObject Type="Embed" ProgID="Equation.DSMT4" ShapeID="_x0000_i1162" DrawAspect="Content" ObjectID="_1468075862" r:id="rId31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4" w:name="ZEqnNum687004"/>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bookmarkEnd w:id="64"/>
      <w:r>
        <w:fldChar w:fldCharType="end"/>
      </w:r>
    </w:p>
    <w:p>
      <w:r>
        <w:rPr>
          <w:rFonts w:hint="eastAsia"/>
        </w:rPr>
        <w:t>其中，</w:t>
      </w:r>
      <w:r>
        <w:rPr>
          <w:position w:val="-14"/>
        </w:rPr>
        <w:object>
          <v:shape id="_x0000_i1163" o:spt="75" type="#_x0000_t75" style="height:18.6pt;width:56.4pt;" o:ole="t" filled="f" o:preferrelative="t" stroked="f" coordsize="21600,21600">
            <v:path/>
            <v:fill on="f" focussize="0,0"/>
            <v:stroke on="f" joinstyle="miter"/>
            <v:imagedata r:id="rId315" o:title=""/>
            <o:lock v:ext="edit" aspectratio="t"/>
            <w10:wrap type="none"/>
            <w10:anchorlock/>
          </v:shape>
          <o:OLEObject Type="Embed" ProgID="Equation.DSMT4" ShapeID="_x0000_i1163" DrawAspect="Content" ObjectID="_1468075863" r:id="rId314">
            <o:LockedField>false</o:LockedField>
          </o:OLEObject>
        </w:object>
      </w:r>
      <w:r>
        <w:rPr>
          <w:rFonts w:hint="eastAsia"/>
        </w:rPr>
        <w:t>为可学习的权重矩阵。</w:t>
      </w:r>
      <w:r>
        <w:t>通过这种设计，模型能够以分子的拓扑结构为索引，在文本推理空间中动态检索与之匹配的逻辑描述。交叉注意力机制会计算图特征与文本特征之间的相关性分数，并据此对文本信息进行加权聚合</w:t>
      </w:r>
      <w:r>
        <w:rPr>
          <w:rFonts w:hint="eastAsia"/>
        </w:rPr>
        <w:t>，</w:t>
      </w:r>
      <w:r>
        <w:t>生成包含跨模态交互信息的特征</w:t>
      </w:r>
      <w:r>
        <w:rPr>
          <w:position w:val="-12"/>
        </w:rPr>
        <w:object>
          <v:shape id="_x0000_i1164" o:spt="75" type="#_x0000_t75" style="height:18.6pt;width:24.6pt;" o:ole="t" filled="f" o:preferrelative="t" stroked="f" coordsize="21600,21600">
            <v:path/>
            <v:fill on="f" focussize="0,0"/>
            <v:stroke on="f" joinstyle="miter"/>
            <v:imagedata r:id="rId317" o:title=""/>
            <o:lock v:ext="edit" aspectratio="t"/>
            <w10:wrap type="none"/>
            <w10:anchorlock/>
          </v:shape>
          <o:OLEObject Type="Embed" ProgID="Equation.DSMT4" ShapeID="_x0000_i1164" DrawAspect="Content" ObjectID="_1468075864" r:id="rId316">
            <o:LockedField>false</o:LockedField>
          </o:OLEObject>
        </w:object>
      </w:r>
      <w:r>
        <w:rPr>
          <w:rFonts w:hint="eastAsia"/>
        </w:rPr>
        <w:t>：</w:t>
      </w:r>
    </w:p>
    <w:p>
      <w:pPr>
        <w:pStyle w:val="44"/>
        <w:spacing w:before="326" w:after="326"/>
      </w:pPr>
      <w:r>
        <w:tab/>
      </w:r>
      <w:r>
        <w:rPr>
          <w:position w:val="-36"/>
        </w:rPr>
        <w:object>
          <v:shape id="_x0000_i1165" o:spt="75" type="#_x0000_t75" style="height:42pt;width:128.4pt;" o:ole="t" filled="f" o:preferrelative="t" stroked="f" coordsize="21600,21600">
            <v:path/>
            <v:fill on="f" focussize="0,0"/>
            <v:stroke on="f" joinstyle="miter"/>
            <v:imagedata r:id="rId319" o:title=""/>
            <o:lock v:ext="edit" aspectratio="t"/>
            <w10:wrap type="none"/>
            <w10:anchorlock/>
          </v:shape>
          <o:OLEObject Type="Embed" ProgID="Equation.DSMT4" ShapeID="_x0000_i1165" DrawAspect="Content" ObjectID="_1468075865" r:id="rId31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p>
      <w:r>
        <w:rPr>
          <w:rFonts w:hint="eastAsia"/>
        </w:rPr>
        <w:t>将其送入归一化网络，得到最终的融合特征向量</w:t>
      </w:r>
      <w:r>
        <w:rPr>
          <w:position w:val="-14"/>
        </w:rPr>
        <w:object>
          <v:shape id="_x0000_i1166" o:spt="75" type="#_x0000_t75" style="height:18.6pt;width:28.2pt;" o:ole="t" filled="f" o:preferrelative="t" stroked="f" coordsize="21600,21600">
            <v:path/>
            <v:fill on="f" focussize="0,0"/>
            <v:stroke on="f" joinstyle="miter"/>
            <v:imagedata r:id="rId321" o:title=""/>
            <o:lock v:ext="edit" aspectratio="t"/>
            <w10:wrap type="none"/>
            <w10:anchorlock/>
          </v:shape>
          <o:OLEObject Type="Embed" ProgID="Equation.DSMT4" ShapeID="_x0000_i1166" DrawAspect="Content" ObjectID="_1468075866" r:id="rId320">
            <o:LockedField>false</o:LockedField>
          </o:OLEObject>
        </w:object>
      </w:r>
      <w:r>
        <w:rPr>
          <w:rFonts w:hint="eastAsia"/>
        </w:rPr>
        <w:t>：</w:t>
      </w:r>
    </w:p>
    <w:p>
      <w:pPr>
        <w:pStyle w:val="44"/>
        <w:spacing w:before="326" w:after="326"/>
      </w:pPr>
      <w:r>
        <w:tab/>
      </w:r>
      <w:r>
        <w:rPr>
          <w:position w:val="-14"/>
        </w:rPr>
        <w:object>
          <v:shape id="_x0000_i1167" o:spt="75" type="#_x0000_t75" style="height:18.6pt;width:153pt;" o:ole="t" filled="f" o:preferrelative="t" stroked="f" coordsize="21600,21600">
            <v:path/>
            <v:fill on="f" focussize="0,0"/>
            <v:stroke on="f" joinstyle="miter"/>
            <v:imagedata r:id="rId323" o:title=""/>
            <o:lock v:ext="edit" aspectratio="t"/>
            <w10:wrap type="none"/>
            <w10:anchorlock/>
          </v:shape>
          <o:OLEObject Type="Embed" ProgID="Equation.DSMT4" ShapeID="_x0000_i1167" DrawAspect="Content" ObjectID="_1468075867" r:id="rId32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r>
        <w:t>这意味着，对于某些依赖特定官能团的性质，模型会更加关注图结构中对应的子结构特征；而对于某些依赖整体理化性质的属性，模型则会从文本模态中提取更多的推理信息。经过交叉注意力融合后的特征向量，不仅保留了分子的结构骨架，还融入了专家的推理逻辑。</w:t>
      </w:r>
    </w:p>
    <w:p>
      <w:r>
        <w:t>最后，该融合向量被输入至一个由多层全连接网络构成的预测头中</w:t>
      </w:r>
      <w:r>
        <w:rPr>
          <w:rFonts w:hint="eastAsia"/>
        </w:rPr>
        <w:t>，如公式</w:t>
      </w:r>
      <w:r>
        <w:rPr>
          <w:iCs/>
        </w:rPr>
        <w:fldChar w:fldCharType="begin"/>
      </w:r>
      <w:r>
        <w:rPr>
          <w:iCs/>
        </w:rPr>
        <w:instrText xml:space="preserve"> </w:instrText>
      </w:r>
      <w:r>
        <w:rPr>
          <w:rFonts w:hint="eastAsia"/>
          <w:iCs/>
        </w:rPr>
        <w:instrText xml:space="preserve">GOTOBUTTON ZEqnNum946176  \* MERGEFORMAT</w:instrText>
      </w:r>
      <w:r>
        <w:rPr>
          <w:iCs/>
        </w:rPr>
        <w:instrText xml:space="preserve"> </w:instrText>
      </w:r>
      <w:r>
        <w:rPr>
          <w:iCs/>
        </w:rPr>
        <w:fldChar w:fldCharType="begin"/>
      </w:r>
      <w:r>
        <w:rPr>
          <w:iCs/>
        </w:rPr>
        <w:instrText xml:space="preserve"> REF ZEqnNum946176 \* Charformat \! \* MERGEFORMAT </w:instrText>
      </w:r>
      <w:r>
        <w:rPr>
          <w:iCs/>
        </w:rPr>
        <w:fldChar w:fldCharType="separate"/>
      </w:r>
      <w:r>
        <w:rPr>
          <w:iCs/>
        </w:rPr>
        <w:instrText xml:space="preserve">(3-9)</w:instrText>
      </w:r>
      <w:r>
        <w:rPr>
          <w:iCs/>
        </w:rPr>
        <w:fldChar w:fldCharType="end"/>
      </w:r>
      <w:r>
        <w:rPr>
          <w:iCs/>
        </w:rPr>
        <w:fldChar w:fldCharType="end"/>
      </w:r>
      <w:r>
        <w:rPr>
          <w:rFonts w:hint="eastAsia"/>
        </w:rPr>
        <w:t>所示</w:t>
      </w:r>
      <w:r>
        <w:t>。针对ADMET数据集中的不同任务类型，预测头分别输出分类任务的概率值或回归任务的实数值，从而实现端到端的分子性质预测。</w:t>
      </w:r>
    </w:p>
    <w:p>
      <w:pPr>
        <w:pStyle w:val="44"/>
        <w:spacing w:before="326" w:after="326"/>
      </w:pPr>
      <w:r>
        <w:tab/>
      </w:r>
      <w:r>
        <w:rPr>
          <w:position w:val="-14"/>
        </w:rPr>
        <w:object>
          <v:shape id="_x0000_i1168" o:spt="75" type="#_x0000_t75" style="height:18.6pt;width:221.4pt;" o:ole="t" filled="f" o:preferrelative="t" stroked="f" coordsize="21600,21600">
            <v:path/>
            <v:fill on="f" focussize="0,0"/>
            <v:stroke on="f" joinstyle="miter"/>
            <v:imagedata r:id="rId325" o:title=""/>
            <o:lock v:ext="edit" aspectratio="t"/>
            <w10:wrap type="none"/>
            <w10:anchorlock/>
          </v:shape>
          <o:OLEObject Type="Embed" ProgID="Equation.DSMT4" ShapeID="_x0000_i1168" DrawAspect="Content" ObjectID="_1468075868" r:id="rId32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5" w:name="ZEqnNum946176"/>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bookmarkEnd w:id="65"/>
      <w:r>
        <w:fldChar w:fldCharType="end"/>
      </w:r>
    </w:p>
    <w:p>
      <w:pPr>
        <w:pStyle w:val="3"/>
      </w:pPr>
      <w:bookmarkStart w:id="66" w:name="_Toc229423342"/>
      <w:r>
        <w:rPr>
          <w:rFonts w:hint="eastAsia"/>
        </w:rPr>
        <w:t>实验设计</w:t>
      </w:r>
      <w:bookmarkEnd w:id="66"/>
    </w:p>
    <w:p>
      <w:pPr>
        <w:pStyle w:val="4"/>
        <w:rPr>
          <w:rFonts w:hint="default"/>
        </w:rPr>
      </w:pPr>
      <w:bookmarkStart w:id="67" w:name="_Toc229423343"/>
      <w:r>
        <w:t>数据集</w:t>
      </w:r>
      <w:bookmarkEnd w:id="67"/>
    </w:p>
    <w:p>
      <w:r>
        <w:rPr>
          <w:rFonts w:hint="eastAsia"/>
        </w:rPr>
        <w:t>本文采用来自TDC平台中的ADMET Benchmark Group</w:t>
      </w:r>
      <w:r>
        <w:rPr>
          <w:vertAlign w:val="superscript"/>
        </w:rPr>
        <w:fldChar w:fldCharType="begin"/>
      </w:r>
      <w:r>
        <w:rPr>
          <w:vertAlign w:val="superscript"/>
        </w:rPr>
        <w:instrText xml:space="preserve"> </w:instrText>
      </w:r>
      <w:r>
        <w:rPr>
          <w:rFonts w:hint="eastAsia"/>
          <w:vertAlign w:val="superscript"/>
        </w:rPr>
        <w:instrText xml:space="preserve">REF _Ref225763964 \r \h</w:instrText>
      </w:r>
      <w:r>
        <w:rPr>
          <w:vertAlign w:val="superscript"/>
        </w:rPr>
        <w:instrText xml:space="preserve">  \* MERGEFORMAT </w:instrText>
      </w:r>
      <w:r>
        <w:rPr>
          <w:vertAlign w:val="superscript"/>
        </w:rPr>
        <w:fldChar w:fldCharType="separate"/>
      </w:r>
      <w:r>
        <w:rPr>
          <w:vertAlign w:val="superscript"/>
        </w:rPr>
        <w:t>[60]</w:t>
      </w:r>
      <w:r>
        <w:rPr>
          <w:vertAlign w:val="superscript"/>
        </w:rPr>
        <w:fldChar w:fldCharType="end"/>
      </w:r>
      <w:r>
        <w:rPr>
          <w:rFonts w:hint="eastAsia"/>
        </w:rPr>
        <w:t>作为实验基准。TDC是</w:t>
      </w:r>
      <w:r>
        <w:t>药物发现</w:t>
      </w:r>
      <w:r>
        <w:rPr>
          <w:rFonts w:hint="eastAsia"/>
        </w:rPr>
        <w:t>领域最为权威的数据集之一，其提供的ADMET数据集基准组涵盖了药物的吸收、分布、代谢、排泄和毒性等关键指标。本章节将在ADMET基准组上对CoT-CMP框架进行微调。数据集的基本介绍如</w:t>
      </w:r>
      <w:r>
        <w:fldChar w:fldCharType="begin"/>
      </w:r>
      <w:r>
        <w:instrText xml:space="preserve"> </w:instrText>
      </w:r>
      <w:r>
        <w:rPr>
          <w:rFonts w:hint="eastAsia"/>
        </w:rPr>
        <w:instrText xml:space="preserve">REF _Ref224304701 \h</w:instrText>
      </w:r>
      <w:r>
        <w:instrText xml:space="preserve"> </w:instrText>
      </w:r>
      <w:r>
        <w:fldChar w:fldCharType="separate"/>
      </w:r>
      <w:r>
        <w:rPr>
          <w:rFonts w:hint="eastAsia"/>
        </w:rPr>
        <w:t>表3-</w:t>
      </w:r>
      <w:r>
        <w:t>2</w:t>
      </w:r>
      <w:r>
        <w:fldChar w:fldCharType="end"/>
      </w:r>
      <w:r>
        <w:rPr>
          <w:rFonts w:hint="eastAsia"/>
        </w:rPr>
        <w:t>所示。</w:t>
      </w:r>
    </w:p>
    <w:p/>
    <w:p/>
    <w:p/>
    <w:p>
      <w:pPr>
        <w:pStyle w:val="11"/>
      </w:pPr>
      <w:bookmarkStart w:id="68" w:name="_Ref224304701"/>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2</w:t>
      </w:r>
      <w:r>
        <w:fldChar w:fldCharType="end"/>
      </w:r>
      <w:bookmarkEnd w:id="68"/>
      <w:r>
        <w:rPr>
          <w:rFonts w:hint="eastAsia"/>
        </w:rPr>
        <w:t xml:space="preserve"> ADMET基准数据集</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4"/>
        <w:gridCol w:w="2701"/>
        <w:gridCol w:w="1374"/>
        <w:gridCol w:w="1374"/>
        <w:gridCol w:w="1374"/>
        <w:gridCol w:w="13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1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任务分类</w:t>
            </w:r>
          </w:p>
        </w:tc>
        <w:tc>
          <w:tcPr>
            <w:tcW w:w="1411"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数据集</w:t>
            </w:r>
          </w:p>
        </w:tc>
        <w:tc>
          <w:tcPr>
            <w:tcW w:w="71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分子数量</w:t>
            </w:r>
          </w:p>
        </w:tc>
        <w:tc>
          <w:tcPr>
            <w:tcW w:w="71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任务类型</w:t>
            </w:r>
          </w:p>
        </w:tc>
        <w:tc>
          <w:tcPr>
            <w:tcW w:w="71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评价指标</w:t>
            </w:r>
          </w:p>
        </w:tc>
        <w:tc>
          <w:tcPr>
            <w:tcW w:w="717"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划分方式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restart"/>
            <w:tcBorders>
              <w:top w:val="single" w:color="auto" w:sz="8" w:space="0"/>
              <w:left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吸收</w:t>
            </w:r>
          </w:p>
        </w:tc>
        <w:tc>
          <w:tcPr>
            <w:tcW w:w="141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Caco2</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906</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MAE</w:t>
            </w:r>
          </w:p>
        </w:tc>
        <w:tc>
          <w:tcPr>
            <w:tcW w:w="71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left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HIA</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578</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left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Pgp</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1212</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left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Bioav</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640</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left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Lipo</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4200</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MAE</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AqSol</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9982</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MAE</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restar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分布</w:t>
            </w:r>
          </w:p>
        </w:tc>
        <w:tc>
          <w:tcPr>
            <w:tcW w:w="141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BBB</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1975</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PPBR</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1797</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MAE</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VDss</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1130</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Spearman</w:t>
            </w:r>
          </w:p>
        </w:tc>
        <w:tc>
          <w:tcPr>
            <w:tcW w:w="717"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restar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代谢</w:t>
            </w:r>
          </w:p>
        </w:tc>
        <w:tc>
          <w:tcPr>
            <w:tcW w:w="141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CYP2C9 Inhibition</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12092</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CYP2D6 Inhibition</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13130</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CYP3A4 Inhibition</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12328</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bookmarkStart w:id="69" w:name="OLE_LINK8"/>
            <w:r>
              <w:rPr>
                <w:rFonts w:hint="eastAsia"/>
              </w:rPr>
              <w:t>CYP2C9 Substrate</w:t>
            </w:r>
            <w:bookmarkEnd w:id="69"/>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666</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CYP2D6 Substrate</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664</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CYP3A4 Substrate</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667</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restar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排泄</w:t>
            </w:r>
          </w:p>
        </w:tc>
        <w:tc>
          <w:tcPr>
            <w:tcW w:w="141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Half life</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667</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Spearman</w:t>
            </w:r>
          </w:p>
        </w:tc>
        <w:tc>
          <w:tcPr>
            <w:tcW w:w="71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CL-Hepa</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1020</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Spearman</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CL-Micro</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1102</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Spearman</w:t>
            </w:r>
          </w:p>
        </w:tc>
        <w:tc>
          <w:tcPr>
            <w:tcW w:w="717"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restar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毒性</w:t>
            </w:r>
          </w:p>
        </w:tc>
        <w:tc>
          <w:tcPr>
            <w:tcW w:w="141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LD50</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7385</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MAE</w:t>
            </w:r>
          </w:p>
        </w:tc>
        <w:tc>
          <w:tcPr>
            <w:tcW w:w="71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hERG</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648</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bookmarkStart w:id="70" w:name="OLE_LINK9"/>
            <w:r>
              <w:rPr>
                <w:rFonts w:hint="eastAsia"/>
              </w:rPr>
              <w:t>Ames</w:t>
            </w:r>
            <w:bookmarkEnd w:id="70"/>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7255</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DILI</w:t>
            </w:r>
          </w:p>
        </w:tc>
        <w:tc>
          <w:tcPr>
            <w:tcW w:w="718"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475</w:t>
            </w:r>
          </w:p>
        </w:tc>
        <w:tc>
          <w:tcPr>
            <w:tcW w:w="718"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t>Scaffold</w:t>
            </w:r>
          </w:p>
        </w:tc>
      </w:tr>
    </w:tbl>
    <w:p/>
    <w:p>
      <w:r>
        <w:rPr>
          <w:rFonts w:hint="eastAsia"/>
        </w:rPr>
        <w:t>（1）</w:t>
      </w:r>
      <w:r>
        <w:t xml:space="preserve"> 吸收</w:t>
      </w:r>
    </w:p>
    <w:p>
      <w:r>
        <w:t>Caco-2：用于衡量分子在Caco-2细胞模型中的渗透能力，是评估候选药物肠道吸收潜力的常用体外指标。</w:t>
      </w:r>
    </w:p>
    <w:p>
      <w:r>
        <w:t>HIA：用于反映药物经肠道吸收进入体循环的能力，是评价口服吸收特性的重要指标</w:t>
      </w:r>
      <w:r>
        <w:rPr>
          <w:rFonts w:hint="eastAsia"/>
        </w:rPr>
        <w:t>之一</w:t>
      </w:r>
      <w:r>
        <w:t>。</w:t>
      </w:r>
    </w:p>
    <w:p>
      <w:r>
        <w:t>Pgp：用于评估分子与P-糖蛋白相关的转运特性。P-糖蛋白参与药物外排过程，与药物吸收及多药耐药现象密切相关。</w:t>
      </w:r>
    </w:p>
    <w:p>
      <w:r>
        <w:t>Bioav：用于衡量药物进入体循环的比例，反映吸收过程及首过效应的综合结果，是药代动力学研究中的重要指标。</w:t>
      </w:r>
    </w:p>
    <w:p>
      <w:r>
        <w:t>Lipo：记录分子的辛醇-水分配系数（LogD），用于表征分子的亲脂性。该性质与药物的跨膜转运和组织分布密切相关。</w:t>
      </w:r>
    </w:p>
    <w:p>
      <w:r>
        <w:rPr>
          <w:rFonts w:hint="eastAsia"/>
        </w:rPr>
        <w:t>（</w:t>
      </w:r>
      <w:r>
        <w:t>2</w:t>
      </w:r>
      <w:r>
        <w:rPr>
          <w:rFonts w:hint="eastAsia"/>
        </w:rPr>
        <w:t>）</w:t>
      </w:r>
      <w:r>
        <w:t xml:space="preserve"> 分布</w:t>
      </w:r>
    </w:p>
    <w:p>
      <w:r>
        <w:t>BBB：用于判断分子是否能够穿透血脑屏障进入中枢神经系统，对中枢神经系统药物研发和安全性评价具有重要意义。</w:t>
      </w:r>
    </w:p>
    <w:p>
      <w:r>
        <w:t>PPBR：用于预测药物与血浆蛋白的结合率。该指标会影响血液中游离药物的比例，进而影响药物的体内分布和药效表现。</w:t>
      </w:r>
    </w:p>
    <w:p>
      <w:r>
        <w:t>VDss：用于衡量药物在体内的理论稳态分布容积，反映药物在组织与血浆之间的分布倾向，是药代动力学分析中的重要参数。</w:t>
      </w:r>
    </w:p>
    <w:p>
      <w:r>
        <w:rPr>
          <w:rFonts w:hint="eastAsia"/>
        </w:rPr>
        <w:t>（</w:t>
      </w:r>
      <w:r>
        <w:t>3</w:t>
      </w:r>
      <w:r>
        <w:rPr>
          <w:rFonts w:hint="eastAsia"/>
        </w:rPr>
        <w:t>）</w:t>
      </w:r>
      <w:r>
        <w:t xml:space="preserve"> 代谢</w:t>
      </w:r>
    </w:p>
    <w:p>
      <w:r>
        <w:t>CYP2C9 Inhibition：用于预测分子是否抑制CYP2C9酶。该酶参与部分临床药物的代谢，其抑制作用可能引起药物相互作用并增加不良反应风险。</w:t>
      </w:r>
    </w:p>
    <w:p>
      <w:r>
        <w:t>CYP2D6 Inhibition：用于预测分子对CYP2D6酶的抑制潜力。该酶参与多种药物代谢，其抑制可能影响联合用药的安全性。</w:t>
      </w:r>
    </w:p>
    <w:p>
      <w:r>
        <w:t>CYP3A4 Inhibition：</w:t>
      </w:r>
      <w:r>
        <w:rPr>
          <w:rFonts w:hint="eastAsia"/>
        </w:rPr>
        <w:t>用于判断分子是否抑制CYP3A4酶。由于该酶参与大量临床药物的代谢，其抑制作用在药物相互作用评估中具有重要意义。</w:t>
      </w:r>
    </w:p>
    <w:p>
      <w:r>
        <w:t>CYP2C9 Substrate：用于预测分子是否为CYP2C9酶的底物。该任务有助于分析药物在不同基因型人群中的代谢差异。</w:t>
      </w:r>
    </w:p>
    <w:p>
      <w:r>
        <w:t>CYP2D6 Substrate：用于判断分子是否主要经CYP2D6途径代谢。由于该酶具有显著的遗传多态性，该任务有助于分析不同代谢表型下的药物暴露差异。</w:t>
      </w:r>
    </w:p>
    <w:p>
      <w:r>
        <w:t>CYP3A4 Substrate：用于预测分子是否被CYP3A4酶代谢。该任务有助于评估药物的首过代谢特征及其对代谢诱导剂或抑制剂的敏感性。</w:t>
      </w:r>
    </w:p>
    <w:p>
      <w:r>
        <w:rPr>
          <w:rFonts w:hint="eastAsia"/>
        </w:rPr>
        <w:t>（</w:t>
      </w:r>
      <w:r>
        <w:t>4</w:t>
      </w:r>
      <w:r>
        <w:rPr>
          <w:rFonts w:hint="eastAsia"/>
        </w:rPr>
        <w:t>）</w:t>
      </w:r>
      <w:r>
        <w:t xml:space="preserve"> 排泄</w:t>
      </w:r>
    </w:p>
    <w:p>
      <w:r>
        <w:t>Half Life：</w:t>
      </w:r>
      <w:r>
        <w:rPr>
          <w:rFonts w:hint="eastAsia"/>
        </w:rPr>
        <w:t>用于预测药物在体内的消除半衰期，即血药浓度下降一半所需的时间，是表征药物体内驻留时间的重要参数。</w:t>
      </w:r>
    </w:p>
    <w:p>
      <w:r>
        <w:t>CL-Hepa：用于测量药物在肝细胞中的清除率，反映肝脏整体代谢清除能力，是评估药物肝脏代谢稳定性的常用体外指标。</w:t>
      </w:r>
    </w:p>
    <w:p>
      <w:r>
        <w:t>CL-Micro：用于测量药物在肝微粒体中的内在清除率，主要反映I相代谢酶介导的代谢速率。</w:t>
      </w:r>
    </w:p>
    <w:p>
      <w:r>
        <w:rPr>
          <w:rFonts w:hint="eastAsia"/>
        </w:rPr>
        <w:t>（</w:t>
      </w:r>
      <w:r>
        <w:t>5</w:t>
      </w:r>
      <w:r>
        <w:rPr>
          <w:rFonts w:hint="eastAsia"/>
        </w:rPr>
        <w:t>）</w:t>
      </w:r>
      <w:r>
        <w:t xml:space="preserve"> 毒性</w:t>
      </w:r>
    </w:p>
    <w:p>
      <w:r>
        <w:t>LD50：记录导致50%实验动物死亡的剂量，用于衡量化合物的急性毒性水平，是安全性评价中的基础指标之一。</w:t>
      </w:r>
    </w:p>
    <w:p>
      <w:r>
        <w:t>hERG：用于预测分子对hERG钾离子通道的阻滞作用。该通道阻滞与QT间期延长及心律失常风险相关，是心脏毒性评估中的重要指标。</w:t>
      </w:r>
    </w:p>
    <w:p>
      <w:r>
        <w:t>Ames：基于细菌回复突变实验判断分子是否具有致突变性，常用于早期筛查潜在的遗传毒性和致癌风险。</w:t>
      </w:r>
    </w:p>
    <w:p>
      <w:r>
        <w:t>DILI：</w:t>
      </w:r>
      <w:r>
        <w:rPr>
          <w:rFonts w:hint="eastAsia"/>
        </w:rPr>
        <w:t>用于预测药物诱导性肝损伤风险。药物性肝损伤是药物研发和安全性评价中需要重点关注的问题之一。</w:t>
      </w:r>
    </w:p>
    <w:p>
      <w:pPr>
        <w:pStyle w:val="4"/>
        <w:rPr>
          <w:rFonts w:hint="default"/>
        </w:rPr>
      </w:pPr>
      <w:bookmarkStart w:id="71" w:name="_Toc229423344"/>
      <w:r>
        <w:t>划分方式</w:t>
      </w:r>
      <w:bookmarkEnd w:id="71"/>
    </w:p>
    <w:p>
      <w:r>
        <w:t>为了更直观地揭示不同数据划分策略对模型泛化评估的影响，本文选取了PPBR_AZ（血浆蛋白结合率）数据集作为典型案例，利用t-SNE降维技术将高维分子特征映射至二维平面，并采用六边形热力图对化学空间的分布密度进行了可视化对比。</w:t>
      </w:r>
      <w:r>
        <w:rPr>
          <w:rFonts w:hint="eastAsia"/>
        </w:rPr>
        <w:t>如</w:t>
      </w:r>
      <w:r>
        <w:fldChar w:fldCharType="begin"/>
      </w:r>
      <w:r>
        <w:instrText xml:space="preserve"> </w:instrText>
      </w:r>
      <w:r>
        <w:rPr>
          <w:rFonts w:hint="eastAsia"/>
        </w:rPr>
        <w:instrText xml:space="preserve">REF _Ref224304749 \h</w:instrText>
      </w:r>
      <w:r>
        <w:instrText xml:space="preserve"> </w:instrText>
      </w:r>
      <w:r>
        <w:fldChar w:fldCharType="separate"/>
      </w:r>
      <w:r>
        <w:rPr>
          <w:rFonts w:hint="eastAsia"/>
        </w:rPr>
        <w:t>图3-</w:t>
      </w:r>
      <w:r>
        <w:t>2</w:t>
      </w:r>
      <w:r>
        <w:fldChar w:fldCharType="end"/>
      </w:r>
      <w:r>
        <w:rPr>
          <w:rFonts w:hint="eastAsia"/>
        </w:rPr>
        <w:t>所示，</w:t>
      </w:r>
      <w:r>
        <w:t>图中每个六边形单元的颜色映射了该区域内测试集样本的占比：深绿色代表该区域完全由训练集样本占据，而红色则代表该区域完全由测试集样本占据。</w:t>
      </w:r>
    </w:p>
    <w:p>
      <w:r>
        <w:t>如</w:t>
      </w:r>
      <w:r>
        <w:fldChar w:fldCharType="begin"/>
      </w:r>
      <w:r>
        <w:instrText xml:space="preserve"> REF _Ref224304749 \h </w:instrText>
      </w:r>
      <w:r>
        <w:fldChar w:fldCharType="separate"/>
      </w:r>
      <w:r>
        <w:rPr>
          <w:rFonts w:hint="eastAsia"/>
        </w:rPr>
        <w:t>图3-</w:t>
      </w:r>
      <w:r>
        <w:t>2</w:t>
      </w:r>
      <w:r>
        <w:fldChar w:fldCharType="end"/>
      </w:r>
      <w:r>
        <w:t>左侧所示，在随机划分（Random Split）策略下，热力图呈现出均匀的深绿色基调，且测试集样本（浅色/红色点）呈散点状随机分布于训练集样本的包围之中。这种均匀混合现象表明，训练集与测试集在化学空间中共享了大量相似的分子骨架结构，模型在测试集上的预测本质上是一种插值过程，极易因记忆相似结构而导致性能评估的虚高。</w:t>
      </w:r>
    </w:p>
    <w:p>
      <w:r>
        <w:t>相比之下，</w:t>
      </w:r>
      <w:r>
        <w:fldChar w:fldCharType="begin"/>
      </w:r>
      <w:r>
        <w:instrText xml:space="preserve"> REF _Ref224304749 \h </w:instrText>
      </w:r>
      <w:r>
        <w:fldChar w:fldCharType="separate"/>
      </w:r>
      <w:r>
        <w:rPr>
          <w:rFonts w:hint="eastAsia"/>
        </w:rPr>
        <w:t>图3-</w:t>
      </w:r>
      <w:r>
        <w:t>2</w:t>
      </w:r>
      <w:r>
        <w:fldChar w:fldCharType="end"/>
      </w:r>
      <w:r>
        <w:t>右侧的骨架划分（Scaffold Split）展现出了截然不同的分布模式。热力图呈现出显著的区域分化特征：部分化学空间区域呈现深绿色</w:t>
      </w:r>
      <w:r>
        <w:rPr>
          <w:rFonts w:hint="eastAsia"/>
        </w:rPr>
        <w:t>，即</w:t>
      </w:r>
      <w:r>
        <w:t>训练集集中区，而部分区域则呈现鲜明的红色或橙色</w:t>
      </w:r>
      <w:r>
        <w:rPr>
          <w:rFonts w:hint="eastAsia"/>
        </w:rPr>
        <w:t>，即</w:t>
      </w:r>
      <w:r>
        <w:t>测试集集中区。这种分布直观地说明了训练集与测试集占据了互不重叠的化学空间区域，二者之间存在显著的结构鸿沟。这种划分方式迫使模型必须跨越已知的骨架簇，对位于全新化学空间区域的分子进行外推预测。</w:t>
      </w:r>
    </w:p>
    <w:p>
      <w:r>
        <w:t>该可视化结果</w:t>
      </w:r>
      <w:r>
        <w:rPr>
          <w:rFonts w:hint="eastAsia"/>
        </w:rPr>
        <w:t>表明</w:t>
      </w:r>
      <w:r>
        <w:t>，骨架划分能够在一定程度上减少训练集与测试集之间的骨架重叠，从而比随机划分更严格地评估模型的结构泛化能力。因此，本文后续实验采用骨架划分策略，以提高泛化评估的严格性。</w:t>
      </w:r>
    </w:p>
    <w:p/>
    <w:p>
      <w:pPr>
        <w:ind w:firstLine="0" w:firstLineChars="0"/>
        <w:jc w:val="center"/>
      </w:pPr>
      <w:r>
        <w:drawing>
          <wp:inline distT="0" distB="0" distL="114300" distR="114300">
            <wp:extent cx="5267325" cy="230251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26"/>
                    <a:stretch>
                      <a:fillRect/>
                    </a:stretch>
                  </pic:blipFill>
                  <pic:spPr>
                    <a:xfrm>
                      <a:off x="0" y="0"/>
                      <a:ext cx="5267325" cy="2302535"/>
                    </a:xfrm>
                    <a:prstGeom prst="rect">
                      <a:avLst/>
                    </a:prstGeom>
                  </pic:spPr>
                </pic:pic>
              </a:graphicData>
            </a:graphic>
          </wp:inline>
        </w:drawing>
      </w:r>
    </w:p>
    <w:p>
      <w:pPr>
        <w:pStyle w:val="11"/>
      </w:pPr>
      <w:bookmarkStart w:id="72" w:name="_Ref224304749"/>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w:t>
      </w:r>
      <w:r>
        <w:fldChar w:fldCharType="end"/>
      </w:r>
      <w:bookmarkEnd w:id="72"/>
      <w:r>
        <w:rPr>
          <w:rFonts w:hint="eastAsia"/>
        </w:rPr>
        <w:t xml:space="preserve"> 随机划分与骨架划分在PPBR_AZ数据集上分布的对比</w:t>
      </w:r>
    </w:p>
    <w:p>
      <w:pPr>
        <w:pStyle w:val="4"/>
        <w:rPr>
          <w:rFonts w:hint="default"/>
        </w:rPr>
      </w:pPr>
      <w:bookmarkStart w:id="73" w:name="_Toc229423345"/>
      <w:r>
        <w:t>实验设置</w:t>
      </w:r>
      <w:bookmarkEnd w:id="73"/>
    </w:p>
    <w:p>
      <w:r>
        <w:t>为了确保实验结果的可复现性与公平性，</w:t>
      </w:r>
      <w:r>
        <w:rPr>
          <w:rFonts w:hint="eastAsia"/>
        </w:rPr>
        <w:t>此小节将介绍本实验中各个环节所用到的实验设置和相关参数设置，具体如下：</w:t>
      </w:r>
    </w:p>
    <w:p>
      <w:r>
        <w:rPr>
          <w:rFonts w:hint="eastAsia"/>
        </w:rPr>
        <w:t>本实验所用到的计算设备是一张</w:t>
      </w:r>
      <w:r>
        <w:t>NVIDIA GeForce RTX 4090</w:t>
      </w:r>
      <w:r>
        <w:rPr>
          <w:rFonts w:hint="eastAsia"/>
        </w:rPr>
        <w:t>的显卡，其拥有24GB的显存，用来进行模型推理和梯度计算。操作系统为</w:t>
      </w:r>
      <w:r>
        <w:t>Ubuntu 24.04 LTS</w:t>
      </w:r>
      <w:r>
        <w:rPr>
          <w:rFonts w:hint="eastAsia"/>
        </w:rPr>
        <w:t>，配合一张</w:t>
      </w:r>
      <w:r>
        <w:t>Intel Core i7-12700KF CPU</w:t>
      </w:r>
      <w:r>
        <w:rPr>
          <w:rFonts w:hint="eastAsia"/>
        </w:rPr>
        <w:t>和64GB的内存。软件方面主要是基于PyTorch 2.4.1深度学习框架构建，图神经网络组件依赖于PyG (PyTorch Geometric) 2.7.0库，化学分子处理与理化指标计算则统一采用RDKit 2025.9.3工具包。</w:t>
      </w:r>
    </w:p>
    <w:p>
      <w:r>
        <w:rPr>
          <w:rFonts w:hint="eastAsia"/>
        </w:rPr>
        <w:t>对于模型架构中的参数来说，本实验选用了</w:t>
      </w:r>
      <w:r>
        <w:t>LLaMA-3.1-8B-Instruct</w:t>
      </w:r>
      <w:r>
        <w:rPr>
          <w:rFonts w:hint="eastAsia"/>
        </w:rPr>
        <w:t>作为文本模态的主干网络，其输入序列的最大长度为512个Token。对于LoRA的核心参数设定为：秩r=16，缩放系数为32，Dropout为0.05。对于图编码采用3层的CMPNN网络，其隐藏层统一设置为300。</w:t>
      </w:r>
    </w:p>
    <w:p>
      <w:r>
        <w:rPr>
          <w:rFonts w:hint="eastAsia"/>
        </w:rPr>
        <w:t>关于模型训练过程中的相关参数，例如学习率设置为</w:t>
      </w:r>
      <w:r>
        <w:rPr>
          <w:position w:val="-6"/>
        </w:rPr>
        <w:object>
          <v:shape id="_x0000_i1169" o:spt="75" type="#_x0000_t75" style="height:16.2pt;width:36pt;" o:ole="t" filled="f" o:preferrelative="t" stroked="f" coordsize="21600,21600">
            <v:path/>
            <v:fill on="f" focussize="0,0"/>
            <v:stroke on="f" joinstyle="miter"/>
            <v:imagedata r:id="rId328" o:title=""/>
            <o:lock v:ext="edit" aspectratio="t"/>
            <w10:wrap type="none"/>
            <w10:anchorlock/>
          </v:shape>
          <o:OLEObject Type="Embed" ProgID="Equation.DSMT4" ShapeID="_x0000_i1169" DrawAspect="Content" ObjectID="_1468075869" r:id="rId327">
            <o:LockedField>false</o:LockedField>
          </o:OLEObject>
        </w:object>
      </w:r>
      <w:r>
        <w:rPr>
          <w:rFonts w:hint="eastAsia"/>
        </w:rPr>
        <w:t>，批次大小设置为8，由于硬件资源的限制，实验中采用4bit量化策略，以降低显存的使用。最大训练轮次设置为200轮，且引入早停机制，当损失连续15个Epoch未出现下降的时候自动终止训练。</w:t>
      </w:r>
    </w:p>
    <w:p>
      <w:pPr>
        <w:pStyle w:val="4"/>
        <w:rPr>
          <w:rFonts w:hint="default"/>
        </w:rPr>
      </w:pPr>
      <w:bookmarkStart w:id="74" w:name="_Toc229423346"/>
      <w:r>
        <w:t>评价指标</w:t>
      </w:r>
      <w:bookmarkEnd w:id="74"/>
    </w:p>
    <w:p>
      <w:r>
        <w:t>ADMET</w:t>
      </w:r>
      <w:r>
        <w:rPr>
          <w:rFonts w:hint="eastAsia"/>
        </w:rPr>
        <w:t>基准数据组涵盖了分类和回归两类任务，针对不同的任务类型采用不同的评价指标。其在分类任务中使用了</w:t>
      </w:r>
      <w:r>
        <w:t>AUROC</w:t>
      </w:r>
      <w:r>
        <w:rPr>
          <w:rFonts w:hint="eastAsia"/>
        </w:rPr>
        <w:t>和</w:t>
      </w:r>
      <w:r>
        <w:t>AUPRC</w:t>
      </w:r>
      <w:r>
        <w:rPr>
          <w:rFonts w:hint="eastAsia"/>
        </w:rPr>
        <w:t>作为评价标准，在回归任务中使用了</w:t>
      </w:r>
      <w:r>
        <w:t>MAE</w:t>
      </w:r>
      <w:r>
        <w:rPr>
          <w:rFonts w:hint="eastAsia"/>
        </w:rPr>
        <w:t>和</w:t>
      </w:r>
      <w:r>
        <w:t>Spearman</w:t>
      </w:r>
      <w:r>
        <w:rPr>
          <w:rFonts w:hint="eastAsia"/>
        </w:rPr>
        <w:t>作为评价标准。各个指标的具体介绍如下：</w:t>
      </w:r>
    </w:p>
    <w:p>
      <w:r>
        <w:t>AUROC</w:t>
      </w:r>
      <w:r>
        <w:rPr>
          <w:rFonts w:hint="eastAsia"/>
        </w:rPr>
        <w:t>：全称为</w:t>
      </w:r>
      <w:r>
        <w:t>接收者操作特征曲线下面积</w:t>
      </w:r>
      <w:r>
        <w:rPr>
          <w:rFonts w:hint="eastAsia"/>
        </w:rPr>
        <w:t>（Area Under the Receiver Operating Characteristic Curve），适用于二分类任务，评估模型对正负样本的排序能力。具体来说ROC是以假阳性率（FPR）为横坐标，真阳性率（TPR，即召回率）为纵坐标绘制的一条曲线。而AUROC就是这条ROC曲线下方的积分的面积。</w:t>
      </w:r>
    </w:p>
    <w:p>
      <w:pPr>
        <w:pStyle w:val="44"/>
        <w:spacing w:before="326" w:after="326"/>
      </w:pPr>
      <w:r>
        <w:tab/>
      </w:r>
      <w:r>
        <w:rPr>
          <w:position w:val="-24"/>
        </w:rPr>
        <w:object>
          <v:shape id="_x0000_i1170" o:spt="75" type="#_x0000_t75" style="height:30pt;width:81pt;" o:ole="t" filled="f" o:preferrelative="t" stroked="f" coordsize="21600,21600">
            <v:path/>
            <v:fill on="f" focussize="0,0"/>
            <v:stroke on="f" joinstyle="miter"/>
            <v:imagedata r:id="rId330" o:title=""/>
            <o:lock v:ext="edit" aspectratio="t"/>
            <w10:wrap type="none"/>
            <w10:anchorlock/>
          </v:shape>
          <o:OLEObject Type="Embed" ProgID="Equation.DSMT4" ShapeID="_x0000_i1170" DrawAspect="Content" ObjectID="_1468075870" r:id="rId32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pPr>
        <w:pStyle w:val="44"/>
        <w:spacing w:before="326" w:after="326"/>
      </w:pPr>
      <w:r>
        <w:tab/>
      </w:r>
      <w:r>
        <w:rPr>
          <w:position w:val="-24"/>
        </w:rPr>
        <w:object>
          <v:shape id="_x0000_i1171" o:spt="75" type="#_x0000_t75" style="height:30pt;width:81pt;" o:ole="t" filled="f" o:preferrelative="t" stroked="f" coordsize="21600,21600">
            <v:path/>
            <v:fill on="f" focussize="0,0"/>
            <v:stroke on="f" joinstyle="miter"/>
            <v:imagedata r:id="rId332" o:title=""/>
            <o:lock v:ext="edit" aspectratio="t"/>
            <w10:wrap type="none"/>
            <w10:anchorlock/>
          </v:shape>
          <o:OLEObject Type="Embed" ProgID="Equation.DSMT4" ShapeID="_x0000_i1171" DrawAspect="Content" ObjectID="_1468075871" r:id="rId33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pPr>
        <w:pStyle w:val="44"/>
        <w:spacing w:before="326" w:after="326"/>
      </w:pPr>
      <w:r>
        <w:tab/>
      </w:r>
      <w:r>
        <w:rPr>
          <w:position w:val="-18"/>
        </w:rPr>
        <w:object>
          <v:shape id="_x0000_i1172" o:spt="75" type="#_x0000_t75" style="height:27pt;width:159.6pt;" o:ole="t" filled="f" o:preferrelative="t" stroked="f" coordsize="21600,21600">
            <v:path/>
            <v:fill on="f" focussize="0,0"/>
            <v:stroke on="f" joinstyle="miter"/>
            <v:imagedata r:id="rId334" o:title=""/>
            <o:lock v:ext="edit" aspectratio="t"/>
            <w10:wrap type="none"/>
            <w10:anchorlock/>
          </v:shape>
          <o:OLEObject Type="Embed" ProgID="Equation.DSMT4" ShapeID="_x0000_i1172" DrawAspect="Content" ObjectID="_1468075872" r:id="rId33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r>
        <w:rPr>
          <w:rFonts w:hint="eastAsia"/>
        </w:rPr>
        <w:t>AUPRC：全称为</w:t>
      </w:r>
      <w:r>
        <w:t>精确率-召回率曲线下面积</w:t>
      </w:r>
      <w:r>
        <w:rPr>
          <w:rFonts w:hint="eastAsia"/>
        </w:rPr>
        <w:t>（</w:t>
      </w:r>
      <w:r>
        <w:t>Area Under the Precision-Recall Curve</w:t>
      </w:r>
      <w:r>
        <w:rPr>
          <w:rFonts w:hint="eastAsia"/>
        </w:rPr>
        <w:t>），适用于数据分布极度不平衡的二分类任务。PR曲线是以召回率，即TPR为横坐标，精确率（Precision）为纵坐标绘制的曲线。而AUPRC就是PR曲线下方的面积。</w:t>
      </w:r>
    </w:p>
    <w:p>
      <w:pPr>
        <w:pStyle w:val="44"/>
        <w:spacing w:before="326" w:after="326"/>
      </w:pPr>
      <w:r>
        <w:tab/>
      </w:r>
      <w:r>
        <w:rPr>
          <w:position w:val="-24"/>
        </w:rPr>
        <w:object>
          <v:shape id="_x0000_i1173" o:spt="75" type="#_x0000_t75" style="height:30pt;width:102pt;" o:ole="t" filled="f" o:preferrelative="t" stroked="f" coordsize="21600,21600">
            <v:path/>
            <v:fill on="f" focussize="0,0"/>
            <v:stroke on="f" joinstyle="miter"/>
            <v:imagedata r:id="rId336" o:title=""/>
            <o:lock v:ext="edit" aspectratio="t"/>
            <w10:wrap type="none"/>
            <w10:anchorlock/>
          </v:shape>
          <o:OLEObject Type="Embed" ProgID="Equation.DSMT4" ShapeID="_x0000_i1173" DrawAspect="Content" ObjectID="_1468075873" r:id="rId33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r>
        <w:fldChar w:fldCharType="end"/>
      </w:r>
    </w:p>
    <w:p>
      <w:pPr>
        <w:pStyle w:val="44"/>
        <w:spacing w:before="326" w:after="326"/>
      </w:pPr>
      <w:r>
        <w:tab/>
      </w:r>
      <w:r>
        <w:rPr>
          <w:position w:val="-24"/>
        </w:rPr>
        <w:object>
          <v:shape id="_x0000_i1174" o:spt="75" type="#_x0000_t75" style="height:30pt;width:90pt;" o:ole="t" filled="f" o:preferrelative="t" stroked="f" coordsize="21600,21600">
            <v:path/>
            <v:fill on="f" focussize="0,0"/>
            <v:stroke on="f" joinstyle="miter"/>
            <v:imagedata r:id="rId338" o:title=""/>
            <o:lock v:ext="edit" aspectratio="t"/>
            <w10:wrap type="none"/>
            <w10:anchorlock/>
          </v:shape>
          <o:OLEObject Type="Embed" ProgID="Equation.DSMT4" ShapeID="_x0000_i1174" DrawAspect="Content" ObjectID="_1468075874" r:id="rId33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pPr>
        <w:pStyle w:val="44"/>
        <w:spacing w:before="326" w:after="326"/>
      </w:pPr>
      <w:r>
        <w:tab/>
      </w:r>
      <w:r>
        <w:rPr>
          <w:position w:val="-18"/>
        </w:rPr>
        <w:object>
          <v:shape id="_x0000_i1175" o:spt="75" type="#_x0000_t75" style="height:27pt;width:195.6pt;" o:ole="t" filled="f" o:preferrelative="t" stroked="f" coordsize="21600,21600">
            <v:path/>
            <v:fill on="f" focussize="0,0"/>
            <v:stroke on="f" joinstyle="miter"/>
            <v:imagedata r:id="rId340" o:title=""/>
            <o:lock v:ext="edit" aspectratio="t"/>
            <w10:wrap type="none"/>
            <w10:anchorlock/>
          </v:shape>
          <o:OLEObject Type="Embed" ProgID="Equation.DSMT4" ShapeID="_x0000_i1175" DrawAspect="Content" ObjectID="_1468075875" r:id="rId33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r>
        <w:fldChar w:fldCharType="end"/>
      </w:r>
    </w:p>
    <w:p>
      <w:r>
        <w:rPr>
          <w:rFonts w:hint="eastAsia"/>
        </w:rPr>
        <w:t>MAE：全称为</w:t>
      </w:r>
      <w:r>
        <w:t>平均绝对误差</w:t>
      </w:r>
      <w:r>
        <w:rPr>
          <w:rFonts w:hint="eastAsia"/>
        </w:rPr>
        <w:t>（</w:t>
      </w:r>
      <w:r>
        <w:t>Mean Absolute Error</w:t>
      </w:r>
      <w:r>
        <w:rPr>
          <w:rFonts w:hint="eastAsia"/>
        </w:rPr>
        <w:t>），</w:t>
      </w:r>
      <w:r>
        <w:t>适用于回归任务，用于衡量模型预测值与真实值之间偏差的平均水平。</w:t>
      </w:r>
      <w:r>
        <w:rPr>
          <w:rFonts w:hint="eastAsia"/>
        </w:rPr>
        <w:t>假设样本的总数为</w:t>
      </w:r>
      <w:r>
        <w:rPr>
          <w:position w:val="-6"/>
        </w:rPr>
        <w:object>
          <v:shape id="_x0000_i1176" o:spt="75" type="#_x0000_t75" style="height:13.2pt;width:9pt;" o:ole="t" filled="f" o:preferrelative="t" stroked="f" coordsize="21600,21600">
            <v:path/>
            <v:fill on="f" focussize="0,0"/>
            <v:stroke on="f" joinstyle="miter"/>
            <v:imagedata r:id="rId342" o:title=""/>
            <o:lock v:ext="edit" aspectratio="t"/>
            <w10:wrap type="none"/>
            <w10:anchorlock/>
          </v:shape>
          <o:OLEObject Type="Embed" ProgID="Equation.DSMT4" ShapeID="_x0000_i1176" DrawAspect="Content" ObjectID="_1468075876" r:id="rId341">
            <o:LockedField>false</o:LockedField>
          </o:OLEObject>
        </w:object>
      </w:r>
      <w:r>
        <w:rPr>
          <w:rFonts w:hint="eastAsia"/>
        </w:rPr>
        <w:t>，</w:t>
      </w:r>
      <w:r>
        <w:rPr>
          <w:position w:val="-12"/>
        </w:rPr>
        <w:object>
          <v:shape id="_x0000_i1177" o:spt="75" type="#_x0000_t75" style="height:18.6pt;width:13.2pt;" o:ole="t" filled="f" o:preferrelative="t" stroked="f" coordsize="21600,21600">
            <v:path/>
            <v:fill on="f" focussize="0,0"/>
            <v:stroke on="f" joinstyle="miter"/>
            <v:imagedata r:id="rId344" o:title=""/>
            <o:lock v:ext="edit" aspectratio="t"/>
            <w10:wrap type="none"/>
            <w10:anchorlock/>
          </v:shape>
          <o:OLEObject Type="Embed" ProgID="Equation.DSMT4" ShapeID="_x0000_i1177" DrawAspect="Content" ObjectID="_1468075877" r:id="rId343">
            <o:LockedField>false</o:LockedField>
          </o:OLEObject>
        </w:object>
      </w:r>
      <w:r>
        <w:rPr>
          <w:rFonts w:hint="eastAsia"/>
        </w:rPr>
        <w:t>是第</w:t>
      </w:r>
      <w:r>
        <w:rPr>
          <w:position w:val="-6"/>
        </w:rPr>
        <w:object>
          <v:shape id="_x0000_i1178" o:spt="75" type="#_x0000_t75" style="height:13.2pt;width:6pt;" o:ole="t" filled="f" o:preferrelative="t" stroked="f" coordsize="21600,21600">
            <v:path/>
            <v:fill on="f" focussize="0,0"/>
            <v:stroke on="f" joinstyle="miter"/>
            <v:imagedata r:id="rId346" o:title=""/>
            <o:lock v:ext="edit" aspectratio="t"/>
            <w10:wrap type="none"/>
            <w10:anchorlock/>
          </v:shape>
          <o:OLEObject Type="Embed" ProgID="Equation.DSMT4" ShapeID="_x0000_i1178" DrawAspect="Content" ObjectID="_1468075878" r:id="rId345">
            <o:LockedField>false</o:LockedField>
          </o:OLEObject>
        </w:object>
      </w:r>
      <w:r>
        <w:rPr>
          <w:rFonts w:hint="eastAsia"/>
        </w:rPr>
        <w:t>个样本的真实值，</w:t>
      </w:r>
      <w:r>
        <w:rPr>
          <w:position w:val="-12"/>
        </w:rPr>
        <w:object>
          <v:shape id="_x0000_i1179" o:spt="75" type="#_x0000_t75" style="height:18.6pt;width:13.2pt;" o:ole="t" filled="f" o:preferrelative="t" stroked="f" coordsize="21600,21600">
            <v:path/>
            <v:fill on="f" focussize="0,0"/>
            <v:stroke on="f" joinstyle="miter"/>
            <v:imagedata r:id="rId348" o:title=""/>
            <o:lock v:ext="edit" aspectratio="t"/>
            <w10:wrap type="none"/>
            <w10:anchorlock/>
          </v:shape>
          <o:OLEObject Type="Embed" ProgID="Equation.DSMT4" ShapeID="_x0000_i1179" DrawAspect="Content" ObjectID="_1468075879" r:id="rId347">
            <o:LockedField>false</o:LockedField>
          </o:OLEObject>
        </w:object>
      </w:r>
      <w:r>
        <w:rPr>
          <w:rFonts w:hint="eastAsia"/>
        </w:rPr>
        <w:t>是第</w:t>
      </w:r>
      <w:r>
        <w:rPr>
          <w:position w:val="-6"/>
        </w:rPr>
        <w:object>
          <v:shape id="_x0000_i1180" o:spt="75" type="#_x0000_t75" style="height:13.2pt;width:6pt;" o:ole="t" filled="f" o:preferrelative="t" stroked="f" coordsize="21600,21600">
            <v:path/>
            <v:fill on="f" focussize="0,0"/>
            <v:stroke on="f" joinstyle="miter"/>
            <v:imagedata r:id="rId346" o:title=""/>
            <o:lock v:ext="edit" aspectratio="t"/>
            <w10:wrap type="none"/>
            <w10:anchorlock/>
          </v:shape>
          <o:OLEObject Type="Embed" ProgID="Equation.DSMT4" ShapeID="_x0000_i1180" DrawAspect="Content" ObjectID="_1468075880" r:id="rId349">
            <o:LockedField>false</o:LockedField>
          </o:OLEObject>
        </w:object>
      </w:r>
      <w:r>
        <w:rPr>
          <w:rFonts w:hint="eastAsia"/>
        </w:rPr>
        <w:t>个样本的预测值，</w:t>
      </w:r>
      <w:r>
        <w:t>则平均绝对误差定义为</w:t>
      </w:r>
      <w:r>
        <w:rPr>
          <w:rFonts w:hint="eastAsia"/>
        </w:rPr>
        <w:t>：</w:t>
      </w:r>
    </w:p>
    <w:p>
      <w:pPr>
        <w:pStyle w:val="44"/>
        <w:spacing w:before="326" w:after="326"/>
      </w:pPr>
      <w:r>
        <w:tab/>
      </w:r>
      <w:r>
        <w:rPr>
          <w:position w:val="-28"/>
        </w:rPr>
        <w:object>
          <v:shape id="_x0000_i1181" o:spt="75" type="#_x0000_t75" style="height:36pt;width:102pt;" o:ole="t" filled="f" o:preferrelative="t" stroked="f" coordsize="21600,21600">
            <v:path/>
            <v:fill on="f" focussize="0,0"/>
            <v:stroke on="f" joinstyle="miter"/>
            <v:imagedata r:id="rId351" o:title=""/>
            <o:lock v:ext="edit" aspectratio="t"/>
            <w10:wrap type="none"/>
            <w10:anchorlock/>
          </v:shape>
          <o:OLEObject Type="Embed" ProgID="Equation.DSMT4" ShapeID="_x0000_i1181" DrawAspect="Content" ObjectID="_1468075881" r:id="rId35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r>
        <w:t>Spearman</w:t>
      </w:r>
      <w:r>
        <w:rPr>
          <w:rFonts w:hint="eastAsia"/>
        </w:rPr>
        <w:t>：全称为</w:t>
      </w:r>
      <w:r>
        <w:t>斯皮尔曼等级相关系数</w:t>
      </w:r>
      <w:r>
        <w:rPr>
          <w:rFonts w:hint="eastAsia"/>
        </w:rPr>
        <w:t>（</w:t>
      </w:r>
      <w:r>
        <w:t>Spearman's</w:t>
      </w:r>
      <w:r>
        <w:rPr>
          <w:rFonts w:hint="eastAsia"/>
        </w:rPr>
        <w:t xml:space="preserve"> </w:t>
      </w:r>
      <w:r>
        <w:t>Rank</w:t>
      </w:r>
      <w:r>
        <w:rPr>
          <w:rFonts w:hint="eastAsia"/>
        </w:rPr>
        <w:t xml:space="preserve"> </w:t>
      </w:r>
      <w:r>
        <w:t>Correlation</w:t>
      </w:r>
      <w:r>
        <w:rPr>
          <w:rFonts w:hint="eastAsia"/>
        </w:rPr>
        <w:t xml:space="preserve"> </w:t>
      </w:r>
      <w:r>
        <w:t>Coefficient</w:t>
      </w:r>
      <w:r>
        <w:rPr>
          <w:rFonts w:hint="eastAsia"/>
        </w:rPr>
        <w:t>），与MAE不同的是，</w:t>
      </w:r>
      <w:r>
        <w:t>Spearman</w:t>
      </w:r>
      <w:r>
        <w:rPr>
          <w:rFonts w:hint="eastAsia"/>
        </w:rPr>
        <w:t>关注排序能力，即预测值的相对大小关系是否正确。一个模型可能MAE较大但Spearman系数很高，这说明虽然预测的绝对数值不够精确，但能够正确区分样本之间的相对高低。在药物筛选的实际应用中，通常需要从大量候选分子中筛选出性质最优的一批分子，此时排序的准确性往往比绝对数值的精度更具实际价值，因此Spearman系数在ADMET基准评估中具有重要意义。</w:t>
      </w:r>
    </w:p>
    <w:p>
      <w:pPr>
        <w:pStyle w:val="4"/>
        <w:rPr>
          <w:rFonts w:hint="default"/>
        </w:rPr>
      </w:pPr>
      <w:bookmarkStart w:id="75" w:name="_Toc229423347"/>
      <w:r>
        <w:t>对比模型</w:t>
      </w:r>
      <w:bookmarkEnd w:id="75"/>
    </w:p>
    <w:p>
      <w:r>
        <w:rPr>
          <w:rFonts w:hint="eastAsia"/>
        </w:rPr>
        <w:t>为了客观评估CoT-CMP框架在ADMET预测任务中的性能优势，本文从ADMET基准组的官方排行榜中选取了四个基准模型。该排行榜旨在为各个数据集提供标准化的性能评估。各个基准模型的介绍如下：</w:t>
      </w:r>
    </w:p>
    <w:p>
      <w:r>
        <w:rPr>
          <w:rFonts w:hint="eastAsia"/>
        </w:rPr>
        <w:t>GCN</w:t>
      </w:r>
      <w:r>
        <w:rPr>
          <w:vertAlign w:val="superscript"/>
        </w:rPr>
        <w:fldChar w:fldCharType="begin"/>
      </w:r>
      <w:r>
        <w:rPr>
          <w:vertAlign w:val="superscript"/>
        </w:rPr>
        <w:instrText xml:space="preserve"> </w:instrText>
      </w:r>
      <w:r>
        <w:rPr>
          <w:rFonts w:hint="eastAsia"/>
          <w:vertAlign w:val="superscript"/>
        </w:rPr>
        <w:instrText xml:space="preserve">REF _Ref225763480 \r \h</w:instrText>
      </w:r>
      <w:r>
        <w:rPr>
          <w:vertAlign w:val="superscript"/>
        </w:rPr>
        <w:instrText xml:space="preserve">  \* MERGEFORMAT </w:instrText>
      </w:r>
      <w:r>
        <w:rPr>
          <w:vertAlign w:val="superscript"/>
        </w:rPr>
        <w:fldChar w:fldCharType="separate"/>
      </w:r>
      <w:r>
        <w:rPr>
          <w:vertAlign w:val="superscript"/>
        </w:rPr>
        <w:t>[46]</w:t>
      </w:r>
      <w:r>
        <w:rPr>
          <w:vertAlign w:val="superscript"/>
        </w:rPr>
        <w:fldChar w:fldCharType="end"/>
      </w:r>
      <w:r>
        <w:rPr>
          <w:rFonts w:hint="eastAsia"/>
        </w:rPr>
        <w:t>：图卷积神经网络是最经典也是应用最广泛的神经网络基线模型之一。该模型将分子视为图，原子视为节点，化学键视为边，通过局部邻域内的消息传递机制来更新节点的特征信息。每一个原子都聚合了一阶邻居原子的特征信息，通过卷积操作来获取分子的局部拓扑结构，最终通过读出函数得到分子级别的嵌入</w:t>
      </w:r>
      <w:r>
        <w:rPr>
          <w:vertAlign w:val="superscript"/>
        </w:rPr>
        <w:fldChar w:fldCharType="begin"/>
      </w:r>
      <w:r>
        <w:rPr>
          <w:vertAlign w:val="superscript"/>
        </w:rPr>
        <w:instrText xml:space="preserve"> </w:instrText>
      </w:r>
      <w:r>
        <w:rPr>
          <w:rFonts w:hint="eastAsia"/>
          <w:vertAlign w:val="superscript"/>
        </w:rPr>
        <w:instrText xml:space="preserve">REF _Ref225763996 \r \h</w:instrText>
      </w:r>
      <w:r>
        <w:rPr>
          <w:vertAlign w:val="superscript"/>
        </w:rPr>
        <w:instrText xml:space="preserve">  \* MERGEFORMAT </w:instrText>
      </w:r>
      <w:r>
        <w:rPr>
          <w:vertAlign w:val="superscript"/>
        </w:rPr>
        <w:fldChar w:fldCharType="separate"/>
      </w:r>
      <w:r>
        <w:rPr>
          <w:vertAlign w:val="superscript"/>
        </w:rPr>
        <w:t>[61]</w:t>
      </w:r>
      <w:r>
        <w:rPr>
          <w:vertAlign w:val="superscript"/>
        </w:rPr>
        <w:fldChar w:fldCharType="end"/>
      </w:r>
      <w:r>
        <w:rPr>
          <w:rFonts w:hint="eastAsia"/>
        </w:rPr>
        <w:t>。</w:t>
      </w:r>
    </w:p>
    <w:p>
      <w:r>
        <w:rPr>
          <w:rFonts w:hint="eastAsia"/>
        </w:rPr>
        <w:t>AttentiveFP</w:t>
      </w:r>
      <w:r>
        <w:rPr>
          <w:vertAlign w:val="superscript"/>
        </w:rPr>
        <w:fldChar w:fldCharType="begin"/>
      </w:r>
      <w:r>
        <w:rPr>
          <w:vertAlign w:val="superscript"/>
        </w:rPr>
        <w:instrText xml:space="preserve"> </w:instrText>
      </w:r>
      <w:r>
        <w:rPr>
          <w:rFonts w:hint="eastAsia"/>
          <w:vertAlign w:val="superscript"/>
        </w:rPr>
        <w:instrText xml:space="preserve">REF _Ref225764008 \r \h</w:instrText>
      </w:r>
      <w:r>
        <w:rPr>
          <w:vertAlign w:val="superscript"/>
        </w:rPr>
        <w:instrText xml:space="preserve">  \* MERGEFORMAT </w:instrText>
      </w:r>
      <w:r>
        <w:rPr>
          <w:vertAlign w:val="superscript"/>
        </w:rPr>
        <w:fldChar w:fldCharType="separate"/>
      </w:r>
      <w:r>
        <w:rPr>
          <w:vertAlign w:val="superscript"/>
        </w:rPr>
        <w:t>[62]</w:t>
      </w:r>
      <w:r>
        <w:rPr>
          <w:vertAlign w:val="superscript"/>
        </w:rPr>
        <w:fldChar w:fldCharType="end"/>
      </w:r>
      <w:r>
        <w:rPr>
          <w:rFonts w:hint="eastAsia"/>
        </w:rPr>
        <w:t>：该模型是基于注意力机制的经典图神经网络，旨在解决传统GCN在处理长程依赖时的局限性。该模型首次通过在原子级别和分子级别引入图注意力网络，能够动态学习不同邻居节点对中心原子的贡献权重。先对原子邻域做注意力加权聚合，再对全局分子做超图级别的注意力读出。该模型能够捕捉长程依赖，在多个分子性质预测任务上表现优异，是图神经网络中较强的基线模型。</w:t>
      </w:r>
    </w:p>
    <w:p>
      <w:r>
        <w:rPr>
          <w:rFonts w:hint="eastAsia"/>
        </w:rPr>
        <w:t>NeuralFP</w:t>
      </w:r>
      <w:r>
        <w:rPr>
          <w:vertAlign w:val="superscript"/>
        </w:rPr>
        <w:fldChar w:fldCharType="begin"/>
      </w:r>
      <w:r>
        <w:rPr>
          <w:vertAlign w:val="superscript"/>
        </w:rPr>
        <w:instrText xml:space="preserve"> </w:instrText>
      </w:r>
      <w:r>
        <w:rPr>
          <w:rFonts w:hint="eastAsia"/>
          <w:vertAlign w:val="superscript"/>
        </w:rPr>
        <w:instrText xml:space="preserve">REF _Ref225764026 \r \h</w:instrText>
      </w:r>
      <w:r>
        <w:rPr>
          <w:vertAlign w:val="superscript"/>
        </w:rPr>
        <w:instrText xml:space="preserve">  \* MERGEFORMAT </w:instrText>
      </w:r>
      <w:r>
        <w:rPr>
          <w:vertAlign w:val="superscript"/>
        </w:rPr>
        <w:fldChar w:fldCharType="separate"/>
      </w:r>
      <w:r>
        <w:rPr>
          <w:vertAlign w:val="superscript"/>
        </w:rPr>
        <w:t>[63]</w:t>
      </w:r>
      <w:r>
        <w:rPr>
          <w:vertAlign w:val="superscript"/>
        </w:rPr>
        <w:fldChar w:fldCharType="end"/>
      </w:r>
      <w:r>
        <w:rPr>
          <w:rFonts w:hint="eastAsia"/>
        </w:rPr>
        <w:t>：神经图指纹模型是将深度学习应用于分子表征的开创性工作之一，通过对传统的Morgan指纹进行神经网络的泛化，将固定的哈希操作替换为可学习的神经网络，允许网络在端到端的训练过程中自主学习最优的特征提取方式。它通过图池化操作，将节点级别的特征平滑地聚合为整个分子的连续型向量表示。</w:t>
      </w:r>
    </w:p>
    <w:p>
      <w:r>
        <w:rPr>
          <w:rFonts w:hint="eastAsia"/>
        </w:rPr>
        <w:t>CNN</w:t>
      </w:r>
      <w:r>
        <w:rPr>
          <w:vertAlign w:val="superscript"/>
        </w:rPr>
        <w:fldChar w:fldCharType="begin"/>
      </w:r>
      <w:r>
        <w:rPr>
          <w:vertAlign w:val="superscript"/>
        </w:rPr>
        <w:instrText xml:space="preserve"> </w:instrText>
      </w:r>
      <w:r>
        <w:rPr>
          <w:rFonts w:hint="eastAsia"/>
          <w:vertAlign w:val="superscript"/>
        </w:rPr>
        <w:instrText xml:space="preserve">REF _Ref225764081 \r \h</w:instrText>
      </w:r>
      <w:r>
        <w:rPr>
          <w:vertAlign w:val="superscript"/>
        </w:rPr>
        <w:instrText xml:space="preserve">  \* MERGEFORMAT </w:instrText>
      </w:r>
      <w:r>
        <w:rPr>
          <w:vertAlign w:val="superscript"/>
        </w:rPr>
        <w:fldChar w:fldCharType="separate"/>
      </w:r>
      <w:r>
        <w:rPr>
          <w:vertAlign w:val="superscript"/>
        </w:rPr>
        <w:t>[64]</w:t>
      </w:r>
      <w:r>
        <w:rPr>
          <w:vertAlign w:val="superscript"/>
        </w:rPr>
        <w:fldChar w:fldCharType="end"/>
      </w:r>
      <w:r>
        <w:rPr>
          <w:rFonts w:hint="eastAsia"/>
        </w:rPr>
        <w:t>：卷积神经网络是一种基于卷积操作的网络模型，在分子预测任务中通常将SMILES视为序列输入，利用一维卷积网络提取局部子结构特征。</w:t>
      </w:r>
    </w:p>
    <w:p>
      <w:pPr>
        <w:pStyle w:val="3"/>
      </w:pPr>
      <w:bookmarkStart w:id="76" w:name="_Toc229423348"/>
      <w:r>
        <w:rPr>
          <w:rFonts w:hint="eastAsia"/>
        </w:rPr>
        <w:t>实验及结果分析</w:t>
      </w:r>
      <w:bookmarkEnd w:id="76"/>
    </w:p>
    <w:p>
      <w:pPr>
        <w:pStyle w:val="4"/>
        <w:rPr>
          <w:rFonts w:hint="default"/>
        </w:rPr>
      </w:pPr>
      <w:bookmarkStart w:id="77" w:name="_Toc229423349"/>
      <w:r>
        <w:t>对比实验</w:t>
      </w:r>
      <w:bookmarkEnd w:id="77"/>
    </w:p>
    <w:p>
      <w:r>
        <w:rPr>
          <w:rFonts w:hint="eastAsia"/>
        </w:rPr>
        <w:t>为了验证CoT-CMP模型在药物分子预测任务上的性能，本章节在ADMET基准组上的22个数据集上进行了实验，实验过程中所有的基线模型和CoT-CMP保持一致的划分方式。为了保证实验数据的可靠性，实验采用了不同的随机数进行了多次实验。实验结果中最好的数据用黑体标出，次优的结果用下划线标出。各个模型的实验结果数据如</w:t>
      </w:r>
      <w:r>
        <w:fldChar w:fldCharType="begin"/>
      </w:r>
      <w:r>
        <w:instrText xml:space="preserve"> </w:instrText>
      </w:r>
      <w:r>
        <w:rPr>
          <w:rFonts w:hint="eastAsia"/>
        </w:rPr>
        <w:instrText xml:space="preserve">REF _Ref224494692 \h</w:instrText>
      </w:r>
      <w:r>
        <w:instrText xml:space="preserve"> </w:instrText>
      </w:r>
      <w:r>
        <w:fldChar w:fldCharType="separate"/>
      </w:r>
      <w:r>
        <w:rPr>
          <w:rFonts w:hint="eastAsia"/>
        </w:rPr>
        <w:t>表3-</w:t>
      </w:r>
      <w:r>
        <w:t>3</w:t>
      </w:r>
      <w:r>
        <w:fldChar w:fldCharType="end"/>
      </w:r>
      <w:r>
        <w:rPr>
          <w:rFonts w:hint="eastAsia"/>
        </w:rPr>
        <w:t>所示。</w:t>
      </w:r>
    </w:p>
    <w:p>
      <w:pPr>
        <w:pStyle w:val="11"/>
      </w:pPr>
      <w:bookmarkStart w:id="78" w:name="_Ref224494692"/>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3</w:t>
      </w:r>
      <w:r>
        <w:fldChar w:fldCharType="end"/>
      </w:r>
      <w:bookmarkEnd w:id="78"/>
      <w:r>
        <w:rPr>
          <w:rFonts w:hint="eastAsia"/>
        </w:rPr>
        <w:t xml:space="preserve"> CoT-CMP在ADMET基准组上的对比实验结果</w:t>
      </w:r>
    </w:p>
    <w:tbl>
      <w:tblPr>
        <w:tblStyle w:val="22"/>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96"/>
        <w:gridCol w:w="1409"/>
        <w:gridCol w:w="1451"/>
        <w:gridCol w:w="1259"/>
        <w:gridCol w:w="1397"/>
        <w:gridCol w:w="1258"/>
      </w:tblGrid>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461"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数据集</w:t>
            </w:r>
          </w:p>
        </w:tc>
        <w:tc>
          <w:tcPr>
            <w:tcW w:w="736"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GCN</w:t>
            </w:r>
          </w:p>
        </w:tc>
        <w:tc>
          <w:tcPr>
            <w:tcW w:w="75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AttentiveFP</w:t>
            </w:r>
          </w:p>
        </w:tc>
        <w:tc>
          <w:tcPr>
            <w:tcW w:w="65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NeuralFP</w:t>
            </w:r>
          </w:p>
        </w:tc>
        <w:tc>
          <w:tcPr>
            <w:tcW w:w="730"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CNN</w:t>
            </w:r>
          </w:p>
        </w:tc>
        <w:tc>
          <w:tcPr>
            <w:tcW w:w="657" w:type="pct"/>
            <w:tcBorders>
              <w:top w:val="single" w:color="auto" w:sz="12" w:space="0"/>
              <w:left w:val="nil"/>
              <w:bottom w:val="single" w:color="auto" w:sz="8" w:space="0"/>
              <w:right w:val="nil"/>
            </w:tcBorders>
            <w:tcMar>
              <w:top w:w="-1" w:type="dxa"/>
              <w:left w:w="-1" w:type="dxa"/>
              <w:bottom w:w="-1" w:type="dxa"/>
              <w:right w:w="-1" w:type="dxa"/>
            </w:tcMar>
          </w:tcPr>
          <w:p>
            <w:pPr>
              <w:spacing w:line="300" w:lineRule="auto"/>
              <w:ind w:firstLine="0" w:firstLineChars="0"/>
              <w:jc w:val="center"/>
            </w:pPr>
            <w:r>
              <w:rPr>
                <w:rFonts w:hint="eastAsia"/>
              </w:rPr>
              <w:t>CoT-CMP</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64" w:hRule="atLeast"/>
          <w:jc w:val="center"/>
        </w:trPr>
        <w:tc>
          <w:tcPr>
            <w:tcW w:w="146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Caco2(</w:t>
            </w:r>
            <w:r>
              <w:rPr>
                <w:rFonts w:hint="eastAsia" w:ascii="Arial" w:hAnsi="Arial" w:eastAsia="Arial" w:cs="Arial"/>
                <w:color w:val="191919"/>
                <w:sz w:val="19"/>
                <w:szCs w:val="19"/>
                <w:shd w:val="clear" w:color="auto" w:fill="FFFFFF"/>
              </w:rPr>
              <w:t>↓</w:t>
            </w:r>
            <w:r>
              <w:rPr>
                <w:rFonts w:hint="eastAsia"/>
              </w:rPr>
              <w:t>)</w:t>
            </w:r>
          </w:p>
        </w:tc>
        <w:tc>
          <w:tcPr>
            <w:tcW w:w="736"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0.599</w:t>
            </w:r>
            <w:r>
              <w:rPr>
                <w:rFonts w:hint="eastAsia"/>
                <w:vertAlign w:val="subscript"/>
              </w:rPr>
              <w:t>(</w:t>
            </w:r>
            <w:r>
              <w:rPr>
                <w:vertAlign w:val="subscript"/>
              </w:rPr>
              <w:t>0.104</w:t>
            </w:r>
            <w:r>
              <w:rPr>
                <w:rFonts w:hint="eastAsia"/>
                <w:vertAlign w:val="subscript"/>
              </w:rPr>
              <w:t>)</w:t>
            </w:r>
          </w:p>
        </w:tc>
        <w:tc>
          <w:tcPr>
            <w:tcW w:w="75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0.401</w:t>
            </w:r>
            <w:r>
              <w:rPr>
                <w:rFonts w:hint="eastAsia"/>
                <w:u w:val="single"/>
                <w:vertAlign w:val="subscript"/>
              </w:rPr>
              <w:t>(</w:t>
            </w:r>
            <w:r>
              <w:rPr>
                <w:u w:val="single"/>
                <w:vertAlign w:val="subscript"/>
              </w:rPr>
              <w:t>0.032</w:t>
            </w:r>
            <w:r>
              <w:rPr>
                <w:rFonts w:hint="eastAsia"/>
                <w:u w:val="single"/>
                <w:vertAlign w:val="subscript"/>
              </w:rPr>
              <w:t>)</w:t>
            </w:r>
          </w:p>
        </w:tc>
        <w:tc>
          <w:tcPr>
            <w:tcW w:w="65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0.530</w:t>
            </w:r>
            <w:r>
              <w:rPr>
                <w:rFonts w:hint="eastAsia"/>
                <w:vertAlign w:val="subscript"/>
              </w:rPr>
              <w:t>(0.102)</w:t>
            </w:r>
          </w:p>
        </w:tc>
        <w:tc>
          <w:tcPr>
            <w:tcW w:w="730"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0.446</w:t>
            </w:r>
            <w:r>
              <w:rPr>
                <w:rFonts w:hint="eastAsia"/>
                <w:vertAlign w:val="subscript"/>
              </w:rPr>
              <w:t>(0.036)</w:t>
            </w:r>
          </w:p>
        </w:tc>
        <w:tc>
          <w:tcPr>
            <w:tcW w:w="65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0.387</w:t>
            </w:r>
            <w:r>
              <w:rPr>
                <w:rFonts w:hint="eastAsia"/>
                <w:b/>
                <w:bCs/>
                <w:vertAlign w:val="subscript"/>
              </w:rPr>
              <w:t>(0.033)</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HIA(</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0.936</w:t>
            </w:r>
            <w:r>
              <w:rPr>
                <w:rFonts w:hint="eastAsia"/>
                <w:vertAlign w:val="subscript"/>
              </w:rPr>
              <w:t>(</w:t>
            </w:r>
            <w:r>
              <w:rPr>
                <w:vertAlign w:val="subscript"/>
              </w:rPr>
              <w:t>0.024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0.974</w:t>
            </w:r>
            <w:r>
              <w:rPr>
                <w:rFonts w:hint="eastAsia"/>
                <w:u w:val="single"/>
                <w:vertAlign w:val="subscript"/>
              </w:rPr>
              <w:t>(</w:t>
            </w:r>
            <w:r>
              <w:rPr>
                <w:u w:val="single"/>
                <w:vertAlign w:val="subscript"/>
              </w:rPr>
              <w:t>0.007</w:t>
            </w:r>
            <w:r>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0.943</w:t>
            </w:r>
            <w:r>
              <w:rPr>
                <w:rFonts w:hint="eastAsia"/>
                <w:vertAlign w:val="subscript"/>
              </w:rPr>
              <w:t>(0.014)</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0.869</w:t>
            </w:r>
            <w:r>
              <w:rPr>
                <w:rFonts w:hint="eastAsia"/>
                <w:vertAlign w:val="subscript"/>
              </w:rPr>
              <w:t>(0.026)</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0.982</w:t>
            </w:r>
            <w:r>
              <w:rPr>
                <w:rFonts w:hint="eastAsia"/>
                <w:b/>
                <w:bCs/>
                <w:vertAlign w:val="subscript"/>
              </w:rPr>
              <w:t>(0.012)</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Pgp(</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0.895</w:t>
            </w:r>
            <w:r>
              <w:rPr>
                <w:rFonts w:hint="eastAsia"/>
                <w:vertAlign w:val="subscript"/>
              </w:rPr>
              <w:t>(</w:t>
            </w:r>
            <w:r>
              <w:rPr>
                <w:vertAlign w:val="subscript"/>
              </w:rPr>
              <w:t>0.021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0.892</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0.902</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0.908</w:t>
            </w:r>
            <w:r>
              <w:rPr>
                <w:rFonts w:hint="eastAsia"/>
                <w:u w:val="single"/>
                <w:vertAlign w:val="subscript"/>
              </w:rPr>
              <w:t>(0.012)</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0.912</w:t>
            </w:r>
            <w:r>
              <w:rPr>
                <w:rFonts w:hint="eastAsia"/>
                <w:b/>
                <w:bCs/>
                <w:vertAlign w:val="subscript"/>
              </w:rPr>
              <w:t>(0.020)</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Bioav(</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w:t>
            </w:r>
            <w:r>
              <w:rPr>
                <w:rFonts w:hint="eastAsia"/>
              </w:rPr>
              <w:t>566</w:t>
            </w:r>
            <w:r>
              <w:rPr>
                <w:rFonts w:hint="eastAsia"/>
                <w:vertAlign w:val="subscript"/>
              </w:rPr>
              <w:t>(</w:t>
            </w:r>
            <w:r>
              <w:rPr>
                <w:vertAlign w:val="subscript"/>
              </w:rPr>
              <w:t>0.</w:t>
            </w:r>
            <w:r>
              <w:rPr>
                <w:rFonts w:hint="eastAsia"/>
                <w:vertAlign w:val="subscript"/>
              </w:rPr>
              <w:t>115)</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w:t>
            </w:r>
            <w:r>
              <w:rPr>
                <w:rFonts w:hint="eastAsia"/>
              </w:rPr>
              <w:t>628</w:t>
            </w:r>
            <w:r>
              <w:rPr>
                <w:rFonts w:hint="eastAsia"/>
                <w:vertAlign w:val="subscript"/>
              </w:rPr>
              <w:t>(</w:t>
            </w:r>
            <w:r>
              <w:rPr>
                <w:vertAlign w:val="subscript"/>
              </w:rPr>
              <w:t>0.</w:t>
            </w:r>
            <w:r>
              <w:rPr>
                <w:rFonts w:hint="eastAsia"/>
                <w:vertAlign w:val="subscript"/>
              </w:rPr>
              <w:t>035)</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0.632</w:t>
            </w:r>
            <w:r>
              <w:rPr>
                <w:rFonts w:hint="eastAsia"/>
                <w:b/>
                <w:bCs/>
                <w:vertAlign w:val="subscript"/>
              </w:rPr>
              <w:t>(0.036)</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0.613</w:t>
            </w:r>
            <w:r>
              <w:rPr>
                <w:rFonts w:hint="eastAsia"/>
                <w:vertAlign w:val="subscript"/>
              </w:rPr>
              <w:t>(0.013)</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0.630</w:t>
            </w:r>
            <w:r>
              <w:rPr>
                <w:rFonts w:hint="eastAsia"/>
                <w:u w:val="single"/>
                <w:vertAlign w:val="subscript"/>
              </w:rPr>
              <w:t>(0.026)</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Lipo(</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0.541</w:t>
            </w:r>
            <w:r>
              <w:rPr>
                <w:rFonts w:hint="eastAsia"/>
                <w:vertAlign w:val="subscript"/>
              </w:rPr>
              <w:t>(</w:t>
            </w:r>
            <w:r>
              <w:rPr>
                <w:vertAlign w:val="subscript"/>
              </w:rPr>
              <w:t>0.011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0.572</w:t>
            </w:r>
            <w:r>
              <w:rPr>
                <w:rFonts w:hint="eastAsia"/>
                <w:vertAlign w:val="subscript"/>
              </w:rPr>
              <w:t>(</w:t>
            </w:r>
            <w:r>
              <w:rPr>
                <w:vertAlign w:val="subscript"/>
              </w:rPr>
              <w:t>0.007</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0.536</w:t>
            </w:r>
            <w:r>
              <w:rPr>
                <w:rFonts w:hint="eastAsia"/>
                <w:u w:val="single"/>
                <w:vertAlign w:val="subscript"/>
              </w:rPr>
              <w:t>(0.023)</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0.743</w:t>
            </w:r>
            <w:r>
              <w:rPr>
                <w:rFonts w:hint="eastAsia"/>
                <w:vertAlign w:val="subscript"/>
              </w:rPr>
              <w:t>(0.020)</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0.510</w:t>
            </w:r>
            <w:r>
              <w:rPr>
                <w:rFonts w:hint="eastAsia"/>
                <w:b/>
                <w:bCs/>
                <w:vertAlign w:val="subscript"/>
              </w:rPr>
              <w:t>(0.035)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AqSol(</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0.907</w:t>
            </w:r>
            <w:r>
              <w:rPr>
                <w:rFonts w:hint="eastAsia"/>
                <w:vertAlign w:val="subscript"/>
              </w:rPr>
              <w:t>(0.020)</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0.776</w:t>
            </w:r>
            <w:r>
              <w:rPr>
                <w:rFonts w:hint="eastAsia"/>
                <w:u w:val="single"/>
                <w:vertAlign w:val="subscript"/>
              </w:rPr>
              <w:t>(0.008)</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0.947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1.023</w:t>
            </w:r>
            <w:r>
              <w:rPr>
                <w:rFonts w:hint="eastAsia"/>
                <w:vertAlign w:val="subscript"/>
              </w:rPr>
              <w:t>(0.023)</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0.742</w:t>
            </w:r>
            <w:r>
              <w:rPr>
                <w:rFonts w:hint="eastAsia"/>
                <w:b/>
                <w:bCs/>
                <w:vertAlign w:val="subscript"/>
              </w:rPr>
              <w:t>(0.046)</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BBB(</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0.842</w:t>
            </w:r>
            <w:r>
              <w:rPr>
                <w:rFonts w:hint="eastAsia"/>
                <w:vertAlign w:val="subscript"/>
              </w:rPr>
              <w:t>(</w:t>
            </w:r>
            <w:r>
              <w:rPr>
                <w:vertAlign w:val="subscript"/>
              </w:rPr>
              <w:t>0.016</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b/>
                <w:bCs/>
              </w:rPr>
              <w:t>0.855</w:t>
            </w:r>
            <w:r>
              <w:rPr>
                <w:rFonts w:hint="eastAsia"/>
                <w:b/>
                <w:bCs/>
                <w:vertAlign w:val="subscript"/>
              </w:rPr>
              <w:t>(</w:t>
            </w:r>
            <w:r>
              <w:rPr>
                <w:b/>
                <w:bCs/>
                <w:vertAlign w:val="subscript"/>
              </w:rPr>
              <w:t>0.011</w:t>
            </w:r>
            <w:r>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0.836</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0.781</w:t>
            </w:r>
            <w:r>
              <w:rPr>
                <w:rFonts w:hint="eastAsia"/>
                <w:vertAlign w:val="subscript"/>
              </w:rPr>
              <w:t>(0.030)</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0.850</w:t>
            </w:r>
            <w:r>
              <w:rPr>
                <w:rFonts w:hint="eastAsia"/>
                <w:u w:val="single"/>
                <w:vertAlign w:val="subscript"/>
              </w:rPr>
              <w:t>(0.019)</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PPBR(</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10.194</w:t>
            </w:r>
            <w:r>
              <w:rPr>
                <w:rFonts w:hint="eastAsia"/>
                <w:vertAlign w:val="subscript"/>
              </w:rPr>
              <w:t>(</w:t>
            </w:r>
            <w:r>
              <w:rPr>
                <w:vertAlign w:val="subscript"/>
              </w:rPr>
              <w:t>0.37</w:t>
            </w:r>
            <w:r>
              <w:rPr>
                <w:rFonts w:hint="eastAsia"/>
                <w:vertAlign w:val="subscript"/>
              </w:rPr>
              <w:t>3)</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9.373</w:t>
            </w:r>
            <w:r>
              <w:rPr>
                <w:rFonts w:hint="eastAsia"/>
                <w:vertAlign w:val="subscript"/>
              </w:rPr>
              <w:t>(</w:t>
            </w:r>
            <w:r>
              <w:rPr>
                <w:vertAlign w:val="subscript"/>
              </w:rPr>
              <w:t>0.335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9.292</w:t>
            </w:r>
            <w:r>
              <w:rPr>
                <w:rFonts w:hint="eastAsia"/>
                <w:u w:val="single"/>
                <w:vertAlign w:val="subscript"/>
              </w:rPr>
              <w:t>(0.384)</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11.106</w:t>
            </w:r>
            <w:r>
              <w:rPr>
                <w:rFonts w:hint="eastAsia"/>
                <w:vertAlign w:val="subscript"/>
              </w:rPr>
              <w:t>(0.358)</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8.892</w:t>
            </w:r>
            <w:r>
              <w:rPr>
                <w:rFonts w:hint="eastAsia"/>
                <w:b/>
                <w:bCs/>
                <w:vertAlign w:val="subscript"/>
              </w:rPr>
              <w:t>(0.212)</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VDss(</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0.457</w:t>
            </w:r>
            <w:r>
              <w:rPr>
                <w:rFonts w:hint="eastAsia"/>
                <w:u w:val="single"/>
                <w:vertAlign w:val="subscript"/>
              </w:rPr>
              <w:t>(</w:t>
            </w:r>
            <w:r>
              <w:rPr>
                <w:u w:val="single"/>
                <w:vertAlign w:val="subscript"/>
              </w:rPr>
              <w:t>0.050</w:t>
            </w:r>
            <w:r>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0.241</w:t>
            </w:r>
            <w:r>
              <w:rPr>
                <w:rFonts w:hint="eastAsia"/>
                <w:vertAlign w:val="subscript"/>
              </w:rPr>
              <w:t>(</w:t>
            </w:r>
            <w:r>
              <w:rPr>
                <w:vertAlign w:val="subscript"/>
              </w:rPr>
              <w:t>0.145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0.258</w:t>
            </w:r>
            <w:r>
              <w:rPr>
                <w:rFonts w:hint="eastAsia"/>
                <w:vertAlign w:val="subscript"/>
              </w:rPr>
              <w:t>(0.162)</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0.226</w:t>
            </w:r>
            <w:r>
              <w:rPr>
                <w:rFonts w:hint="eastAsia"/>
                <w:vertAlign w:val="subscript"/>
              </w:rPr>
              <w:t>(0.114)</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0.521</w:t>
            </w:r>
            <w:r>
              <w:rPr>
                <w:rFonts w:hint="eastAsia"/>
                <w:b/>
                <w:bCs/>
                <w:vertAlign w:val="subscript"/>
              </w:rPr>
              <w:t>(0.151)</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CYP2C9 Inhibition(</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0.735</w:t>
            </w:r>
            <w:r>
              <w:rPr>
                <w:rFonts w:hint="eastAsia"/>
                <w:vertAlign w:val="subscript"/>
              </w:rPr>
              <w:t>(</w:t>
            </w:r>
            <w:r>
              <w:rPr>
                <w:vertAlign w:val="subscript"/>
              </w:rPr>
              <w:t>0.004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b/>
                <w:bCs/>
              </w:rPr>
              <w:t>0.749</w:t>
            </w:r>
            <w:r>
              <w:rPr>
                <w:rFonts w:hint="eastAsia"/>
                <w:b/>
                <w:bCs/>
                <w:vertAlign w:val="subscript"/>
              </w:rPr>
              <w:t>(</w:t>
            </w:r>
            <w:r>
              <w:rPr>
                <w:b/>
                <w:bCs/>
                <w:vertAlign w:val="subscript"/>
              </w:rPr>
              <w:t>0.004</w:t>
            </w:r>
            <w:r>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0.739</w:t>
            </w:r>
            <w:r>
              <w:rPr>
                <w:rFonts w:hint="eastAsia"/>
                <w:vertAlign w:val="subscript"/>
              </w:rPr>
              <w:t>(0.010)</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0.713</w:t>
            </w:r>
            <w:r>
              <w:rPr>
                <w:rFonts w:hint="eastAsia"/>
                <w:vertAlign w:val="subscript"/>
              </w:rPr>
              <w:t>(0.006)</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0.745</w:t>
            </w:r>
            <w:r>
              <w:rPr>
                <w:rFonts w:hint="eastAsia"/>
                <w:u w:val="single"/>
                <w:vertAlign w:val="subscript"/>
              </w:rPr>
              <w:t>(0.023)</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bookmarkStart w:id="79" w:name="OLE_LINK10"/>
            <w:r>
              <w:rPr>
                <w:rFonts w:hint="eastAsia"/>
              </w:rPr>
              <w:t>CYP2D6</w:t>
            </w:r>
            <w:bookmarkEnd w:id="79"/>
            <w:r>
              <w:rPr>
                <w:rFonts w:hint="eastAsia"/>
              </w:rPr>
              <w:t xml:space="preserve"> Inhibition(</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0.616</w:t>
            </w:r>
            <w:r>
              <w:rPr>
                <w:rFonts w:hint="eastAsia"/>
                <w:vertAlign w:val="subscript"/>
              </w:rPr>
              <w:t>(</w:t>
            </w:r>
            <w:r>
              <w:rPr>
                <w:vertAlign w:val="subscript"/>
              </w:rPr>
              <w:t>0.020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0.646</w:t>
            </w:r>
            <w:r>
              <w:rPr>
                <w:rFonts w:hint="eastAsia"/>
                <w:u w:val="single"/>
                <w:vertAlign w:val="subscript"/>
              </w:rPr>
              <w:t>(</w:t>
            </w:r>
            <w:r>
              <w:rPr>
                <w:u w:val="single"/>
                <w:vertAlign w:val="subscript"/>
              </w:rPr>
              <w:t>0.014</w:t>
            </w:r>
            <w:r>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0.627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0.544</w:t>
            </w:r>
            <w:r>
              <w:rPr>
                <w:rFonts w:hint="eastAsia"/>
                <w:vertAlign w:val="subscript"/>
              </w:rPr>
              <w:t>(0.053)</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bookmarkStart w:id="80" w:name="OLE_LINK11"/>
            <w:r>
              <w:rPr>
                <w:rFonts w:hint="eastAsia"/>
                <w:b/>
                <w:bCs/>
              </w:rPr>
              <w:t>0.</w:t>
            </w:r>
            <w:bookmarkStart w:id="81" w:name="OLE_LINK12"/>
            <w:r>
              <w:rPr>
                <w:rFonts w:hint="eastAsia"/>
                <w:b/>
                <w:bCs/>
              </w:rPr>
              <w:t>650</w:t>
            </w:r>
            <w:bookmarkEnd w:id="80"/>
            <w:bookmarkEnd w:id="81"/>
            <w:r>
              <w:rPr>
                <w:rFonts w:hint="eastAsia"/>
                <w:b/>
                <w:bCs/>
                <w:vertAlign w:val="subscript"/>
              </w:rPr>
              <w:t>(0.010)</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CYP3A4 Inhibition(</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0.840</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0.851</w:t>
            </w:r>
            <w:r>
              <w:rPr>
                <w:rFonts w:hint="eastAsia"/>
                <w:u w:val="single"/>
                <w:vertAlign w:val="subscript"/>
              </w:rPr>
              <w:t>(</w:t>
            </w:r>
            <w:r>
              <w:rPr>
                <w:u w:val="single"/>
                <w:vertAlign w:val="subscript"/>
              </w:rPr>
              <w:t>0.006</w:t>
            </w:r>
            <w:r>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0.849</w:t>
            </w:r>
            <w:r>
              <w:rPr>
                <w:rFonts w:hint="eastAsia"/>
                <w:vertAlign w:val="subscript"/>
              </w:rPr>
              <w:t>(0.004)</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0.821</w:t>
            </w:r>
            <w:r>
              <w:rPr>
                <w:rFonts w:hint="eastAsia"/>
                <w:vertAlign w:val="subscript"/>
              </w:rPr>
              <w:t>(0.003)</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0.855</w:t>
            </w:r>
            <w:r>
              <w:rPr>
                <w:rFonts w:hint="eastAsia"/>
                <w:b/>
                <w:bCs/>
                <w:vertAlign w:val="subscript"/>
              </w:rPr>
              <w:t>(0.004)</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CYP2C9 Substrate(</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0.344</w:t>
            </w:r>
            <w:r>
              <w:rPr>
                <w:rFonts w:hint="eastAsia"/>
                <w:vertAlign w:val="subscript"/>
              </w:rPr>
              <w:t>(</w:t>
            </w:r>
            <w:r>
              <w:rPr>
                <w:vertAlign w:val="subscript"/>
              </w:rPr>
              <w:t>0.051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0.375</w:t>
            </w:r>
            <w:r>
              <w:rPr>
                <w:rFonts w:hint="eastAsia"/>
                <w:u w:val="single"/>
                <w:vertAlign w:val="subscript"/>
              </w:rPr>
              <w:t>(</w:t>
            </w:r>
            <w:r>
              <w:rPr>
                <w:u w:val="single"/>
                <w:vertAlign w:val="subscript"/>
              </w:rPr>
              <w:t>0.032</w:t>
            </w:r>
            <w:r>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0.359</w:t>
            </w:r>
            <w:r>
              <w:rPr>
                <w:rFonts w:hint="eastAsia"/>
                <w:vertAlign w:val="subscript"/>
              </w:rPr>
              <w:t>(0.059)</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0.367</w:t>
            </w:r>
            <w:r>
              <w:rPr>
                <w:rFonts w:hint="eastAsia"/>
                <w:vertAlign w:val="subscript"/>
              </w:rPr>
              <w:t>(0.059)</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0.380</w:t>
            </w:r>
            <w:r>
              <w:rPr>
                <w:rFonts w:hint="eastAsia"/>
                <w:b/>
                <w:bCs/>
                <w:vertAlign w:val="subscript"/>
              </w:rPr>
              <w:t>(0.051)</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CYP2D6 Substrate(</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0.617</w:t>
            </w:r>
            <w:r>
              <w:rPr>
                <w:rFonts w:hint="eastAsia"/>
                <w:u w:val="single"/>
                <w:vertAlign w:val="subscript"/>
              </w:rPr>
              <w:t>(</w:t>
            </w:r>
            <w:r>
              <w:rPr>
                <w:u w:val="single"/>
                <w:vertAlign w:val="subscript"/>
              </w:rPr>
              <w:t>0.039</w:t>
            </w:r>
            <w:r>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0.574</w:t>
            </w:r>
            <w:r>
              <w:rPr>
                <w:rFonts w:hint="eastAsia"/>
                <w:vertAlign w:val="subscript"/>
              </w:rPr>
              <w:t>(</w:t>
            </w:r>
            <w:r>
              <w:rPr>
                <w:vertAlign w:val="subscript"/>
              </w:rPr>
              <w:t>0.030</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0.572</w:t>
            </w:r>
            <w:r>
              <w:rPr>
                <w:rFonts w:hint="eastAsia"/>
                <w:vertAlign w:val="subscript"/>
              </w:rPr>
              <w:t>(0.062)</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0.485</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0.621</w:t>
            </w:r>
            <w:r>
              <w:rPr>
                <w:rFonts w:hint="eastAsia"/>
                <w:b/>
                <w:bCs/>
                <w:vertAlign w:val="subscript"/>
              </w:rPr>
              <w:t>(0.029)</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CYP3A4 Substrate(</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0.590</w:t>
            </w:r>
            <w:r>
              <w:rPr>
                <w:rFonts w:hint="eastAsia"/>
                <w:vertAlign w:val="subscript"/>
              </w:rPr>
              <w:t>(</w:t>
            </w:r>
            <w:r>
              <w:rPr>
                <w:vertAlign w:val="subscript"/>
              </w:rPr>
              <w:t>0.023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0.576</w:t>
            </w:r>
            <w:r>
              <w:rPr>
                <w:rFonts w:hint="eastAsia"/>
                <w:vertAlign w:val="subscript"/>
              </w:rPr>
              <w:t>(</w:t>
            </w:r>
            <w:r>
              <w:rPr>
                <w:vertAlign w:val="subscript"/>
              </w:rPr>
              <w:t>0.025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0.578</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0.662</w:t>
            </w:r>
            <w:r>
              <w:rPr>
                <w:rFonts w:hint="eastAsia"/>
                <w:b/>
                <w:bCs/>
                <w:vertAlign w:val="subscript"/>
              </w:rPr>
              <w:t>(0.031)</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0.622</w:t>
            </w:r>
            <w:r>
              <w:rPr>
                <w:rFonts w:hint="eastAsia"/>
                <w:u w:val="single"/>
                <w:vertAlign w:val="subscript"/>
              </w:rPr>
              <w:t>(0.035)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Half life(</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0.239</w:t>
            </w:r>
            <w:r>
              <w:rPr>
                <w:rFonts w:hint="eastAsia"/>
                <w:u w:val="single"/>
                <w:vertAlign w:val="subscript"/>
              </w:rPr>
              <w:t>(</w:t>
            </w:r>
            <w:r>
              <w:rPr>
                <w:u w:val="single"/>
                <w:vertAlign w:val="subscript"/>
              </w:rPr>
              <w:t>0.100</w:t>
            </w:r>
            <w:r>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0.085</w:t>
            </w:r>
            <w:r>
              <w:rPr>
                <w:rFonts w:hint="eastAsia"/>
                <w:vertAlign w:val="subscript"/>
              </w:rPr>
              <w:t>(</w:t>
            </w:r>
            <w:r>
              <w:rPr>
                <w:vertAlign w:val="subscript"/>
              </w:rPr>
              <w:t>0.068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0.177</w:t>
            </w:r>
            <w:r>
              <w:rPr>
                <w:rFonts w:hint="eastAsia"/>
                <w:vertAlign w:val="subscript"/>
              </w:rPr>
              <w:t>(0.165)</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0.038</w:t>
            </w:r>
            <w:r>
              <w:rPr>
                <w:rFonts w:hint="eastAsia"/>
                <w:vertAlign w:val="subscript"/>
              </w:rPr>
              <w:t>(0.138)</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0.337</w:t>
            </w:r>
            <w:r>
              <w:rPr>
                <w:rFonts w:hint="eastAsia"/>
                <w:b/>
                <w:bCs/>
                <w:vertAlign w:val="subscript"/>
              </w:rPr>
              <w:t>(0.175)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CL-Hepa(</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0.366</w:t>
            </w:r>
            <w:r>
              <w:rPr>
                <w:rFonts w:hint="eastAsia"/>
                <w:vertAlign w:val="subscript"/>
              </w:rPr>
              <w:t>(</w:t>
            </w:r>
            <w:r>
              <w:rPr>
                <w:vertAlign w:val="subscript"/>
              </w:rPr>
              <w:t>0.063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0.289</w:t>
            </w:r>
            <w:r>
              <w:rPr>
                <w:rFonts w:hint="eastAsia"/>
                <w:vertAlign w:val="subscript"/>
              </w:rPr>
              <w:t>(</w:t>
            </w:r>
            <w:r>
              <w:rPr>
                <w:vertAlign w:val="subscript"/>
              </w:rPr>
              <w:t>0.022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0.401</w:t>
            </w:r>
            <w:r>
              <w:rPr>
                <w:rFonts w:hint="eastAsia"/>
                <w:b/>
                <w:bCs/>
                <w:vertAlign w:val="subscript"/>
              </w:rPr>
              <w:t>(0.037)</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0.235</w:t>
            </w:r>
            <w:r>
              <w:rPr>
                <w:rFonts w:hint="eastAsia"/>
                <w:vertAlign w:val="subscript"/>
              </w:rPr>
              <w:t>(0.021)</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0.382</w:t>
            </w:r>
            <w:r>
              <w:rPr>
                <w:rFonts w:hint="eastAsia"/>
                <w:u w:val="single"/>
                <w:vertAlign w:val="subscript"/>
              </w:rPr>
              <w:t>(0.022)</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CL-Micro(</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0.532</w:t>
            </w:r>
            <w:r>
              <w:rPr>
                <w:rFonts w:hint="eastAsia"/>
                <w:u w:val="single"/>
                <w:vertAlign w:val="subscript"/>
              </w:rPr>
              <w:t>(</w:t>
            </w:r>
            <w:r>
              <w:rPr>
                <w:u w:val="single"/>
                <w:vertAlign w:val="subscript"/>
              </w:rPr>
              <w:t>0.033</w:t>
            </w:r>
            <w:r>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0.365</w:t>
            </w:r>
            <w:r>
              <w:rPr>
                <w:rFonts w:hint="eastAsia"/>
                <w:vertAlign w:val="subscript"/>
              </w:rPr>
              <w:t>(</w:t>
            </w:r>
            <w:r>
              <w:rPr>
                <w:vertAlign w:val="subscript"/>
              </w:rPr>
              <w:t>0.055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0.529</w:t>
            </w:r>
            <w:r>
              <w:rPr>
                <w:rFonts w:hint="eastAsia"/>
                <w:vertAlign w:val="subscript"/>
              </w:rPr>
              <w:t>(0.015)</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0.252</w:t>
            </w:r>
            <w:r>
              <w:rPr>
                <w:rFonts w:hint="eastAsia"/>
                <w:vertAlign w:val="subscript"/>
              </w:rPr>
              <w:t>(0.116)</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0.550</w:t>
            </w:r>
            <w:r>
              <w:rPr>
                <w:rFonts w:hint="eastAsia"/>
                <w:b/>
                <w:bCs/>
                <w:vertAlign w:val="subscript"/>
              </w:rPr>
              <w:t>(0.027)</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LD50(</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0.649</w:t>
            </w:r>
            <w:r>
              <w:rPr>
                <w:rFonts w:hint="eastAsia"/>
                <w:u w:val="single"/>
                <w:vertAlign w:val="subscript"/>
              </w:rPr>
              <w:t>(</w:t>
            </w:r>
            <w:r>
              <w:rPr>
                <w:u w:val="single"/>
                <w:vertAlign w:val="subscript"/>
              </w:rPr>
              <w:t>0.026</w:t>
            </w:r>
            <w:r>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0.678</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0.667</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0.675</w:t>
            </w:r>
            <w:r>
              <w:rPr>
                <w:rFonts w:hint="eastAsia"/>
                <w:vertAlign w:val="subscript"/>
              </w:rPr>
              <w:t>(0.011)</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0.601</w:t>
            </w:r>
            <w:r>
              <w:rPr>
                <w:rFonts w:hint="eastAsia"/>
                <w:b/>
                <w:bCs/>
                <w:vertAlign w:val="subscript"/>
              </w:rPr>
              <w:t>(0.028)</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hERG(</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0.738</w:t>
            </w:r>
            <w:r>
              <w:rPr>
                <w:rFonts w:hint="eastAsia"/>
                <w:vertAlign w:val="subscript"/>
              </w:rPr>
              <w:t>(</w:t>
            </w:r>
            <w:r>
              <w:rPr>
                <w:vertAlign w:val="subscript"/>
              </w:rPr>
              <w:t>0.038</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0.825</w:t>
            </w:r>
            <w:r>
              <w:rPr>
                <w:rFonts w:hint="eastAsia"/>
                <w:u w:val="single"/>
                <w:vertAlign w:val="subscript"/>
              </w:rPr>
              <w:t>(</w:t>
            </w:r>
            <w:r>
              <w:rPr>
                <w:u w:val="single"/>
                <w:vertAlign w:val="subscript"/>
              </w:rPr>
              <w:t>0.007</w:t>
            </w:r>
            <w:r>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0.722</w:t>
            </w:r>
            <w:r>
              <w:rPr>
                <w:rFonts w:hint="eastAsia"/>
                <w:vertAlign w:val="subscript"/>
              </w:rPr>
              <w:t>(0.034)</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0.754</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0.855</w:t>
            </w:r>
            <w:r>
              <w:rPr>
                <w:rFonts w:hint="eastAsia"/>
                <w:b/>
                <w:bCs/>
                <w:vertAlign w:val="subscript"/>
              </w:rPr>
              <w:t>(0.035)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bookmarkStart w:id="82" w:name="OLE_LINK13"/>
            <w:r>
              <w:rPr>
                <w:rFonts w:hint="eastAsia"/>
              </w:rPr>
              <w:t>Ames</w:t>
            </w:r>
            <w:bookmarkEnd w:id="82"/>
            <w:r>
              <w:rPr>
                <w:rFonts w:hint="eastAsia"/>
              </w:rPr>
              <w:t>(</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0.818</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0.814</w:t>
            </w:r>
            <w:r>
              <w:rPr>
                <w:rFonts w:hint="eastAsia"/>
                <w:vertAlign w:val="subscript"/>
              </w:rPr>
              <w:t>(</w:t>
            </w:r>
            <w:r>
              <w:rPr>
                <w:vertAlign w:val="subscript"/>
              </w:rPr>
              <w:t>0.008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0.832</w:t>
            </w:r>
            <w:r>
              <w:rPr>
                <w:rFonts w:hint="eastAsia"/>
                <w:u w:val="single"/>
                <w:vertAlign w:val="subscript"/>
              </w:rPr>
              <w:t>(0.006)</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0.776</w:t>
            </w:r>
            <w:r>
              <w:rPr>
                <w:rFonts w:hint="eastAsia"/>
                <w:vertAlign w:val="subscript"/>
              </w:rPr>
              <w:t>(0.015)</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w:t>
            </w:r>
            <w:bookmarkStart w:id="83" w:name="OLE_LINK14"/>
            <w:r>
              <w:rPr>
                <w:rFonts w:hint="eastAsia"/>
                <w:b/>
                <w:bCs/>
              </w:rPr>
              <w:t>838</w:t>
            </w:r>
            <w:r>
              <w:rPr>
                <w:rFonts w:hint="eastAsia"/>
                <w:b/>
                <w:bCs/>
                <w:vertAlign w:val="subscript"/>
              </w:rPr>
              <w:t>(</w:t>
            </w:r>
            <w:bookmarkEnd w:id="83"/>
            <w:r>
              <w:rPr>
                <w:rFonts w:hint="eastAsia"/>
                <w:b/>
                <w:bCs/>
                <w:vertAlign w:val="subscript"/>
              </w:rPr>
              <w:t>0.017)</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DILI(</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t>0.859</w:t>
            </w:r>
            <w:r>
              <w:rPr>
                <w:rFonts w:hint="eastAsia"/>
                <w:vertAlign w:val="subscript"/>
              </w:rPr>
              <w:t>(</w:t>
            </w:r>
            <w:r>
              <w:rPr>
                <w:vertAlign w:val="subscript"/>
              </w:rPr>
              <w:t>0.033</w:t>
            </w:r>
            <w:r>
              <w:rPr>
                <w:rFonts w:hint="eastAsia"/>
                <w:vertAlign w:val="subscript"/>
              </w:rPr>
              <w:t>)</w:t>
            </w:r>
          </w:p>
        </w:tc>
        <w:tc>
          <w:tcPr>
            <w:tcW w:w="758"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0.886</w:t>
            </w:r>
            <w:r>
              <w:rPr>
                <w:rFonts w:hint="eastAsia"/>
                <w:u w:val="single"/>
                <w:vertAlign w:val="subscript"/>
              </w:rPr>
              <w:t>(</w:t>
            </w:r>
            <w:r>
              <w:rPr>
                <w:u w:val="single"/>
                <w:vertAlign w:val="subscript"/>
              </w:rPr>
              <w:t>0.015</w:t>
            </w:r>
            <w:r>
              <w:rPr>
                <w:rFonts w:hint="eastAsia"/>
                <w:u w:val="single"/>
                <w:vertAlign w:val="subscript"/>
              </w:rPr>
              <w:t>)</w:t>
            </w:r>
          </w:p>
        </w:tc>
        <w:tc>
          <w:tcPr>
            <w:tcW w:w="658"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0.851</w:t>
            </w:r>
            <w:r>
              <w:rPr>
                <w:rFonts w:hint="eastAsia"/>
                <w:vertAlign w:val="subscript"/>
              </w:rPr>
              <w:t>(0.026)</w:t>
            </w:r>
          </w:p>
        </w:tc>
        <w:tc>
          <w:tcPr>
            <w:tcW w:w="730"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0.792</w:t>
            </w:r>
            <w:r>
              <w:rPr>
                <w:rFonts w:hint="eastAsia"/>
                <w:vertAlign w:val="subscript"/>
              </w:rPr>
              <w:t>(0.016)</w:t>
            </w:r>
          </w:p>
        </w:tc>
        <w:tc>
          <w:tcPr>
            <w:tcW w:w="657"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0.891</w:t>
            </w:r>
            <w:r>
              <w:rPr>
                <w:rFonts w:hint="eastAsia"/>
                <w:b/>
                <w:bCs/>
                <w:vertAlign w:val="subscript"/>
              </w:rPr>
              <w:t>(0.020)</w:t>
            </w:r>
          </w:p>
        </w:tc>
      </w:tr>
    </w:tbl>
    <w:p/>
    <w:p>
      <w:r>
        <w:rPr>
          <w:rFonts w:hint="eastAsia"/>
        </w:rPr>
        <w:t>由实验数据结果可得知，CoT-CMP在17个评测集上获取了最优的结果，在5个评测集上获取了次优的结果。值得注意的是，</w:t>
      </w:r>
      <w:r>
        <w:t>在本次实验包含的4项毒性预测任务（LD50,hERG,Ames,DILI）中，</w:t>
      </w:r>
      <w:r>
        <w:rPr>
          <w:rFonts w:hint="eastAsia"/>
        </w:rPr>
        <w:t>CoT-CMP</w:t>
      </w:r>
      <w:r>
        <w:t>实现了全面领先。无论是针对心脏毒性的hERG抑制预测</w:t>
      </w:r>
      <w:r>
        <w:rPr>
          <w:rFonts w:hint="eastAsia"/>
        </w:rPr>
        <w:t>、</w:t>
      </w:r>
      <w:r>
        <w:t>致突变性的Ames测试</w:t>
      </w:r>
      <w:r>
        <w:rPr>
          <w:rFonts w:hint="eastAsia"/>
        </w:rPr>
        <w:t>，</w:t>
      </w:r>
      <w:r>
        <w:t>还是</w:t>
      </w:r>
      <w:r>
        <w:rPr>
          <w:rFonts w:hint="eastAsia"/>
        </w:rPr>
        <w:t>DILI</w:t>
      </w:r>
      <w:r>
        <w:t>药物性肝损伤，</w:t>
      </w:r>
      <w:r>
        <w:rPr>
          <w:rFonts w:hint="eastAsia"/>
        </w:rPr>
        <w:t>CoT-CMP</w:t>
      </w:r>
      <w:r>
        <w:t>均展现出了最高的预测精度</w:t>
      </w:r>
      <w:r>
        <w:rPr>
          <w:rFonts w:hint="eastAsia"/>
        </w:rPr>
        <w:t>，将准确率分别提升至0.855、0.838、0.891</w:t>
      </w:r>
      <w:r>
        <w:t>。这一结果表明，模型在毒性相关任务上具有较好的判别能力，有助于支持药物筛选阶段的早期风险评估。</w:t>
      </w:r>
    </w:p>
    <w:p>
      <w:r>
        <w:rPr>
          <w:rFonts w:hint="eastAsia"/>
        </w:rPr>
        <w:t>另外，在</w:t>
      </w:r>
      <w:r>
        <w:t>体内分布与排泄的回归任务中</w:t>
      </w:r>
      <w:r>
        <w:rPr>
          <w:rFonts w:hint="eastAsia"/>
        </w:rPr>
        <w:t>，</w:t>
      </w:r>
      <w:r>
        <w:t>CoT-CMP同样表现突出</w:t>
      </w:r>
      <w:r>
        <w:rPr>
          <w:rFonts w:hint="eastAsia"/>
        </w:rPr>
        <w:t>。在VDss数据集中，和最佳的模型GCN相比，CoT-CMP模型性能提升了0.064，在Half life数据集上性能提升了0.098。在CYP2D6 Inhibition、CYP3A4 Inhibition、CYP2C9 Substrate和CYP2D6 Substrate等代谢相关的数据集上，CoT-CMP模型表现出了优异的性能。</w:t>
      </w:r>
      <w:r>
        <w:t>通过横向对比</w:t>
      </w:r>
      <w:r>
        <w:rPr>
          <w:rFonts w:hint="eastAsia"/>
        </w:rPr>
        <w:t>也</w:t>
      </w:r>
      <w:r>
        <w:t>可以发现，基于一维序列的CNN模型在绝大多数任务上表现平平，这验证了保留分子的二维或三维空间拓扑结构对于准确预测ADMET属性至关重要。另一方面，与同为图神经网络的AttentiveFP和NeuralFP相比，</w:t>
      </w:r>
      <w:r>
        <w:rPr>
          <w:rFonts w:hint="eastAsia"/>
        </w:rPr>
        <w:t>CoT-CMP</w:t>
      </w:r>
      <w:r>
        <w:t>依然能够在大部分任务中胜出。这说明本模型采用的</w:t>
      </w:r>
      <w:r>
        <w:rPr>
          <w:rFonts w:hint="eastAsia"/>
        </w:rPr>
        <w:t>CoT增强文本描述和交叉注意力</w:t>
      </w:r>
      <w:r>
        <w:t>融合</w:t>
      </w:r>
      <w:r>
        <w:rPr>
          <w:rFonts w:hint="eastAsia"/>
        </w:rPr>
        <w:t>的</w:t>
      </w:r>
      <w:r>
        <w:t>策略，相比于AttentiveFP简单的注意力机制，能够更有效地聚合长程依赖信息</w:t>
      </w:r>
      <w:r>
        <w:rPr>
          <w:rFonts w:hint="eastAsia"/>
        </w:rPr>
        <w:t>和</w:t>
      </w:r>
      <w:r>
        <w:t>捕获局部官能团的特征，从而在复杂的ADMET任务中获得了更加丰富和鲁棒的分子表征。</w:t>
      </w:r>
    </w:p>
    <w:p>
      <w:pPr>
        <w:pStyle w:val="4"/>
        <w:rPr>
          <w:rFonts w:hint="default"/>
        </w:rPr>
      </w:pPr>
      <w:bookmarkStart w:id="84" w:name="_Toc229423350"/>
      <w:r>
        <w:t>消融实验</w:t>
      </w:r>
      <w:bookmarkEnd w:id="84"/>
    </w:p>
    <w:p>
      <w:r>
        <w:rPr>
          <w:rFonts w:hint="eastAsia"/>
        </w:rPr>
        <w:t>为系统性地研究CoT-CMP框架中各核心模块的独立贡献与协同效应，特别是探究大语言模型内部机制以及多模态融合方式对ADMET最终预测性能的影响，本节在统一的实验配置环境下，设计了四种渐进式的消融变体和完整模型进行对比分析。</w:t>
      </w:r>
    </w:p>
    <w:p>
      <w:r>
        <w:rPr>
          <w:rFonts w:hint="eastAsia"/>
        </w:rPr>
        <w:t>本文以完整的CoT-CMP模型为基准上限，向下拆分架构模块或优化策略，各个变体的具体定义如下：</w:t>
      </w:r>
    </w:p>
    <w:p>
      <w:r>
        <w:rPr>
          <w:rFonts w:hint="eastAsia"/>
        </w:rPr>
        <w:t>w/o LLM：完全移除大语言模型及其对应的文本编码链路，仅保留由CMPNN图编码器提取分子的二维拓扑特征，并通过全连接层直接输出预测结果。</w:t>
      </w:r>
    </w:p>
    <w:p>
      <w:r>
        <w:rPr>
          <w:rFonts w:hint="eastAsia"/>
        </w:rPr>
        <w:t>w/o LoRA：保留双塔架构与融合模块，但在训练过程中完全冻结LLaMA-3.1的所有预训练权重，不使用低秩自适应微调，仅将大模型作为静态的特征提取器。</w:t>
      </w:r>
    </w:p>
    <w:p>
      <w:r>
        <w:rPr>
          <w:rFonts w:hint="eastAsia"/>
        </w:rPr>
        <w:t>w/o CoT：保留所有的模型权重微调与双塔架构，但对提示词进行修改。具体而言，仅对文本提示模板进行调整，删除原模板中用于触发分步推理的显式引导语，如“Let</w:t>
      </w:r>
      <w:r>
        <w:t>’</w:t>
      </w:r>
      <w:r>
        <w:rPr>
          <w:rFonts w:hint="eastAsia"/>
        </w:rPr>
        <w:t>s think step by step”等，只输入分子的SMILES序列和原始理化性质描述文本，直接进行性质的预测文本生成。</w:t>
      </w:r>
    </w:p>
    <w:p>
      <w:r>
        <w:rPr>
          <w:rFonts w:hint="eastAsia"/>
        </w:rPr>
        <w:t>w/o Cross-Attn：保留完整的图文特征提取链路，但在多模态对齐阶段，移除动态交叉注意力模块，转而采用简单的特征拼接方式将图向量与文本向量进行融合。</w:t>
      </w:r>
    </w:p>
    <w:p>
      <w:pPr>
        <w:pStyle w:val="11"/>
      </w:pPr>
      <w:bookmarkStart w:id="85" w:name="_Ref224837270"/>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4</w:t>
      </w:r>
      <w:r>
        <w:fldChar w:fldCharType="end"/>
      </w:r>
      <w:bookmarkEnd w:id="85"/>
      <w:r>
        <w:rPr>
          <w:rFonts w:hint="eastAsia"/>
        </w:rPr>
        <w:t xml:space="preserve"> </w:t>
      </w:r>
      <w:bookmarkStart w:id="86" w:name="OLE_LINK15"/>
      <w:r>
        <w:rPr>
          <w:rFonts w:hint="eastAsia"/>
        </w:rPr>
        <w:t>CoT-CMP在ADMET基准组上部分分类任务消融实验结果</w:t>
      </w:r>
      <w:bookmarkEnd w:id="86"/>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8"/>
        <w:gridCol w:w="1622"/>
        <w:gridCol w:w="1560"/>
        <w:gridCol w:w="2268"/>
        <w:gridCol w:w="155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single" w:color="auto" w:sz="12" w:space="0"/>
              <w:bottom w:val="single" w:color="auto" w:sz="8" w:space="0"/>
            </w:tcBorders>
          </w:tcPr>
          <w:p>
            <w:pPr>
              <w:spacing w:line="300" w:lineRule="auto"/>
              <w:ind w:firstLine="0" w:firstLineChars="0"/>
              <w:jc w:val="center"/>
            </w:pPr>
            <w:r>
              <w:t>M</w:t>
            </w:r>
            <w:r>
              <w:rPr>
                <w:rFonts w:hint="eastAsia"/>
              </w:rPr>
              <w:t>odel</w:t>
            </w:r>
          </w:p>
        </w:tc>
        <w:tc>
          <w:tcPr>
            <w:tcW w:w="1622" w:type="dxa"/>
            <w:tcBorders>
              <w:top w:val="single" w:color="auto" w:sz="12" w:space="0"/>
              <w:bottom w:val="single" w:color="auto" w:sz="8" w:space="0"/>
            </w:tcBorders>
          </w:tcPr>
          <w:p>
            <w:pPr>
              <w:spacing w:line="300" w:lineRule="auto"/>
              <w:ind w:firstLine="0" w:firstLineChars="0"/>
              <w:jc w:val="center"/>
            </w:pPr>
            <w:r>
              <w:t>Pgp</w:t>
            </w:r>
          </w:p>
        </w:tc>
        <w:tc>
          <w:tcPr>
            <w:tcW w:w="1560" w:type="dxa"/>
            <w:tcBorders>
              <w:top w:val="single" w:color="auto" w:sz="12" w:space="0"/>
              <w:bottom w:val="single" w:color="auto" w:sz="8" w:space="0"/>
            </w:tcBorders>
          </w:tcPr>
          <w:p>
            <w:pPr>
              <w:spacing w:line="300" w:lineRule="auto"/>
              <w:ind w:firstLine="0" w:firstLineChars="0"/>
              <w:jc w:val="center"/>
            </w:pPr>
            <w:r>
              <w:rPr>
                <w:rFonts w:hint="eastAsia"/>
              </w:rPr>
              <w:t>BBB</w:t>
            </w:r>
          </w:p>
        </w:tc>
        <w:tc>
          <w:tcPr>
            <w:tcW w:w="2268" w:type="dxa"/>
            <w:tcBorders>
              <w:top w:val="single" w:color="auto" w:sz="12" w:space="0"/>
              <w:bottom w:val="single" w:color="auto" w:sz="8" w:space="0"/>
            </w:tcBorders>
          </w:tcPr>
          <w:p>
            <w:pPr>
              <w:spacing w:line="300" w:lineRule="auto"/>
              <w:ind w:firstLine="0" w:firstLineChars="0"/>
              <w:jc w:val="center"/>
            </w:pPr>
            <w:r>
              <w:rPr>
                <w:rFonts w:hint="eastAsia"/>
              </w:rPr>
              <w:t>CYP2D6 Inhibition</w:t>
            </w:r>
          </w:p>
        </w:tc>
        <w:tc>
          <w:tcPr>
            <w:tcW w:w="1559" w:type="dxa"/>
            <w:tcBorders>
              <w:top w:val="single" w:color="auto" w:sz="12" w:space="0"/>
              <w:bottom w:val="single" w:color="auto" w:sz="8" w:space="0"/>
            </w:tcBorders>
          </w:tcPr>
          <w:p>
            <w:pPr>
              <w:spacing w:line="300" w:lineRule="auto"/>
              <w:ind w:firstLine="0" w:firstLineChars="0"/>
              <w:jc w:val="center"/>
            </w:pPr>
            <w:r>
              <w:rPr>
                <w:rFonts w:hint="eastAsia"/>
              </w:rPr>
              <w:t>Ames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single" w:color="auto" w:sz="8" w:space="0"/>
            </w:tcBorders>
          </w:tcPr>
          <w:p>
            <w:pPr>
              <w:spacing w:line="300" w:lineRule="auto"/>
              <w:ind w:firstLine="0" w:firstLineChars="0"/>
              <w:jc w:val="center"/>
            </w:pPr>
            <w:r>
              <w:rPr>
                <w:rFonts w:hint="eastAsia"/>
              </w:rPr>
              <w:t>w/o LLM</w:t>
            </w:r>
          </w:p>
        </w:tc>
        <w:tc>
          <w:tcPr>
            <w:tcW w:w="1622" w:type="dxa"/>
            <w:tcBorders>
              <w:top w:val="single" w:color="auto" w:sz="8" w:space="0"/>
            </w:tcBorders>
          </w:tcPr>
          <w:p>
            <w:pPr>
              <w:spacing w:line="300" w:lineRule="auto"/>
              <w:ind w:firstLine="0" w:firstLineChars="0"/>
              <w:jc w:val="center"/>
            </w:pPr>
            <w:r>
              <w:rPr>
                <w:rFonts w:hint="eastAsia"/>
              </w:rPr>
              <w:t>0.835</w:t>
            </w:r>
            <w:r>
              <w:rPr>
                <w:rFonts w:hint="eastAsia"/>
                <w:vertAlign w:val="subscript"/>
              </w:rPr>
              <w:t>(0.018)</w:t>
            </w:r>
          </w:p>
        </w:tc>
        <w:tc>
          <w:tcPr>
            <w:tcW w:w="1560" w:type="dxa"/>
            <w:tcBorders>
              <w:top w:val="single" w:color="auto" w:sz="8" w:space="0"/>
            </w:tcBorders>
          </w:tcPr>
          <w:p>
            <w:pPr>
              <w:spacing w:line="300" w:lineRule="auto"/>
              <w:ind w:firstLine="0" w:firstLineChars="0"/>
              <w:jc w:val="center"/>
            </w:pPr>
            <w:r>
              <w:rPr>
                <w:rFonts w:hint="eastAsia"/>
              </w:rPr>
              <w:t>0.803</w:t>
            </w:r>
            <w:r>
              <w:rPr>
                <w:rFonts w:hint="eastAsia"/>
                <w:vertAlign w:val="subscript"/>
              </w:rPr>
              <w:t>(0.016)</w:t>
            </w:r>
          </w:p>
        </w:tc>
        <w:tc>
          <w:tcPr>
            <w:tcW w:w="2268" w:type="dxa"/>
            <w:tcBorders>
              <w:top w:val="single" w:color="auto" w:sz="8" w:space="0"/>
            </w:tcBorders>
          </w:tcPr>
          <w:p>
            <w:pPr>
              <w:spacing w:line="300" w:lineRule="auto"/>
              <w:ind w:firstLine="0" w:firstLineChars="0"/>
              <w:jc w:val="center"/>
            </w:pPr>
            <w:r>
              <w:rPr>
                <w:rFonts w:hint="eastAsia"/>
              </w:rPr>
              <w:t>0.597</w:t>
            </w:r>
            <w:r>
              <w:rPr>
                <w:rFonts w:hint="eastAsia"/>
                <w:vertAlign w:val="subscript"/>
              </w:rPr>
              <w:t>(0.037)</w:t>
            </w:r>
          </w:p>
        </w:tc>
        <w:tc>
          <w:tcPr>
            <w:tcW w:w="1559" w:type="dxa"/>
            <w:tcBorders>
              <w:top w:val="single" w:color="auto" w:sz="8" w:space="0"/>
            </w:tcBorders>
          </w:tcPr>
          <w:p>
            <w:pPr>
              <w:spacing w:line="300" w:lineRule="auto"/>
              <w:ind w:firstLine="0" w:firstLineChars="0"/>
              <w:jc w:val="center"/>
            </w:pPr>
            <w:r>
              <w:rPr>
                <w:rFonts w:hint="eastAsia"/>
              </w:rPr>
              <w:t>0.805</w:t>
            </w:r>
            <w:r>
              <w:rPr>
                <w:rFonts w:hint="eastAsia"/>
                <w:vertAlign w:val="subscript"/>
              </w:rPr>
              <w:t>(0.017)</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Pr>
          <w:p>
            <w:pPr>
              <w:spacing w:line="300" w:lineRule="auto"/>
              <w:ind w:firstLine="0" w:firstLineChars="0"/>
              <w:jc w:val="center"/>
            </w:pPr>
            <w:r>
              <w:rPr>
                <w:rFonts w:hint="eastAsia"/>
              </w:rPr>
              <w:t>w/o CoT</w:t>
            </w:r>
          </w:p>
        </w:tc>
        <w:tc>
          <w:tcPr>
            <w:tcW w:w="1622" w:type="dxa"/>
          </w:tcPr>
          <w:p>
            <w:pPr>
              <w:spacing w:line="300" w:lineRule="auto"/>
              <w:ind w:firstLine="0" w:firstLineChars="0"/>
              <w:jc w:val="center"/>
            </w:pPr>
            <w:r>
              <w:rPr>
                <w:rFonts w:hint="eastAsia"/>
              </w:rPr>
              <w:t>0.805</w:t>
            </w:r>
            <w:r>
              <w:rPr>
                <w:rFonts w:hint="eastAsia"/>
                <w:vertAlign w:val="subscript"/>
              </w:rPr>
              <w:t>(0.024)</w:t>
            </w:r>
          </w:p>
        </w:tc>
        <w:tc>
          <w:tcPr>
            <w:tcW w:w="1560" w:type="dxa"/>
          </w:tcPr>
          <w:p>
            <w:pPr>
              <w:spacing w:line="300" w:lineRule="auto"/>
              <w:ind w:firstLine="0" w:firstLineChars="0"/>
              <w:jc w:val="center"/>
            </w:pPr>
            <w:r>
              <w:rPr>
                <w:rFonts w:hint="eastAsia"/>
              </w:rPr>
              <w:t>0.791</w:t>
            </w:r>
            <w:r>
              <w:rPr>
                <w:rFonts w:hint="eastAsia"/>
                <w:vertAlign w:val="subscript"/>
              </w:rPr>
              <w:t>(0.032)</w:t>
            </w:r>
          </w:p>
        </w:tc>
        <w:tc>
          <w:tcPr>
            <w:tcW w:w="2268" w:type="dxa"/>
          </w:tcPr>
          <w:p>
            <w:pPr>
              <w:spacing w:line="300" w:lineRule="auto"/>
              <w:ind w:firstLine="0" w:firstLineChars="0"/>
              <w:jc w:val="center"/>
            </w:pPr>
            <w:r>
              <w:rPr>
                <w:rFonts w:hint="eastAsia"/>
              </w:rPr>
              <w:t>0.593</w:t>
            </w:r>
            <w:r>
              <w:rPr>
                <w:rFonts w:hint="eastAsia"/>
                <w:vertAlign w:val="subscript"/>
              </w:rPr>
              <w:t>(0.027)</w:t>
            </w:r>
          </w:p>
        </w:tc>
        <w:tc>
          <w:tcPr>
            <w:tcW w:w="1559" w:type="dxa"/>
          </w:tcPr>
          <w:p>
            <w:pPr>
              <w:spacing w:line="300" w:lineRule="auto"/>
              <w:ind w:firstLine="0" w:firstLineChars="0"/>
              <w:jc w:val="center"/>
            </w:pPr>
            <w:r>
              <w:rPr>
                <w:rFonts w:hint="eastAsia"/>
              </w:rPr>
              <w:t>0.795</w:t>
            </w:r>
            <w:r>
              <w:rPr>
                <w:rFonts w:hint="eastAsia"/>
                <w:vertAlign w:val="subscript"/>
              </w:rPr>
              <w:t>(0.022)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Pr>
          <w:p>
            <w:pPr>
              <w:spacing w:line="300" w:lineRule="auto"/>
              <w:ind w:firstLine="0" w:firstLineChars="0"/>
              <w:jc w:val="center"/>
            </w:pPr>
            <w:r>
              <w:rPr>
                <w:rFonts w:hint="eastAsia"/>
              </w:rPr>
              <w:t>w/o LoRA</w:t>
            </w:r>
          </w:p>
        </w:tc>
        <w:tc>
          <w:tcPr>
            <w:tcW w:w="1622" w:type="dxa"/>
          </w:tcPr>
          <w:p>
            <w:pPr>
              <w:spacing w:line="300" w:lineRule="auto"/>
              <w:ind w:firstLine="0" w:firstLineChars="0"/>
              <w:jc w:val="center"/>
            </w:pPr>
            <w:r>
              <w:rPr>
                <w:rFonts w:hint="eastAsia"/>
              </w:rPr>
              <w:t>0.775</w:t>
            </w:r>
            <w:r>
              <w:rPr>
                <w:rFonts w:hint="eastAsia"/>
                <w:vertAlign w:val="subscript"/>
              </w:rPr>
              <w:t>(0.012)</w:t>
            </w:r>
          </w:p>
        </w:tc>
        <w:tc>
          <w:tcPr>
            <w:tcW w:w="1560" w:type="dxa"/>
          </w:tcPr>
          <w:p>
            <w:pPr>
              <w:spacing w:line="300" w:lineRule="auto"/>
              <w:ind w:firstLine="0" w:firstLineChars="0"/>
              <w:jc w:val="center"/>
            </w:pPr>
            <w:r>
              <w:rPr>
                <w:rFonts w:hint="eastAsia"/>
              </w:rPr>
              <w:t>0.740</w:t>
            </w:r>
            <w:r>
              <w:rPr>
                <w:rFonts w:hint="eastAsia"/>
                <w:vertAlign w:val="subscript"/>
              </w:rPr>
              <w:t>(0.010)</w:t>
            </w:r>
          </w:p>
        </w:tc>
        <w:tc>
          <w:tcPr>
            <w:tcW w:w="2268" w:type="dxa"/>
          </w:tcPr>
          <w:p>
            <w:pPr>
              <w:spacing w:line="300" w:lineRule="auto"/>
              <w:ind w:firstLine="0" w:firstLineChars="0"/>
              <w:jc w:val="center"/>
            </w:pPr>
            <w:r>
              <w:rPr>
                <w:rFonts w:hint="eastAsia"/>
              </w:rPr>
              <w:t>0.566</w:t>
            </w:r>
            <w:r>
              <w:rPr>
                <w:rFonts w:hint="eastAsia"/>
                <w:vertAlign w:val="subscript"/>
              </w:rPr>
              <w:t>(0.029)</w:t>
            </w:r>
          </w:p>
        </w:tc>
        <w:tc>
          <w:tcPr>
            <w:tcW w:w="1559" w:type="dxa"/>
          </w:tcPr>
          <w:p>
            <w:pPr>
              <w:spacing w:line="300" w:lineRule="auto"/>
              <w:ind w:firstLine="0" w:firstLineChars="0"/>
              <w:jc w:val="center"/>
            </w:pPr>
            <w:r>
              <w:rPr>
                <w:rFonts w:hint="eastAsia"/>
              </w:rPr>
              <w:t>0.748</w:t>
            </w:r>
            <w:r>
              <w:rPr>
                <w:rFonts w:hint="eastAsia"/>
                <w:vertAlign w:val="subscript"/>
              </w:rPr>
              <w:t>(0.015)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bottom w:val="nil"/>
            </w:tcBorders>
          </w:tcPr>
          <w:p>
            <w:pPr>
              <w:spacing w:line="300" w:lineRule="auto"/>
              <w:ind w:firstLine="0" w:firstLineChars="0"/>
              <w:jc w:val="center"/>
            </w:pPr>
            <w:r>
              <w:rPr>
                <w:rFonts w:hint="eastAsia"/>
              </w:rPr>
              <w:t>w/o Cross-Attn</w:t>
            </w:r>
          </w:p>
        </w:tc>
        <w:tc>
          <w:tcPr>
            <w:tcW w:w="1622" w:type="dxa"/>
            <w:tcBorders>
              <w:bottom w:val="nil"/>
            </w:tcBorders>
          </w:tcPr>
          <w:p>
            <w:pPr>
              <w:spacing w:line="300" w:lineRule="auto"/>
              <w:ind w:firstLine="0" w:firstLineChars="0"/>
              <w:jc w:val="center"/>
            </w:pPr>
            <w:r>
              <w:rPr>
                <w:rFonts w:hint="eastAsia"/>
              </w:rPr>
              <w:t>0.872</w:t>
            </w:r>
            <w:r>
              <w:rPr>
                <w:rFonts w:hint="eastAsia"/>
                <w:vertAlign w:val="subscript"/>
              </w:rPr>
              <w:t>(0.015)</w:t>
            </w:r>
          </w:p>
        </w:tc>
        <w:tc>
          <w:tcPr>
            <w:tcW w:w="1560" w:type="dxa"/>
            <w:tcBorders>
              <w:bottom w:val="nil"/>
            </w:tcBorders>
          </w:tcPr>
          <w:p>
            <w:pPr>
              <w:spacing w:line="300" w:lineRule="auto"/>
              <w:ind w:firstLine="0" w:firstLineChars="0"/>
              <w:jc w:val="center"/>
            </w:pPr>
            <w:r>
              <w:rPr>
                <w:rFonts w:hint="eastAsia"/>
              </w:rPr>
              <w:t>0.825</w:t>
            </w:r>
            <w:r>
              <w:rPr>
                <w:rFonts w:hint="eastAsia"/>
                <w:vertAlign w:val="subscript"/>
              </w:rPr>
              <w:t>(0.021)</w:t>
            </w:r>
          </w:p>
        </w:tc>
        <w:tc>
          <w:tcPr>
            <w:tcW w:w="2268" w:type="dxa"/>
            <w:tcBorders>
              <w:bottom w:val="nil"/>
            </w:tcBorders>
          </w:tcPr>
          <w:p>
            <w:pPr>
              <w:spacing w:line="300" w:lineRule="auto"/>
              <w:ind w:firstLine="0" w:firstLineChars="0"/>
              <w:jc w:val="center"/>
            </w:pPr>
            <w:r>
              <w:rPr>
                <w:rFonts w:hint="eastAsia"/>
              </w:rPr>
              <w:t>0.638</w:t>
            </w:r>
            <w:r>
              <w:rPr>
                <w:rFonts w:hint="eastAsia"/>
                <w:vertAlign w:val="subscript"/>
              </w:rPr>
              <w:t>(0.023)</w:t>
            </w:r>
          </w:p>
        </w:tc>
        <w:tc>
          <w:tcPr>
            <w:tcW w:w="1559" w:type="dxa"/>
            <w:tcBorders>
              <w:bottom w:val="nil"/>
            </w:tcBorders>
          </w:tcPr>
          <w:p>
            <w:pPr>
              <w:spacing w:line="300" w:lineRule="auto"/>
              <w:ind w:firstLine="0" w:firstLineChars="0"/>
              <w:jc w:val="center"/>
            </w:pPr>
            <w:r>
              <w:rPr>
                <w:rFonts w:hint="eastAsia"/>
              </w:rPr>
              <w:t>0.820</w:t>
            </w:r>
            <w:r>
              <w:rPr>
                <w:rFonts w:hint="eastAsia"/>
                <w:vertAlign w:val="subscript"/>
              </w:rPr>
              <w:t>(0.019)</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nil"/>
              <w:bottom w:val="single" w:color="auto" w:sz="12" w:space="0"/>
            </w:tcBorders>
          </w:tcPr>
          <w:p>
            <w:pPr>
              <w:spacing w:line="300" w:lineRule="auto"/>
              <w:ind w:firstLine="0" w:firstLineChars="0"/>
              <w:jc w:val="center"/>
            </w:pPr>
            <w:r>
              <w:rPr>
                <w:rFonts w:hint="eastAsia"/>
              </w:rPr>
              <w:t>CoT-CMP</w:t>
            </w:r>
          </w:p>
        </w:tc>
        <w:tc>
          <w:tcPr>
            <w:tcW w:w="1622" w:type="dxa"/>
            <w:tcBorders>
              <w:top w:val="nil"/>
              <w:bottom w:val="single" w:color="auto" w:sz="12" w:space="0"/>
            </w:tcBorders>
          </w:tcPr>
          <w:p>
            <w:pPr>
              <w:spacing w:line="300" w:lineRule="auto"/>
              <w:ind w:firstLine="0" w:firstLineChars="0"/>
              <w:jc w:val="center"/>
              <w:rPr>
                <w:b/>
                <w:bCs/>
              </w:rPr>
            </w:pPr>
            <w:r>
              <w:rPr>
                <w:rFonts w:hint="eastAsia"/>
                <w:b/>
                <w:bCs/>
              </w:rPr>
              <w:t>0.912</w:t>
            </w:r>
            <w:r>
              <w:rPr>
                <w:rFonts w:hint="eastAsia"/>
                <w:b/>
                <w:bCs/>
                <w:vertAlign w:val="subscript"/>
              </w:rPr>
              <w:t>(0.020)</w:t>
            </w:r>
          </w:p>
        </w:tc>
        <w:tc>
          <w:tcPr>
            <w:tcW w:w="1560" w:type="dxa"/>
            <w:tcBorders>
              <w:top w:val="nil"/>
              <w:bottom w:val="single" w:color="auto" w:sz="12" w:space="0"/>
            </w:tcBorders>
            <w:vAlign w:val="center"/>
          </w:tcPr>
          <w:p>
            <w:pPr>
              <w:spacing w:line="300" w:lineRule="auto"/>
              <w:ind w:firstLine="0" w:firstLineChars="0"/>
              <w:jc w:val="center"/>
              <w:rPr>
                <w:b/>
                <w:bCs/>
              </w:rPr>
            </w:pPr>
            <w:r>
              <w:rPr>
                <w:rFonts w:hint="eastAsia"/>
                <w:b/>
                <w:bCs/>
              </w:rPr>
              <w:t>0.850</w:t>
            </w:r>
            <w:r>
              <w:rPr>
                <w:rFonts w:hint="eastAsia"/>
                <w:b/>
                <w:bCs/>
                <w:vertAlign w:val="subscript"/>
              </w:rPr>
              <w:t>(0.019)</w:t>
            </w:r>
          </w:p>
        </w:tc>
        <w:tc>
          <w:tcPr>
            <w:tcW w:w="2268" w:type="dxa"/>
            <w:tcBorders>
              <w:top w:val="nil"/>
              <w:bottom w:val="single" w:color="auto" w:sz="12" w:space="0"/>
            </w:tcBorders>
            <w:vAlign w:val="center"/>
          </w:tcPr>
          <w:p>
            <w:pPr>
              <w:spacing w:line="300" w:lineRule="auto"/>
              <w:ind w:firstLine="0" w:firstLineChars="0"/>
              <w:jc w:val="center"/>
            </w:pPr>
            <w:r>
              <w:rPr>
                <w:rFonts w:hint="eastAsia"/>
                <w:b/>
                <w:bCs/>
              </w:rPr>
              <w:t>0.650</w:t>
            </w:r>
            <w:r>
              <w:rPr>
                <w:rFonts w:hint="eastAsia"/>
                <w:b/>
                <w:bCs/>
                <w:vertAlign w:val="subscript"/>
              </w:rPr>
              <w:t>(0.010)</w:t>
            </w:r>
          </w:p>
        </w:tc>
        <w:tc>
          <w:tcPr>
            <w:tcW w:w="1559" w:type="dxa"/>
            <w:tcBorders>
              <w:top w:val="nil"/>
              <w:bottom w:val="single" w:color="auto" w:sz="12" w:space="0"/>
            </w:tcBorders>
          </w:tcPr>
          <w:p>
            <w:pPr>
              <w:spacing w:line="300" w:lineRule="auto"/>
              <w:ind w:firstLine="0" w:firstLineChars="0"/>
              <w:jc w:val="center"/>
            </w:pPr>
            <w:r>
              <w:rPr>
                <w:rFonts w:hint="eastAsia"/>
                <w:b/>
                <w:bCs/>
              </w:rPr>
              <w:t>0.838</w:t>
            </w:r>
            <w:r>
              <w:rPr>
                <w:rFonts w:hint="eastAsia"/>
                <w:b/>
                <w:bCs/>
                <w:vertAlign w:val="subscript"/>
              </w:rPr>
              <w:t>(0.017)</w:t>
            </w:r>
          </w:p>
        </w:tc>
      </w:tr>
    </w:tbl>
    <w:p>
      <w:pPr>
        <w:ind w:firstLine="0" w:firstLineChars="0"/>
      </w:pPr>
    </w:p>
    <w:p>
      <w:r>
        <w:rPr>
          <w:rFonts w:hint="eastAsia"/>
        </w:rPr>
        <w:t>本文在Pgp、BBB、CYP2D6 Inhibition和Ames四个分类数据集上进行了消融实验，结果如</w:t>
      </w:r>
      <w:r>
        <w:fldChar w:fldCharType="begin"/>
      </w:r>
      <w:r>
        <w:instrText xml:space="preserve"> </w:instrText>
      </w:r>
      <w:r>
        <w:rPr>
          <w:rFonts w:hint="eastAsia"/>
        </w:rPr>
        <w:instrText xml:space="preserve">REF _Ref224837270 \h</w:instrText>
      </w:r>
      <w:r>
        <w:instrText xml:space="preserve"> </w:instrText>
      </w:r>
      <w:r>
        <w:fldChar w:fldCharType="separate"/>
      </w:r>
      <w:r>
        <w:rPr>
          <w:rFonts w:hint="eastAsia"/>
        </w:rPr>
        <w:t>表3-</w:t>
      </w:r>
      <w:r>
        <w:t>4</w:t>
      </w:r>
      <w:r>
        <w:fldChar w:fldCharType="end"/>
      </w:r>
      <w:r>
        <w:rPr>
          <w:rFonts w:hint="eastAsia"/>
        </w:rPr>
        <w:t>所示。从整体来看，CoT-CMP在这四个分类数据集上均取得了最优的结果，表明本文提出</w:t>
      </w:r>
      <w:r>
        <w:t>的文本增强、CoT提示</w:t>
      </w:r>
      <w:r>
        <w:rPr>
          <w:rFonts w:hint="eastAsia"/>
        </w:rPr>
        <w:t>模块</w:t>
      </w:r>
      <w:r>
        <w:t>、LoRA微调</w:t>
      </w:r>
      <w:r>
        <w:rPr>
          <w:rFonts w:hint="eastAsia"/>
        </w:rPr>
        <w:t>策略</w:t>
      </w:r>
      <w:r>
        <w:t>以及跨模态交叉注意力等模块均能够有效提升模型的分类性能，且各模块之间存在明显的协同增益。</w:t>
      </w:r>
      <w:r>
        <w:rPr>
          <w:rFonts w:hint="eastAsia"/>
        </w:rPr>
        <w:t>具体来看，w/o LoRA的性能整体最弱，在Pgp、BBB、CYP2D6 Inhibition和Ames上的结果分别仅为0.775、0.740、0.566和0.748，相较于完整模型分别下降了0.137、0.110、0.084和0.090。这说明参数高效微调机制对大模型适应分子性质预测任务具有重要作用，若缺少有效的任务适配，文本的语义建模能力将明显降低。</w:t>
      </w:r>
    </w:p>
    <w:p>
      <w:pPr>
        <w:pStyle w:val="11"/>
      </w:pPr>
      <w:bookmarkStart w:id="87" w:name="_Ref224837556"/>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5</w:t>
      </w:r>
      <w:r>
        <w:fldChar w:fldCharType="end"/>
      </w:r>
      <w:bookmarkEnd w:id="87"/>
      <w:r>
        <w:rPr>
          <w:rFonts w:hint="eastAsia"/>
        </w:rPr>
        <w:t xml:space="preserve"> CoT-CMP在ADMET基准组上部分回归任务消融实验结果</w:t>
      </w: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8"/>
        <w:gridCol w:w="1622"/>
        <w:gridCol w:w="1560"/>
        <w:gridCol w:w="2268"/>
        <w:gridCol w:w="155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single" w:color="auto" w:sz="12" w:space="0"/>
              <w:bottom w:val="single" w:color="auto" w:sz="8" w:space="0"/>
            </w:tcBorders>
          </w:tcPr>
          <w:p>
            <w:pPr>
              <w:spacing w:line="300" w:lineRule="auto"/>
              <w:ind w:firstLine="0" w:firstLineChars="0"/>
              <w:jc w:val="center"/>
            </w:pPr>
            <w:r>
              <w:t>M</w:t>
            </w:r>
            <w:r>
              <w:rPr>
                <w:rFonts w:hint="eastAsia"/>
              </w:rPr>
              <w:t>odel</w:t>
            </w:r>
          </w:p>
        </w:tc>
        <w:tc>
          <w:tcPr>
            <w:tcW w:w="1622" w:type="dxa"/>
            <w:tcBorders>
              <w:top w:val="single" w:color="auto" w:sz="12" w:space="0"/>
              <w:bottom w:val="single" w:color="auto" w:sz="8" w:space="0"/>
            </w:tcBorders>
          </w:tcPr>
          <w:p>
            <w:pPr>
              <w:spacing w:line="300" w:lineRule="auto"/>
              <w:ind w:firstLine="0" w:firstLineChars="0"/>
              <w:jc w:val="center"/>
            </w:pPr>
            <w:r>
              <w:rPr>
                <w:rFonts w:hint="eastAsia"/>
              </w:rPr>
              <w:t>Caco2</w:t>
            </w:r>
          </w:p>
        </w:tc>
        <w:tc>
          <w:tcPr>
            <w:tcW w:w="1560" w:type="dxa"/>
            <w:tcBorders>
              <w:top w:val="single" w:color="auto" w:sz="12" w:space="0"/>
              <w:bottom w:val="single" w:color="auto" w:sz="8" w:space="0"/>
            </w:tcBorders>
          </w:tcPr>
          <w:p>
            <w:pPr>
              <w:spacing w:line="300" w:lineRule="auto"/>
              <w:ind w:firstLine="0" w:firstLineChars="0"/>
              <w:jc w:val="center"/>
            </w:pPr>
            <w:r>
              <w:rPr>
                <w:rFonts w:hint="eastAsia"/>
              </w:rPr>
              <w:t>AqSol</w:t>
            </w:r>
          </w:p>
        </w:tc>
        <w:tc>
          <w:tcPr>
            <w:tcW w:w="2268" w:type="dxa"/>
            <w:tcBorders>
              <w:top w:val="single" w:color="auto" w:sz="12" w:space="0"/>
              <w:bottom w:val="single" w:color="auto" w:sz="8" w:space="0"/>
            </w:tcBorders>
          </w:tcPr>
          <w:p>
            <w:pPr>
              <w:spacing w:line="300" w:lineRule="auto"/>
              <w:ind w:firstLine="0" w:firstLineChars="0"/>
              <w:jc w:val="center"/>
            </w:pPr>
            <w:r>
              <w:rPr>
                <w:rFonts w:hint="eastAsia"/>
              </w:rPr>
              <w:t>PPBR</w:t>
            </w:r>
          </w:p>
        </w:tc>
        <w:tc>
          <w:tcPr>
            <w:tcW w:w="1559" w:type="dxa"/>
            <w:tcBorders>
              <w:top w:val="single" w:color="auto" w:sz="12" w:space="0"/>
              <w:bottom w:val="single" w:color="auto" w:sz="8" w:space="0"/>
            </w:tcBorders>
          </w:tcPr>
          <w:p>
            <w:pPr>
              <w:spacing w:line="300" w:lineRule="auto"/>
              <w:ind w:firstLine="0" w:firstLineChars="0"/>
              <w:jc w:val="center"/>
            </w:pPr>
            <w:r>
              <w:rPr>
                <w:rFonts w:hint="eastAsia"/>
              </w:rPr>
              <w:t>LD50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single" w:color="auto" w:sz="8" w:space="0"/>
            </w:tcBorders>
          </w:tcPr>
          <w:p>
            <w:pPr>
              <w:spacing w:line="300" w:lineRule="auto"/>
              <w:ind w:firstLine="0" w:firstLineChars="0"/>
              <w:jc w:val="center"/>
            </w:pPr>
            <w:r>
              <w:rPr>
                <w:rFonts w:hint="eastAsia"/>
              </w:rPr>
              <w:t>w/o LLM</w:t>
            </w:r>
          </w:p>
        </w:tc>
        <w:tc>
          <w:tcPr>
            <w:tcW w:w="1622" w:type="dxa"/>
            <w:tcBorders>
              <w:top w:val="single" w:color="auto" w:sz="8" w:space="0"/>
            </w:tcBorders>
          </w:tcPr>
          <w:p>
            <w:pPr>
              <w:spacing w:line="300" w:lineRule="auto"/>
              <w:ind w:firstLine="0" w:firstLineChars="0"/>
              <w:jc w:val="center"/>
            </w:pPr>
            <w:r>
              <w:rPr>
                <w:rFonts w:hint="eastAsia"/>
              </w:rPr>
              <w:t>0.521</w:t>
            </w:r>
            <w:r>
              <w:rPr>
                <w:rFonts w:hint="eastAsia"/>
                <w:vertAlign w:val="subscript"/>
              </w:rPr>
              <w:t>(0.045)</w:t>
            </w:r>
          </w:p>
        </w:tc>
        <w:tc>
          <w:tcPr>
            <w:tcW w:w="1560" w:type="dxa"/>
            <w:tcBorders>
              <w:top w:val="single" w:color="auto" w:sz="8" w:space="0"/>
            </w:tcBorders>
          </w:tcPr>
          <w:p>
            <w:pPr>
              <w:spacing w:line="300" w:lineRule="auto"/>
              <w:ind w:firstLine="0" w:firstLineChars="0"/>
              <w:jc w:val="center"/>
            </w:pPr>
            <w:r>
              <w:rPr>
                <w:rFonts w:hint="eastAsia"/>
              </w:rPr>
              <w:t>0.935</w:t>
            </w:r>
            <w:r>
              <w:rPr>
                <w:rFonts w:hint="eastAsia"/>
                <w:vertAlign w:val="subscript"/>
              </w:rPr>
              <w:t>(0.052)</w:t>
            </w:r>
          </w:p>
        </w:tc>
        <w:tc>
          <w:tcPr>
            <w:tcW w:w="2268" w:type="dxa"/>
            <w:tcBorders>
              <w:top w:val="single" w:color="auto" w:sz="8" w:space="0"/>
            </w:tcBorders>
          </w:tcPr>
          <w:p>
            <w:pPr>
              <w:spacing w:line="300" w:lineRule="auto"/>
              <w:ind w:firstLine="0" w:firstLineChars="0"/>
              <w:jc w:val="center"/>
            </w:pPr>
            <w:r>
              <w:rPr>
                <w:rFonts w:hint="eastAsia"/>
              </w:rPr>
              <w:t>10.954</w:t>
            </w:r>
            <w:r>
              <w:rPr>
                <w:rFonts w:hint="eastAsia"/>
                <w:vertAlign w:val="subscript"/>
              </w:rPr>
              <w:t>(0.345)</w:t>
            </w:r>
          </w:p>
        </w:tc>
        <w:tc>
          <w:tcPr>
            <w:tcW w:w="1559" w:type="dxa"/>
            <w:tcBorders>
              <w:top w:val="single" w:color="auto" w:sz="8" w:space="0"/>
            </w:tcBorders>
          </w:tcPr>
          <w:p>
            <w:pPr>
              <w:spacing w:line="300" w:lineRule="auto"/>
              <w:ind w:firstLine="0" w:firstLineChars="0"/>
              <w:jc w:val="center"/>
            </w:pPr>
            <w:r>
              <w:rPr>
                <w:rFonts w:hint="eastAsia"/>
              </w:rPr>
              <w:t>0.705</w:t>
            </w:r>
            <w:r>
              <w:rPr>
                <w:rFonts w:hint="eastAsia"/>
                <w:vertAlign w:val="subscript"/>
              </w:rPr>
              <w:t>(0.035)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Pr>
          <w:p>
            <w:pPr>
              <w:spacing w:line="300" w:lineRule="auto"/>
              <w:ind w:firstLine="0" w:firstLineChars="0"/>
              <w:jc w:val="center"/>
            </w:pPr>
            <w:r>
              <w:rPr>
                <w:rFonts w:hint="eastAsia"/>
              </w:rPr>
              <w:t>w/o CoT</w:t>
            </w:r>
          </w:p>
        </w:tc>
        <w:tc>
          <w:tcPr>
            <w:tcW w:w="1622" w:type="dxa"/>
          </w:tcPr>
          <w:p>
            <w:pPr>
              <w:spacing w:line="300" w:lineRule="auto"/>
              <w:ind w:firstLine="0" w:firstLineChars="0"/>
              <w:jc w:val="center"/>
            </w:pPr>
            <w:r>
              <w:rPr>
                <w:rFonts w:hint="eastAsia"/>
              </w:rPr>
              <w:t>0.485</w:t>
            </w:r>
            <w:r>
              <w:rPr>
                <w:rFonts w:hint="eastAsia"/>
                <w:vertAlign w:val="subscript"/>
              </w:rPr>
              <w:t>(0.038)</w:t>
            </w:r>
          </w:p>
        </w:tc>
        <w:tc>
          <w:tcPr>
            <w:tcW w:w="1560" w:type="dxa"/>
          </w:tcPr>
          <w:p>
            <w:pPr>
              <w:spacing w:line="300" w:lineRule="auto"/>
              <w:ind w:firstLine="0" w:firstLineChars="0"/>
              <w:jc w:val="center"/>
            </w:pPr>
            <w:r>
              <w:rPr>
                <w:rFonts w:hint="eastAsia"/>
              </w:rPr>
              <w:t>0.882</w:t>
            </w:r>
            <w:r>
              <w:rPr>
                <w:rFonts w:hint="eastAsia"/>
                <w:vertAlign w:val="subscript"/>
              </w:rPr>
              <w:t>(0.048)</w:t>
            </w:r>
          </w:p>
        </w:tc>
        <w:tc>
          <w:tcPr>
            <w:tcW w:w="2268" w:type="dxa"/>
          </w:tcPr>
          <w:p>
            <w:pPr>
              <w:spacing w:line="300" w:lineRule="auto"/>
              <w:ind w:firstLine="0" w:firstLineChars="0"/>
              <w:jc w:val="center"/>
            </w:pPr>
            <w:r>
              <w:rPr>
                <w:rFonts w:hint="eastAsia"/>
              </w:rPr>
              <w:t>10.320</w:t>
            </w:r>
            <w:r>
              <w:rPr>
                <w:rFonts w:hint="eastAsia"/>
                <w:vertAlign w:val="subscript"/>
              </w:rPr>
              <w:t>(0.285)</w:t>
            </w:r>
          </w:p>
        </w:tc>
        <w:tc>
          <w:tcPr>
            <w:tcW w:w="1559" w:type="dxa"/>
          </w:tcPr>
          <w:p>
            <w:pPr>
              <w:spacing w:line="300" w:lineRule="auto"/>
              <w:ind w:firstLine="0" w:firstLineChars="0"/>
              <w:jc w:val="center"/>
            </w:pPr>
            <w:r>
              <w:rPr>
                <w:rFonts w:hint="eastAsia"/>
              </w:rPr>
              <w:t>0.682</w:t>
            </w:r>
            <w:r>
              <w:rPr>
                <w:rFonts w:hint="eastAsia"/>
                <w:vertAlign w:val="subscript"/>
              </w:rPr>
              <w:t>(0.030)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Pr>
          <w:p>
            <w:pPr>
              <w:spacing w:line="300" w:lineRule="auto"/>
              <w:ind w:firstLine="0" w:firstLineChars="0"/>
              <w:jc w:val="center"/>
            </w:pPr>
            <w:r>
              <w:rPr>
                <w:rFonts w:hint="eastAsia"/>
              </w:rPr>
              <w:t>w/o LoRA</w:t>
            </w:r>
          </w:p>
        </w:tc>
        <w:tc>
          <w:tcPr>
            <w:tcW w:w="1622" w:type="dxa"/>
          </w:tcPr>
          <w:p>
            <w:pPr>
              <w:spacing w:line="300" w:lineRule="auto"/>
              <w:ind w:firstLine="0" w:firstLineChars="0"/>
              <w:jc w:val="center"/>
            </w:pPr>
            <w:r>
              <w:rPr>
                <w:rFonts w:hint="eastAsia"/>
              </w:rPr>
              <w:t>0.442</w:t>
            </w:r>
            <w:r>
              <w:rPr>
                <w:rFonts w:hint="eastAsia"/>
                <w:vertAlign w:val="subscript"/>
              </w:rPr>
              <w:t>(0.031)</w:t>
            </w:r>
          </w:p>
        </w:tc>
        <w:tc>
          <w:tcPr>
            <w:tcW w:w="1560" w:type="dxa"/>
          </w:tcPr>
          <w:p>
            <w:pPr>
              <w:spacing w:line="300" w:lineRule="auto"/>
              <w:ind w:firstLine="0" w:firstLineChars="0"/>
              <w:jc w:val="center"/>
            </w:pPr>
            <w:r>
              <w:rPr>
                <w:rFonts w:hint="eastAsia"/>
              </w:rPr>
              <w:t>0.824</w:t>
            </w:r>
            <w:r>
              <w:rPr>
                <w:rFonts w:hint="eastAsia"/>
                <w:vertAlign w:val="subscript"/>
              </w:rPr>
              <w:t>(0.051)</w:t>
            </w:r>
          </w:p>
        </w:tc>
        <w:tc>
          <w:tcPr>
            <w:tcW w:w="2268" w:type="dxa"/>
          </w:tcPr>
          <w:p>
            <w:pPr>
              <w:spacing w:line="300" w:lineRule="auto"/>
              <w:ind w:firstLine="0" w:firstLineChars="0"/>
              <w:jc w:val="center"/>
            </w:pPr>
            <w:r>
              <w:rPr>
                <w:rFonts w:hint="eastAsia"/>
              </w:rPr>
              <w:t>9.765</w:t>
            </w:r>
            <w:r>
              <w:rPr>
                <w:rFonts w:hint="eastAsia"/>
                <w:vertAlign w:val="subscript"/>
              </w:rPr>
              <w:t>(0.260)</w:t>
            </w:r>
          </w:p>
        </w:tc>
        <w:tc>
          <w:tcPr>
            <w:tcW w:w="1559" w:type="dxa"/>
          </w:tcPr>
          <w:p>
            <w:pPr>
              <w:spacing w:line="300" w:lineRule="auto"/>
              <w:ind w:firstLine="0" w:firstLineChars="0"/>
              <w:jc w:val="center"/>
            </w:pPr>
            <w:r>
              <w:rPr>
                <w:rFonts w:hint="eastAsia"/>
              </w:rPr>
              <w:t>0.655</w:t>
            </w:r>
            <w:r>
              <w:rPr>
                <w:rFonts w:hint="eastAsia"/>
                <w:vertAlign w:val="subscript"/>
              </w:rPr>
              <w:t>(0.025)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bottom w:val="nil"/>
            </w:tcBorders>
          </w:tcPr>
          <w:p>
            <w:pPr>
              <w:spacing w:line="300" w:lineRule="auto"/>
              <w:ind w:firstLine="0" w:firstLineChars="0"/>
              <w:jc w:val="center"/>
            </w:pPr>
            <w:r>
              <w:rPr>
                <w:rFonts w:hint="eastAsia"/>
              </w:rPr>
              <w:t>w/o Cross-Attn</w:t>
            </w:r>
          </w:p>
        </w:tc>
        <w:tc>
          <w:tcPr>
            <w:tcW w:w="1622" w:type="dxa"/>
            <w:tcBorders>
              <w:bottom w:val="nil"/>
            </w:tcBorders>
          </w:tcPr>
          <w:p>
            <w:pPr>
              <w:spacing w:line="300" w:lineRule="auto"/>
              <w:ind w:firstLine="0" w:firstLineChars="0"/>
              <w:jc w:val="center"/>
            </w:pPr>
            <w:r>
              <w:rPr>
                <w:rFonts w:hint="eastAsia"/>
              </w:rPr>
              <w:t>0.415</w:t>
            </w:r>
            <w:r>
              <w:rPr>
                <w:rFonts w:hint="eastAsia"/>
                <w:vertAlign w:val="subscript"/>
              </w:rPr>
              <w:t>(0.028)</w:t>
            </w:r>
          </w:p>
        </w:tc>
        <w:tc>
          <w:tcPr>
            <w:tcW w:w="1560" w:type="dxa"/>
            <w:tcBorders>
              <w:bottom w:val="nil"/>
            </w:tcBorders>
          </w:tcPr>
          <w:p>
            <w:pPr>
              <w:spacing w:line="300" w:lineRule="auto"/>
              <w:ind w:firstLine="0" w:firstLineChars="0"/>
              <w:jc w:val="center"/>
            </w:pPr>
            <w:r>
              <w:rPr>
                <w:rFonts w:hint="eastAsia"/>
              </w:rPr>
              <w:t>0.778</w:t>
            </w:r>
            <w:r>
              <w:rPr>
                <w:rFonts w:hint="eastAsia"/>
                <w:vertAlign w:val="subscript"/>
              </w:rPr>
              <w:t>(0.041)</w:t>
            </w:r>
          </w:p>
        </w:tc>
        <w:tc>
          <w:tcPr>
            <w:tcW w:w="2268" w:type="dxa"/>
            <w:tcBorders>
              <w:bottom w:val="nil"/>
            </w:tcBorders>
          </w:tcPr>
          <w:p>
            <w:pPr>
              <w:spacing w:line="300" w:lineRule="auto"/>
              <w:ind w:firstLine="0" w:firstLineChars="0"/>
              <w:jc w:val="center"/>
            </w:pPr>
            <w:r>
              <w:rPr>
                <w:rFonts w:hint="eastAsia"/>
              </w:rPr>
              <w:t>9.245</w:t>
            </w:r>
            <w:r>
              <w:rPr>
                <w:rFonts w:hint="eastAsia"/>
                <w:vertAlign w:val="subscript"/>
              </w:rPr>
              <w:t>(0.235)</w:t>
            </w:r>
          </w:p>
        </w:tc>
        <w:tc>
          <w:tcPr>
            <w:tcW w:w="1559" w:type="dxa"/>
            <w:tcBorders>
              <w:bottom w:val="nil"/>
            </w:tcBorders>
          </w:tcPr>
          <w:p>
            <w:pPr>
              <w:spacing w:line="300" w:lineRule="auto"/>
              <w:ind w:firstLine="0" w:firstLineChars="0"/>
              <w:jc w:val="center"/>
            </w:pPr>
            <w:r>
              <w:rPr>
                <w:rFonts w:hint="eastAsia"/>
              </w:rPr>
              <w:t>0.624</w:t>
            </w:r>
            <w:r>
              <w:rPr>
                <w:rFonts w:hint="eastAsia"/>
                <w:vertAlign w:val="subscript"/>
              </w:rPr>
              <w:t>(0.031)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nil"/>
              <w:bottom w:val="single" w:color="auto" w:sz="12" w:space="0"/>
            </w:tcBorders>
          </w:tcPr>
          <w:p>
            <w:pPr>
              <w:spacing w:line="300" w:lineRule="auto"/>
              <w:ind w:firstLine="0" w:firstLineChars="0"/>
              <w:jc w:val="center"/>
            </w:pPr>
            <w:r>
              <w:rPr>
                <w:rFonts w:hint="eastAsia"/>
              </w:rPr>
              <w:t>CoT-CMP</w:t>
            </w:r>
          </w:p>
        </w:tc>
        <w:tc>
          <w:tcPr>
            <w:tcW w:w="1622" w:type="dxa"/>
            <w:tcBorders>
              <w:top w:val="nil"/>
              <w:bottom w:val="single" w:color="auto" w:sz="12" w:space="0"/>
            </w:tcBorders>
          </w:tcPr>
          <w:p>
            <w:pPr>
              <w:spacing w:line="300" w:lineRule="auto"/>
              <w:ind w:left="1" w:hanging="1" w:firstLineChars="0"/>
              <w:jc w:val="center"/>
            </w:pPr>
            <w:r>
              <w:rPr>
                <w:rFonts w:hint="eastAsia"/>
                <w:b/>
                <w:bCs/>
              </w:rPr>
              <w:t>0.387</w:t>
            </w:r>
            <w:r>
              <w:rPr>
                <w:rFonts w:hint="eastAsia"/>
                <w:b/>
                <w:bCs/>
                <w:vertAlign w:val="subscript"/>
              </w:rPr>
              <w:t>(0.033)</w:t>
            </w:r>
          </w:p>
        </w:tc>
        <w:tc>
          <w:tcPr>
            <w:tcW w:w="1560" w:type="dxa"/>
            <w:tcBorders>
              <w:top w:val="nil"/>
              <w:bottom w:val="single" w:color="auto" w:sz="12" w:space="0"/>
            </w:tcBorders>
            <w:vAlign w:val="center"/>
          </w:tcPr>
          <w:p>
            <w:pPr>
              <w:spacing w:line="300" w:lineRule="auto"/>
              <w:ind w:firstLine="0" w:firstLineChars="0"/>
              <w:jc w:val="center"/>
              <w:rPr>
                <w:b/>
                <w:bCs/>
              </w:rPr>
            </w:pPr>
            <w:r>
              <w:rPr>
                <w:rFonts w:hint="eastAsia"/>
                <w:b/>
                <w:bCs/>
              </w:rPr>
              <w:t>0.742</w:t>
            </w:r>
            <w:r>
              <w:rPr>
                <w:rFonts w:hint="eastAsia"/>
                <w:b/>
                <w:bCs/>
                <w:vertAlign w:val="subscript"/>
              </w:rPr>
              <w:t>(0.046)</w:t>
            </w:r>
          </w:p>
        </w:tc>
        <w:tc>
          <w:tcPr>
            <w:tcW w:w="2268" w:type="dxa"/>
            <w:tcBorders>
              <w:top w:val="nil"/>
              <w:bottom w:val="single" w:color="auto" w:sz="12" w:space="0"/>
            </w:tcBorders>
            <w:vAlign w:val="center"/>
          </w:tcPr>
          <w:p>
            <w:pPr>
              <w:spacing w:line="300" w:lineRule="auto"/>
              <w:ind w:firstLine="0" w:firstLineChars="0"/>
              <w:jc w:val="center"/>
            </w:pPr>
            <w:r>
              <w:rPr>
                <w:rFonts w:hint="eastAsia"/>
                <w:b/>
                <w:bCs/>
              </w:rPr>
              <w:t>8.892</w:t>
            </w:r>
            <w:r>
              <w:rPr>
                <w:rFonts w:hint="eastAsia"/>
                <w:b/>
                <w:bCs/>
                <w:vertAlign w:val="subscript"/>
              </w:rPr>
              <w:t>(0.212)</w:t>
            </w:r>
          </w:p>
        </w:tc>
        <w:tc>
          <w:tcPr>
            <w:tcW w:w="1559" w:type="dxa"/>
            <w:tcBorders>
              <w:top w:val="nil"/>
              <w:bottom w:val="single" w:color="auto" w:sz="12" w:space="0"/>
            </w:tcBorders>
          </w:tcPr>
          <w:p>
            <w:pPr>
              <w:spacing w:line="300" w:lineRule="auto"/>
              <w:ind w:firstLine="0" w:firstLineChars="0"/>
              <w:jc w:val="center"/>
            </w:pPr>
            <w:r>
              <w:rPr>
                <w:rFonts w:hint="eastAsia"/>
                <w:b/>
                <w:bCs/>
              </w:rPr>
              <w:t>0.601</w:t>
            </w:r>
            <w:r>
              <w:rPr>
                <w:rFonts w:hint="eastAsia"/>
                <w:b/>
                <w:bCs/>
                <w:vertAlign w:val="subscript"/>
              </w:rPr>
              <w:t>(0.028)</w:t>
            </w:r>
          </w:p>
        </w:tc>
      </w:tr>
    </w:tbl>
    <w:p/>
    <w:p>
      <w:r>
        <w:rPr>
          <w:rFonts w:hint="eastAsia"/>
        </w:rPr>
        <w:t>在回归数据集中，本文选取了Caco2、AqSol、PPBR和LD50四个数据集做消融实验，结果如</w:t>
      </w:r>
      <w:r>
        <w:fldChar w:fldCharType="begin"/>
      </w:r>
      <w:r>
        <w:instrText xml:space="preserve"> </w:instrText>
      </w:r>
      <w:r>
        <w:rPr>
          <w:rFonts w:hint="eastAsia"/>
        </w:rPr>
        <w:instrText xml:space="preserve">REF _Ref224837556 \h</w:instrText>
      </w:r>
      <w:r>
        <w:instrText xml:space="preserve"> </w:instrText>
      </w:r>
      <w:r>
        <w:fldChar w:fldCharType="separate"/>
      </w:r>
      <w:r>
        <w:rPr>
          <w:rFonts w:hint="eastAsia"/>
        </w:rPr>
        <w:t>表3-</w:t>
      </w:r>
      <w:r>
        <w:t>5</w:t>
      </w:r>
      <w:r>
        <w:fldChar w:fldCharType="end"/>
      </w:r>
      <w:r>
        <w:rPr>
          <w:rFonts w:hint="eastAsia"/>
        </w:rPr>
        <w:t>所示。本文提出的CoT-CMP模型仍然在四个数据集上取得了最优的性能，这表明各个模块之间的协同同样能够在连续值性质预测任务中有效降低误差。其中，w/o LLM在四个任务上的MAE最高，说明若完全移除文本模态，模型对分子性质连续值的拟合能力将受到明显削弱。这一结果表明，文本信息在回归任务中同样发挥了重要补充作用，尤其对于需要综合理化属性与语义知识的任务更为关键。w/o CoT相比w/o LLM有一定改善，但仍明显劣于完整模型。</w:t>
      </w:r>
      <w:r>
        <w:t>这说明即使保留文本输入，如果缺少显式的思维链引导，模型所构建的文本表征仍然不够充分，难以最大化发挥文本</w:t>
      </w:r>
      <w:r>
        <w:rPr>
          <w:rFonts w:hint="eastAsia"/>
        </w:rPr>
        <w:t>模态的</w:t>
      </w:r>
      <w:r>
        <w:t xml:space="preserve">作用。w/o LoRA虽然较w/o </w:t>
      </w:r>
      <w:r>
        <w:rPr>
          <w:rFonts w:hint="eastAsia"/>
        </w:rPr>
        <w:t>LLM</w:t>
      </w:r>
      <w:r>
        <w:t>和w/o CoT已有明显改善，但仍全面落后于完整模型。另一方面，w/o Cross-Attn是所有消融版本中最接近完整模型的设置，但</w:t>
      </w:r>
      <w:r>
        <w:rPr>
          <w:rFonts w:hint="eastAsia"/>
        </w:rPr>
        <w:t>其误差</w:t>
      </w:r>
      <w:r>
        <w:t>依旧高于CoT-CMP，说明仅依赖简单的模态组合仍不足以充分建模图结构与文本语义之间的对应关系，而跨模态交叉注意力机制能够进一步提升异构信息融合的有效性。</w:t>
      </w:r>
    </w:p>
    <w:p>
      <w:pPr>
        <w:pStyle w:val="4"/>
        <w:rPr>
          <w:rFonts w:hint="default"/>
        </w:rPr>
      </w:pPr>
      <w:bookmarkStart w:id="88" w:name="_Toc229423351"/>
      <w:r>
        <w:t>可视化分析</w:t>
      </w:r>
      <w:bookmarkEnd w:id="88"/>
    </w:p>
    <w:p>
      <w:r>
        <w:rPr>
          <w:rFonts w:hint="eastAsia"/>
        </w:rPr>
        <w:t>为进一步验证CoT-CMP模型的可解释性，本文选取TDC的</w:t>
      </w:r>
      <w:r>
        <w:tab/>
      </w:r>
      <w:r>
        <w:t>毒性预测任务</w:t>
      </w:r>
      <w:r>
        <w:rPr>
          <w:rFonts w:hint="eastAsia"/>
        </w:rPr>
        <w:t>DILI数据集中的氯磺丙脲（chlorpropamide）作为典型案例进行可视化分析。该分子的SMILES为CCCNC(=O)NS(=O)(=O)c1ccc(Cl)cc1，在数据集中对应的标签为1，表示该样本具有药物性肝损伤风险。本文从分子结构和文本语义两个方面对模型的判别依据进行了可视化，如</w:t>
      </w:r>
      <w:r>
        <w:fldChar w:fldCharType="begin"/>
      </w:r>
      <w:r>
        <w:instrText xml:space="preserve"> </w:instrText>
      </w:r>
      <w:r>
        <w:rPr>
          <w:rFonts w:hint="eastAsia"/>
        </w:rPr>
        <w:instrText xml:space="preserve">REF _Ref226475595 \h</w:instrText>
      </w:r>
      <w:r>
        <w:instrText xml:space="preserve"> </w:instrText>
      </w:r>
      <w:r>
        <w:fldChar w:fldCharType="separate"/>
      </w:r>
      <w:r>
        <w:rPr>
          <w:rFonts w:hint="eastAsia"/>
        </w:rPr>
        <w:t>图3-</w:t>
      </w:r>
      <w:r>
        <w:t>3</w:t>
      </w:r>
      <w:r>
        <w:fldChar w:fldCharType="end"/>
      </w:r>
      <w:r>
        <w:rPr>
          <w:rFonts w:hint="eastAsia"/>
        </w:rPr>
        <w:t>所示。</w:t>
      </w:r>
    </w:p>
    <w:p/>
    <w:p>
      <w:pPr>
        <w:keepNext/>
        <w:ind w:firstLine="0" w:firstLineChars="0"/>
        <w:jc w:val="center"/>
      </w:pPr>
      <w:r>
        <w:drawing>
          <wp:inline distT="0" distB="0" distL="0" distR="0">
            <wp:extent cx="4363720" cy="3631565"/>
            <wp:effectExtent l="0" t="0" r="0" b="6985"/>
            <wp:docPr id="18350990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99018" name="图片 8"/>
                    <pic:cNvPicPr>
                      <a:picLocks noChangeAspect="1"/>
                    </pic:cNvPicPr>
                  </pic:nvPicPr>
                  <pic:blipFill>
                    <a:blip r:embed="rId352"/>
                    <a:stretch>
                      <a:fillRect/>
                    </a:stretch>
                  </pic:blipFill>
                  <pic:spPr>
                    <a:xfrm>
                      <a:off x="0" y="0"/>
                      <a:ext cx="4441306" cy="3696237"/>
                    </a:xfrm>
                    <a:prstGeom prst="rect">
                      <a:avLst/>
                    </a:prstGeom>
                  </pic:spPr>
                </pic:pic>
              </a:graphicData>
            </a:graphic>
          </wp:inline>
        </w:drawing>
      </w:r>
    </w:p>
    <w:p>
      <w:pPr>
        <w:pStyle w:val="11"/>
      </w:pPr>
      <w:bookmarkStart w:id="89" w:name="_Ref226475595"/>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3</w:t>
      </w:r>
      <w:r>
        <w:fldChar w:fldCharType="end"/>
      </w:r>
      <w:bookmarkEnd w:id="89"/>
      <w:r>
        <w:rPr>
          <w:rFonts w:hint="eastAsia"/>
        </w:rPr>
        <w:t xml:space="preserve"> 氯磺丙脲在DILI任务中的双模态可视化分析结果</w:t>
      </w:r>
    </w:p>
    <w:p>
      <w:r>
        <w:rPr>
          <w:rFonts w:hint="eastAsia"/>
        </w:rPr>
        <w:t>左侧给出了氯磺丙脲的二维分子结构，右侧展示了模型在图模态上的注意力热力分布。可以观察到，模型的高响应区域主要集中在对氯苯基-磺酰脲主骨架上，尤其是在磺酰基、相邻脲基连接区以及芳香环邻近区域表现出较高的注意力。在文本模态方面，其中对于一些分子结构的词语，模型表现出较高的关注，例如p-chlorobenzenesulfonyl、N-sulfonylurea scaffold、chlorophenyl ring等，还有对于</w:t>
      </w:r>
      <w:r>
        <w:t>毒理判断直接相关的关键词</w:t>
      </w:r>
      <w:r>
        <w:rPr>
          <w:rFonts w:hint="eastAsia"/>
        </w:rPr>
        <w:t>，例如</w:t>
      </w:r>
      <w:r>
        <w:t>hepatotoxicity</w:t>
      </w:r>
      <w:r>
        <w:rPr>
          <w:rFonts w:hint="eastAsia"/>
        </w:rPr>
        <w:t>、</w:t>
      </w:r>
      <w:r>
        <w:t>drug-induced liver injury</w:t>
      </w:r>
      <w:r>
        <w:rPr>
          <w:rFonts w:hint="eastAsia"/>
        </w:rPr>
        <w:t>等词语也表现出较高的关注度。</w:t>
      </w:r>
      <w:r>
        <w:t>上述可视化结果表明，模型在该样本上关注的结构区域和文本关键词</w:t>
      </w:r>
      <w:r>
        <w:rPr>
          <w:rFonts w:hint="eastAsia"/>
        </w:rPr>
        <w:t>，</w:t>
      </w:r>
      <w:r>
        <w:t>与已知</w:t>
      </w:r>
      <w:r>
        <w:rPr>
          <w:rFonts w:hint="eastAsia"/>
        </w:rPr>
        <w:t>的</w:t>
      </w:r>
      <w:r>
        <w:t>毒性化学直觉具有一定</w:t>
      </w:r>
      <w:r>
        <w:rPr>
          <w:rFonts w:hint="eastAsia"/>
        </w:rPr>
        <w:t>的</w:t>
      </w:r>
      <w:r>
        <w:t>一致性，从而为理解模型预测</w:t>
      </w:r>
      <w:r>
        <w:rPr>
          <w:rFonts w:hint="eastAsia"/>
        </w:rPr>
        <w:t>逻辑</w:t>
      </w:r>
      <w:r>
        <w:t>提供了</w:t>
      </w:r>
      <w:r>
        <w:rPr>
          <w:rFonts w:hint="eastAsia"/>
        </w:rPr>
        <w:t>有力支撑。</w:t>
      </w:r>
    </w:p>
    <w:p>
      <w:pPr>
        <w:pStyle w:val="4"/>
        <w:rPr>
          <w:rFonts w:hint="default"/>
        </w:rPr>
      </w:pPr>
      <w:bookmarkStart w:id="90" w:name="_Toc229423352"/>
      <w:r>
        <w:t>参数敏感实验</w:t>
      </w:r>
      <w:bookmarkEnd w:id="90"/>
    </w:p>
    <w:p>
      <w:r>
        <w:rPr>
          <w:rFonts w:hint="eastAsia"/>
        </w:rPr>
        <w:t>在图神经网络的架构设计中，消息传递的层数是决定模型感受视野的大小和特征提取质量的关键的超参数之一。为了进一步探究CMPNN图编码器的层数对于模型最终性能的影响，本节从分布、代谢、毒性相关任务中各选了一个数据集，这些数据集主要是分类任务，并对这些数据集进行图编码器层数的参数敏感性实验，结果如</w:t>
      </w:r>
      <w:r>
        <w:fldChar w:fldCharType="begin"/>
      </w:r>
      <w:r>
        <w:instrText xml:space="preserve"> </w:instrText>
      </w:r>
      <w:r>
        <w:rPr>
          <w:rFonts w:hint="eastAsia"/>
        </w:rPr>
        <w:instrText xml:space="preserve">REF _Ref224585370 \h</w:instrText>
      </w:r>
      <w:r>
        <w:instrText xml:space="preserve"> </w:instrText>
      </w:r>
      <w:r>
        <w:fldChar w:fldCharType="separate"/>
      </w:r>
      <w:r>
        <w:rPr>
          <w:rFonts w:hint="eastAsia"/>
        </w:rPr>
        <w:t>图3-</w:t>
      </w:r>
      <w:r>
        <w:t>4</w:t>
      </w:r>
      <w:r>
        <w:fldChar w:fldCharType="end"/>
      </w:r>
      <w:r>
        <w:rPr>
          <w:rFonts w:hint="eastAsia"/>
        </w:rPr>
        <w:t>所示。</w:t>
      </w:r>
    </w:p>
    <w:p>
      <w:r>
        <w:rPr>
          <w:rFonts w:hint="eastAsia"/>
        </w:rPr>
        <w:t>根据结果可知，随着图编码器的层数增加，性能曲线呈现出倒U型。当层数为1到2层的时候，模型的表现较差，这是由于浅层网络不足以捕捉分子全局的特征信息。在层数达到3层的时候，模型性能达到峰值。这是由于大多数分子都是小分子，因此三层的图网络结构已经可以很好地捕捉到全局的信息。在层数达到4至5层的时候，模型的性能明显开始下降，这是由于过深的网络对于小分子结构来说会极容易出现过拟合现象。因此，</w:t>
      </w:r>
      <w:r>
        <w:t>为了在全局感受野与特征区分度之间取得最佳平衡</w:t>
      </w:r>
      <w:r>
        <w:rPr>
          <w:rFonts w:hint="eastAsia"/>
        </w:rPr>
        <w:t>，</w:t>
      </w:r>
      <w:r>
        <w:t>本</w:t>
      </w:r>
      <w:r>
        <w:rPr>
          <w:rFonts w:hint="eastAsia"/>
        </w:rPr>
        <w:t>文</w:t>
      </w:r>
      <w:r>
        <w:t>在核心实验</w:t>
      </w:r>
      <w:r>
        <w:rPr>
          <w:rFonts w:hint="eastAsia"/>
        </w:rPr>
        <w:t>中</w:t>
      </w:r>
      <w:r>
        <w:t>，</w:t>
      </w:r>
      <w:r>
        <w:rPr>
          <w:rFonts w:hint="eastAsia"/>
        </w:rPr>
        <w:t>均</w:t>
      </w:r>
      <w:r>
        <w:t>将CMPNN的层数</w:t>
      </w:r>
      <w:r>
        <w:rPr>
          <w:rFonts w:hint="eastAsia"/>
        </w:rPr>
        <w:t>设置</w:t>
      </w:r>
      <w:r>
        <w:t>为</w:t>
      </w:r>
      <w:r>
        <w:rPr>
          <w:rFonts w:hint="eastAsia"/>
        </w:rPr>
        <w:t>3</w:t>
      </w:r>
      <w:r>
        <w:t>层。</w:t>
      </w:r>
    </w:p>
    <w:p/>
    <w:p>
      <w:pPr>
        <w:ind w:firstLine="0" w:firstLineChars="0"/>
        <w:jc w:val="center"/>
      </w:pPr>
      <w:r>
        <w:drawing>
          <wp:inline distT="0" distB="0" distL="0" distR="0">
            <wp:extent cx="4205605" cy="2501265"/>
            <wp:effectExtent l="0" t="0" r="4445" b="0"/>
            <wp:docPr id="9179914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1435" name="图片 2"/>
                    <pic:cNvPicPr>
                      <a:picLocks noChangeAspect="1"/>
                    </pic:cNvPicPr>
                  </pic:nvPicPr>
                  <pic:blipFill>
                    <a:blip r:embed="rId353"/>
                    <a:stretch>
                      <a:fillRect/>
                    </a:stretch>
                  </pic:blipFill>
                  <pic:spPr>
                    <a:xfrm>
                      <a:off x="0" y="0"/>
                      <a:ext cx="4243884" cy="2524371"/>
                    </a:xfrm>
                    <a:prstGeom prst="rect">
                      <a:avLst/>
                    </a:prstGeom>
                  </pic:spPr>
                </pic:pic>
              </a:graphicData>
            </a:graphic>
          </wp:inline>
        </w:drawing>
      </w:r>
    </w:p>
    <w:p>
      <w:pPr>
        <w:pStyle w:val="11"/>
      </w:pPr>
      <w:bookmarkStart w:id="91" w:name="_Ref224585370"/>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4</w:t>
      </w:r>
      <w:r>
        <w:fldChar w:fldCharType="end"/>
      </w:r>
      <w:bookmarkEnd w:id="91"/>
      <w:r>
        <w:rPr>
          <w:rFonts w:hint="eastAsia"/>
        </w:rPr>
        <w:t xml:space="preserve"> CMPNN模型层数对分类任务性能的影响</w:t>
      </w:r>
    </w:p>
    <w:p/>
    <w:p/>
    <w:p>
      <w:pPr>
        <w:pStyle w:val="3"/>
      </w:pPr>
      <w:bookmarkStart w:id="92" w:name="_Toc229423353"/>
      <w:r>
        <w:rPr>
          <w:rFonts w:hint="eastAsia"/>
        </w:rPr>
        <w:t>本章小结</w:t>
      </w:r>
      <w:bookmarkEnd w:id="92"/>
    </w:p>
    <w:p>
      <w:r>
        <w:rPr>
          <w:rFonts w:hint="eastAsia"/>
        </w:rPr>
        <w:t>本章针对药物分子ADMET性质预测任务中微观结构特征与宏观药理语义逻辑难以有效对齐的问题，</w:t>
      </w:r>
      <w:r>
        <w:t>提出了CoT-CMP双塔预测框架</w:t>
      </w:r>
      <w:r>
        <w:rPr>
          <w:rFonts w:hint="eastAsia"/>
        </w:rPr>
        <w:t>。</w:t>
      </w:r>
      <w:r>
        <w:t>该框架结合思维链增强的文本编码、CMPNN图结构建模与交叉注意力融合，实现了图文信息的联合预测。在TDC多个ADMET基准上的实验结果表明，该方法在多数任务上取得了较优表现，消融实验也验证了文本增强、LoRA微调和跨模态融合模块的有效性。</w:t>
      </w:r>
    </w:p>
    <w:p>
      <w:r>
        <w:rPr>
          <w:rFonts w:hint="eastAsia"/>
        </w:rPr>
        <w:t>在模型架构设计方面，本章详细阐述了CoT-CMP框架的三大核心组件。在文本编码端，模型引入了LLaMA-3.1大语言模型，结合思维链提示工程与低秩自适应微调技术，将分子的线性序列转化为包含显式理化分析与药效推导的逻辑文本表征，显著提升了预测过程的可解释性。在图编码端，模型采用了交互式消息传递图神经网络（CMPNN）。通过构建基于有向边的消息传递机制与引入通信核模块，该网络有效克服了传统图模型中的信息回流弊端，实现了原子与化学键特征的动态深度交互，从而精准捕获了复杂的分子全局拓扑依赖。在多模态融合端，模型使用了交叉注意力机制，以分子结构特征为查询锚点，动态聚合文本推理空间中的高价值语义信号。</w:t>
      </w:r>
    </w:p>
    <w:p>
      <w:r>
        <w:rPr>
          <w:rFonts w:hint="eastAsia"/>
        </w:rPr>
        <w:t>在实验设计方面，本章明确了模型评估的基准体系。实验选取了Therapeutics Data Commons (TDC)平台中涵盖吸收、分布、代谢、排泄与毒性五个维度的多项核心数据集。为真实反映模型在未知化学空间中的泛化性能，本章论证并确立了基于骨架划分的严格评估策略，并详细规定了包含AUROC、AUPRC、MAE及Spearman相关系数在内的多维评价指标体系，同时选取了AttentiveFP、NeuralFP、CNN及GCN四种具有代表性的模型作为对比基线。本章的理论架构搭建与严密的实验流程设计，为后续验证CoT-CMP模型在复杂药物分子性质预测任务中的优越性奠定了坚实基础。</w:t>
      </w:r>
    </w:p>
    <w:p/>
    <w:p>
      <w:pPr>
        <w:sectPr>
          <w:headerReference r:id="rId20" w:type="default"/>
          <w:headerReference r:id="rId21" w:type="even"/>
          <w:pgSz w:w="11906" w:h="16838"/>
          <w:pgMar w:top="1418" w:right="1134" w:bottom="1134" w:left="1418" w:header="851" w:footer="851" w:gutter="0"/>
          <w:cols w:space="425" w:num="1"/>
          <w:docGrid w:type="lines" w:linePitch="326" w:charSpace="0"/>
        </w:sectPr>
      </w:pPr>
    </w:p>
    <w:p>
      <w:pPr>
        <w:pStyle w:val="2"/>
      </w:pPr>
      <w:bookmarkStart w:id="93" w:name="_Toc229423354"/>
      <w:r>
        <w:t>基于知识增强</w:t>
      </w:r>
      <w:r>
        <w:rPr>
          <w:rFonts w:hint="eastAsia"/>
        </w:rPr>
        <w:t>与</w:t>
      </w:r>
      <w:r>
        <w:t>图对齐的分子性质预测方法</w:t>
      </w:r>
      <w:bookmarkEnd w:id="93"/>
    </w:p>
    <w:p>
      <w:r>
        <w:t>随着深度学习的飞速发展，数据驱动的分子表征学习在创新药物发现与候选分子早期成药性评估中</w:t>
      </w:r>
      <w:r>
        <w:rPr>
          <w:rFonts w:hint="eastAsia"/>
        </w:rPr>
        <w:t>得到了广泛的关注。高质量的分子性质标签获取成本较高，所以近年来较多研究采用预训练-微调的范式，旨在通过大规模无标注数据学习通用分子表示，从而提升下游任务性能。然而，分子的理化性质与生化性质</w:t>
      </w:r>
      <w:r>
        <w:t>受到多种结构因素和药理信息的共同影响</w:t>
      </w:r>
      <w:r>
        <w:rPr>
          <w:rFonts w:hint="eastAsia"/>
        </w:rPr>
        <w:t>。</w:t>
      </w:r>
      <w:r>
        <w:t>单一模态表征往往难以全面描述分子特征。因此，联合利用分子图、序列、指纹和文本信息的多模态表征学习，逐渐成为分子性质预测中的一个重要研究方向</w:t>
      </w:r>
      <w:r>
        <w:rPr>
          <w:rFonts w:hint="eastAsia"/>
        </w:rPr>
        <w:t>。</w:t>
      </w:r>
    </w:p>
    <w:p>
      <w:r>
        <w:t>尽管多模态方法能够提供</w:t>
      </w:r>
      <w:r>
        <w:rPr>
          <w:rFonts w:hint="eastAsia"/>
        </w:rPr>
        <w:t>比较</w:t>
      </w:r>
      <w:r>
        <w:t>丰富的信息来源，但现有跨模态预训练框架仍存在一些不足。首先，公共医学数据库中的原始分子文本通常包含较多冗余信息，文本长度和质量差异较大，且缺乏关键理化属性的显式约束，这会影响文本模态的表征质量。其次，在多模态联合训练过程中，不同模态的信息量和噪声水平并不一致，</w:t>
      </w:r>
      <w:r>
        <w:rPr>
          <w:rFonts w:hint="eastAsia"/>
        </w:rPr>
        <w:t>这</w:t>
      </w:r>
      <w:r>
        <w:t>可能增加跨模态对齐和联合优化的难度，从而影响模型训练的稳定性和最终性能。</w:t>
      </w:r>
    </w:p>
    <w:p>
      <w:r>
        <w:t>针对上述问题，本章提出了一种基于知识增强与图对齐的多模态分子性质预测框架（Knowledge-enhanced Graph Anchor Multimodal Alignment, KGAMA）。该框架</w:t>
      </w:r>
      <w:r>
        <w:rPr>
          <w:rFonts w:hint="eastAsia"/>
        </w:rPr>
        <w:t>对</w:t>
      </w:r>
      <w:r>
        <w:t>分子图、序列、指纹和自然语言文本四种模态信息</w:t>
      </w:r>
      <w:r>
        <w:rPr>
          <w:rFonts w:hint="eastAsia"/>
        </w:rPr>
        <w:t>进行联合建模</w:t>
      </w:r>
      <w:r>
        <w:t>。在数据构建阶段，本文利用大语言模型对原始文本进行清洗与重写，并结合RDKit计算得到的定量理化属性，对文本内容进行补充和约束，以提高文本模态的可用性。在多模态对齐阶段，本文采用以分子图为中心的对比学习策略，并引入基于同方差不确定性的自适应加权机制，以减轻不同模态噪声差异对联合训练的影响。通过上述设计，本文</w:t>
      </w:r>
      <w:r>
        <w:rPr>
          <w:rFonts w:hint="eastAsia"/>
        </w:rPr>
        <w:t>旨在</w:t>
      </w:r>
      <w:r>
        <w:t>提升模型在下游分子性质预测任务中的综合表现。</w:t>
      </w:r>
      <w:r>
        <w:fldChar w:fldCharType="begin"/>
      </w:r>
      <w:r>
        <w:instrText xml:space="preserve"> MACROBUTTON MTEditEquationSection2 </w:instrText>
      </w:r>
      <w:r>
        <w:rPr>
          <w:rStyle w:val="43"/>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pPr>
        <w:pStyle w:val="3"/>
      </w:pPr>
      <w:bookmarkStart w:id="94" w:name="_Toc229423355"/>
      <w:r>
        <w:rPr>
          <w:rFonts w:hint="eastAsia"/>
        </w:rPr>
        <w:t>模型设计与描述</w:t>
      </w:r>
      <w:bookmarkEnd w:id="94"/>
    </w:p>
    <w:p>
      <w:pPr>
        <w:pStyle w:val="4"/>
        <w:rPr>
          <w:rFonts w:hint="default"/>
        </w:rPr>
      </w:pPr>
      <w:bookmarkStart w:id="95" w:name="_Toc229423356"/>
      <w:r>
        <w:t>KGAMA框架概述</w:t>
      </w:r>
      <w:bookmarkEnd w:id="95"/>
    </w:p>
    <w:p>
      <w:r>
        <w:rPr>
          <w:rFonts w:hint="eastAsia"/>
        </w:rPr>
        <w:t>本章节提出了一个以分子的图结构为核心、结合多模态知识增强的分子性质预测架构，</w:t>
      </w:r>
      <w:r>
        <w:t>该框架</w:t>
      </w:r>
      <w:r>
        <w:rPr>
          <w:rFonts w:hint="eastAsia"/>
        </w:rPr>
        <w:t>旨在充分利用分子的图结构、SMILES序列、分子指纹和文本描述中的互补信息，学习更加完整的分子表述。模型采用预训练-微调的模式，在预训练阶段，引入以分子图为中心的对比学习策略，使各个模态在潜在空间内完成语义对齐；在下游微调阶段，进一步结合交叉注意力模块与</w:t>
      </w:r>
      <w:r>
        <w:t>多层感知机，与具体任务相关的特征进行融合</w:t>
      </w:r>
      <w:r>
        <w:rPr>
          <w:rFonts w:hint="eastAsia"/>
        </w:rPr>
        <w:t>，</w:t>
      </w:r>
      <w:r>
        <w:t>并完成后续预测</w:t>
      </w:r>
      <w:r>
        <w:rPr>
          <w:rFonts w:hint="eastAsia"/>
        </w:rPr>
        <w:t>。</w:t>
      </w:r>
    </w:p>
    <w:p>
      <w:r>
        <w:rPr>
          <w:rFonts w:hint="eastAsia"/>
        </w:rPr>
        <w:t>该模型的详细架构如</w:t>
      </w:r>
      <w:r>
        <w:fldChar w:fldCharType="begin"/>
      </w:r>
      <w:r>
        <w:instrText xml:space="preserve"> </w:instrText>
      </w:r>
      <w:r>
        <w:rPr>
          <w:rFonts w:hint="eastAsia"/>
        </w:rPr>
        <w:instrText xml:space="preserve">REF _Ref224305148 \h</w:instrText>
      </w:r>
      <w:r>
        <w:instrText xml:space="preserve"> </w:instrText>
      </w:r>
      <w:r>
        <w:fldChar w:fldCharType="separate"/>
      </w:r>
      <w:r>
        <w:rPr>
          <w:rFonts w:hint="eastAsia"/>
        </w:rPr>
        <w:t>图4-</w:t>
      </w:r>
      <w:r>
        <w:t>1</w:t>
      </w:r>
      <w:r>
        <w:fldChar w:fldCharType="end"/>
      </w:r>
      <w:r>
        <w:rPr>
          <w:rFonts w:hint="eastAsia"/>
        </w:rPr>
        <w:t>所示，其总体结构主要由三部分组成：多模态专属编码器，用于提取分子图、序列、指纹和文本等特征信息；表示映射模块，用于各个模态的维度对齐；融合与预测模块，用于模态间的特征交互，并输出最终的预测结果。</w:t>
      </w:r>
    </w:p>
    <w:p/>
    <w:p>
      <w:pPr>
        <w:ind w:firstLine="0" w:firstLineChars="0"/>
        <w:jc w:val="center"/>
      </w:pPr>
      <w:r>
        <w:drawing>
          <wp:inline distT="0" distB="0" distL="0" distR="0">
            <wp:extent cx="5269230" cy="3197860"/>
            <wp:effectExtent l="0" t="0" r="7620" b="2540"/>
            <wp:docPr id="10545269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6972" name="图片 4"/>
                    <pic:cNvPicPr>
                      <a:picLocks noChangeAspect="1"/>
                    </pic:cNvPicPr>
                  </pic:nvPicPr>
                  <pic:blipFill>
                    <a:blip r:embed="rId354"/>
                    <a:stretch>
                      <a:fillRect/>
                    </a:stretch>
                  </pic:blipFill>
                  <pic:spPr>
                    <a:xfrm>
                      <a:off x="0" y="0"/>
                      <a:ext cx="5269785" cy="3197860"/>
                    </a:xfrm>
                    <a:prstGeom prst="rect">
                      <a:avLst/>
                    </a:prstGeom>
                  </pic:spPr>
                </pic:pic>
              </a:graphicData>
            </a:graphic>
          </wp:inline>
        </w:drawing>
      </w:r>
    </w:p>
    <w:p>
      <w:pPr>
        <w:pStyle w:val="11"/>
      </w:pPr>
      <w:bookmarkStart w:id="96" w:name="_Ref224305148"/>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1</w:t>
      </w:r>
      <w:r>
        <w:fldChar w:fldCharType="end"/>
      </w:r>
      <w:bookmarkEnd w:id="96"/>
      <w:r>
        <w:rPr>
          <w:rFonts w:hint="eastAsia"/>
        </w:rPr>
        <w:t xml:space="preserve"> KGAMA模型架构</w:t>
      </w:r>
    </w:p>
    <w:p>
      <w:pPr>
        <w:pStyle w:val="4"/>
        <w:rPr>
          <w:rFonts w:hint="default"/>
        </w:rPr>
      </w:pPr>
      <w:bookmarkStart w:id="97" w:name="_Toc229423357"/>
      <w:r>
        <w:t>图编码器</w:t>
      </w:r>
      <w:bookmarkEnd w:id="97"/>
    </w:p>
    <w:p>
      <w:r>
        <w:rPr>
          <w:rFonts w:hint="eastAsia"/>
        </w:rPr>
        <w:t>图编码器构成了本框架的语义核心。本文使用Graphormer架构，旨在从拓扑连接与几何空间两个维度对分子图进行深度解构。区别传统图神经网络受限于局部感受野的缺陷，Graphormer在计算两个节点的时候使用三种编码策略：中心性编码用于量化原子的节点重要性，空间编码负责记录原子间的最短路径距离，而边缘编码则精确描述化学键类型。三种编码全部进入自注意力中进行计算，节点</w:t>
      </w:r>
      <w:r>
        <w:rPr>
          <w:position w:val="-12"/>
        </w:rPr>
        <w:object>
          <v:shape id="_x0000_i1182" o:spt="75" type="#_x0000_t75" style="height:18.6pt;width:12pt;" o:ole="t" filled="f" o:preferrelative="t" stroked="f" coordsize="21600,21600">
            <v:path/>
            <v:fill on="f" focussize="0,0"/>
            <v:stroke on="f" joinstyle="miter"/>
            <v:imagedata r:id="rId356" o:title=""/>
            <o:lock v:ext="edit" aspectratio="t"/>
            <w10:wrap type="none"/>
            <w10:anchorlock/>
          </v:shape>
          <o:OLEObject Type="Embed" ProgID="Equation.DSMT4" ShapeID="_x0000_i1182" DrawAspect="Content" ObjectID="_1468075882" r:id="rId355">
            <o:LockedField>false</o:LockedField>
          </o:OLEObject>
        </w:object>
      </w:r>
      <w:r>
        <w:rPr>
          <w:rFonts w:hint="eastAsia"/>
        </w:rPr>
        <w:t>和</w:t>
      </w:r>
      <w:r>
        <w:rPr>
          <w:position w:val="-14"/>
        </w:rPr>
        <w:object>
          <v:shape id="_x0000_i1183" o:spt="75" type="#_x0000_t75" style="height:18.6pt;width:12pt;" o:ole="t" filled="f" o:preferrelative="t" stroked="f" coordsize="21600,21600">
            <v:path/>
            <v:fill on="f" focussize="0,0"/>
            <v:stroke on="f" joinstyle="miter"/>
            <v:imagedata r:id="rId358" o:title=""/>
            <o:lock v:ext="edit" aspectratio="t"/>
            <w10:wrap type="none"/>
            <w10:anchorlock/>
          </v:shape>
          <o:OLEObject Type="Embed" ProgID="Equation.DSMT4" ShapeID="_x0000_i1183" DrawAspect="Content" ObjectID="_1468075883" r:id="rId357">
            <o:LockedField>false</o:LockedField>
          </o:OLEObject>
        </w:object>
      </w:r>
      <w:r>
        <w:rPr>
          <w:rFonts w:hint="eastAsia"/>
        </w:rPr>
        <w:t>之间的注意力计算如公式</w:t>
      </w:r>
      <w:r>
        <w:rPr>
          <w:iCs/>
        </w:rPr>
        <w:fldChar w:fldCharType="begin"/>
      </w:r>
      <w:r>
        <w:rPr>
          <w:iCs/>
        </w:rPr>
        <w:instrText xml:space="preserve"> </w:instrText>
      </w:r>
      <w:r>
        <w:rPr>
          <w:rFonts w:hint="eastAsia"/>
          <w:iCs/>
        </w:rPr>
        <w:instrText xml:space="preserve">GOTOBUTTON ZEqnNum718032  \* MERGEFORMAT</w:instrText>
      </w:r>
      <w:r>
        <w:rPr>
          <w:iCs/>
        </w:rPr>
        <w:instrText xml:space="preserve"> </w:instrText>
      </w:r>
      <w:r>
        <w:rPr>
          <w:iCs/>
        </w:rPr>
        <w:fldChar w:fldCharType="begin"/>
      </w:r>
      <w:r>
        <w:rPr>
          <w:iCs/>
        </w:rPr>
        <w:instrText xml:space="preserve"> REF ZEqnNum718032 \* Charformat \! \* MERGEFORMAT </w:instrText>
      </w:r>
      <w:r>
        <w:rPr>
          <w:iCs/>
        </w:rPr>
        <w:fldChar w:fldCharType="separate"/>
      </w:r>
      <w:r>
        <w:rPr>
          <w:iCs/>
        </w:rPr>
        <w:instrText xml:space="preserve">(4-1)</w:instrText>
      </w:r>
      <w:r>
        <w:rPr>
          <w:iCs/>
        </w:rPr>
        <w:fldChar w:fldCharType="end"/>
      </w:r>
      <w:r>
        <w:rPr>
          <w:iCs/>
        </w:rPr>
        <w:fldChar w:fldCharType="end"/>
      </w:r>
      <w:r>
        <w:rPr>
          <w:rFonts w:hint="eastAsia"/>
        </w:rPr>
        <w:t>所示：</w:t>
      </w:r>
    </w:p>
    <w:p>
      <w:pPr>
        <w:pStyle w:val="44"/>
        <w:spacing w:before="326" w:after="326"/>
      </w:pPr>
      <w:r>
        <w:tab/>
      </w:r>
      <w:r>
        <w:rPr>
          <w:position w:val="-34"/>
        </w:rPr>
        <w:object>
          <v:shape id="_x0000_i1184" o:spt="75" type="#_x0000_t75" style="height:38.4pt;width:207pt;" o:ole="t" filled="f" o:preferrelative="t" stroked="f" coordsize="21600,21600">
            <v:path/>
            <v:fill on="f" focussize="0,0"/>
            <v:stroke on="f" joinstyle="miter"/>
            <v:imagedata r:id="rId360" o:title=""/>
            <o:lock v:ext="edit" aspectratio="t"/>
            <w10:wrap type="none"/>
            <w10:anchorlock/>
          </v:shape>
          <o:OLEObject Type="Embed" ProgID="Equation.DSMT4" ShapeID="_x0000_i1184" DrawAspect="Content" ObjectID="_1468075884" r:id="rId35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8" w:name="ZEqnNum718032"/>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bookmarkEnd w:id="98"/>
      <w:r>
        <w:fldChar w:fldCharType="end"/>
      </w:r>
    </w:p>
    <w:p>
      <w:r>
        <w:rPr>
          <w:rFonts w:hint="eastAsia"/>
        </w:rPr>
        <w:t>经由多层Graphormer Layer的迭代处理，</w:t>
      </w:r>
      <w:r>
        <w:t>模型通过聚合全局虚拟节点的最终隐藏状态，输出具备高度结构保真度的图表征向量</w:t>
      </w:r>
      <w:r>
        <w:rPr>
          <w:position w:val="-14"/>
        </w:rPr>
        <w:object>
          <v:shape id="_x0000_i1185" o:spt="75" type="#_x0000_t75" style="height:18.6pt;width:15pt;" o:ole="t" filled="f" o:preferrelative="t" stroked="f" coordsize="21600,21600">
            <v:path/>
            <v:fill on="f" focussize="0,0"/>
            <v:stroke on="f" joinstyle="miter"/>
            <v:imagedata r:id="rId362" o:title=""/>
            <o:lock v:ext="edit" aspectratio="t"/>
            <w10:wrap type="none"/>
            <w10:anchorlock/>
          </v:shape>
          <o:OLEObject Type="Embed" ProgID="Equation.DSMT4" ShapeID="_x0000_i1185" DrawAspect="Content" ObjectID="_1468075885" r:id="rId361">
            <o:LockedField>false</o:LockedField>
          </o:OLEObject>
        </w:object>
      </w:r>
      <w:r>
        <w:rPr>
          <w:rFonts w:hint="eastAsia"/>
        </w:rPr>
        <w:t>，计算过程如公式</w:t>
      </w:r>
      <w:r>
        <w:rPr>
          <w:iCs/>
        </w:rPr>
        <w:fldChar w:fldCharType="begin"/>
      </w:r>
      <w:r>
        <w:rPr>
          <w:iCs/>
        </w:rPr>
        <w:instrText xml:space="preserve"> </w:instrText>
      </w:r>
      <w:r>
        <w:rPr>
          <w:rFonts w:hint="eastAsia"/>
          <w:iCs/>
        </w:rPr>
        <w:instrText xml:space="preserve">GOTOBUTTON ZEqnNum288518  \* MERGEFORMAT</w:instrText>
      </w:r>
      <w:r>
        <w:rPr>
          <w:iCs/>
        </w:rPr>
        <w:instrText xml:space="preserve"> </w:instrText>
      </w:r>
      <w:r>
        <w:rPr>
          <w:iCs/>
        </w:rPr>
        <w:fldChar w:fldCharType="begin"/>
      </w:r>
      <w:r>
        <w:rPr>
          <w:iCs/>
        </w:rPr>
        <w:instrText xml:space="preserve"> REF ZEqnNum288518 \* Charformat \! \* MERGEFORMAT </w:instrText>
      </w:r>
      <w:r>
        <w:rPr>
          <w:iCs/>
        </w:rPr>
        <w:fldChar w:fldCharType="separate"/>
      </w:r>
      <w:r>
        <w:rPr>
          <w:iCs/>
        </w:rPr>
        <w:instrText xml:space="preserve">(4-2)</w:instrText>
      </w:r>
      <w:r>
        <w:rPr>
          <w:iCs/>
        </w:rPr>
        <w:fldChar w:fldCharType="end"/>
      </w:r>
      <w:r>
        <w:rPr>
          <w:iCs/>
        </w:rPr>
        <w:fldChar w:fldCharType="end"/>
      </w:r>
      <w:r>
        <w:rPr>
          <w:rFonts w:hint="eastAsia"/>
          <w:iCs/>
        </w:rPr>
        <w:t>所示</w:t>
      </w:r>
      <w:r>
        <w:rPr>
          <w:rFonts w:hint="eastAsia"/>
        </w:rPr>
        <w:t>：</w:t>
      </w:r>
    </w:p>
    <w:p>
      <w:pPr>
        <w:pStyle w:val="44"/>
        <w:spacing w:before="326" w:after="326"/>
      </w:pPr>
      <w:r>
        <w:tab/>
      </w:r>
      <w:r>
        <w:rPr>
          <w:position w:val="-14"/>
        </w:rPr>
        <w:object>
          <v:shape id="_x0000_i1186" o:spt="75" type="#_x0000_t75" style="height:21.6pt;width:78pt;" o:ole="t" filled="f" o:preferrelative="t" stroked="f" coordsize="21600,21600">
            <v:path/>
            <v:fill on="f" focussize="0,0"/>
            <v:stroke on="f" joinstyle="miter"/>
            <v:imagedata r:id="rId364" o:title=""/>
            <o:lock v:ext="edit" aspectratio="t"/>
            <w10:wrap type="none"/>
            <w10:anchorlock/>
          </v:shape>
          <o:OLEObject Type="Embed" ProgID="Equation.DSMT4" ShapeID="_x0000_i1186" DrawAspect="Content" ObjectID="_1468075886" r:id="rId36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9" w:name="ZEqnNum288518"/>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bookmarkEnd w:id="99"/>
      <w:r>
        <w:fldChar w:fldCharType="end"/>
      </w:r>
    </w:p>
    <w:p>
      <w:r>
        <w:rPr>
          <w:rFonts w:hint="eastAsia"/>
        </w:rPr>
        <w:t>其中，</w:t>
      </w:r>
      <w:r>
        <w:rPr>
          <w:position w:val="-12"/>
        </w:rPr>
        <w:object>
          <v:shape id="_x0000_i1187" o:spt="75" type="#_x0000_t75" style="height:18.6pt;width:21.6pt;" o:ole="t" filled="f" o:preferrelative="t" stroked="f" coordsize="21600,21600">
            <v:path/>
            <v:fill on="f" focussize="0,0"/>
            <v:stroke on="f" joinstyle="miter"/>
            <v:imagedata r:id="rId366" o:title=""/>
            <o:lock v:ext="edit" aspectratio="t"/>
            <w10:wrap type="none"/>
            <w10:anchorlock/>
          </v:shape>
          <o:OLEObject Type="Embed" ProgID="Equation.DSMT4" ShapeID="_x0000_i1187" DrawAspect="Content" ObjectID="_1468075887" r:id="rId365">
            <o:LockedField>false</o:LockedField>
          </o:OLEObject>
        </w:object>
      </w:r>
      <w:r>
        <w:rPr>
          <w:rFonts w:hint="eastAsia"/>
        </w:rPr>
        <w:t>为最后一层虚拟节点的状态，虚拟节点在每一层都与所有的真实节点交换了信息，</w:t>
      </w:r>
      <w:r>
        <w:t>它的最终状态已经成为了整个分子图的全局图表示</w:t>
      </w:r>
      <w:r>
        <w:rPr>
          <w:rFonts w:hint="eastAsia"/>
        </w:rPr>
        <w:t>。</w:t>
      </w:r>
    </w:p>
    <w:p>
      <w:pPr>
        <w:pStyle w:val="4"/>
        <w:rPr>
          <w:rFonts w:hint="default"/>
        </w:rPr>
      </w:pPr>
      <w:bookmarkStart w:id="100" w:name="_Toc229423358"/>
      <w:r>
        <w:t>指纹编码器</w:t>
      </w:r>
      <w:bookmarkEnd w:id="100"/>
    </w:p>
    <w:p>
      <w:r>
        <w:t>分子指纹作为一种将分子局部子结构转化为二进制代码的数字化表征手段，其核心机制在于依据既定规则判定分子特定结构是否存在。基于编码策略之差异，现有指纹技术主要涵盖AtomPairs、MACCS及Morgan三类。</w:t>
      </w:r>
      <w:r>
        <w:fldChar w:fldCharType="begin"/>
      </w:r>
      <w:r>
        <w:instrText xml:space="preserve"> REF _Ref224305280 \h </w:instrText>
      </w:r>
      <w:r>
        <w:fldChar w:fldCharType="separate"/>
      </w:r>
      <w:r>
        <w:rPr>
          <w:rFonts w:hint="eastAsia"/>
        </w:rPr>
        <w:t>表4-</w:t>
      </w:r>
      <w:r>
        <w:t>1</w:t>
      </w:r>
      <w:r>
        <w:fldChar w:fldCharType="end"/>
      </w:r>
      <w:r>
        <w:t>详</w:t>
      </w:r>
      <w:r>
        <w:rPr>
          <w:rFonts w:hint="eastAsia"/>
        </w:rPr>
        <w:t>细展</w:t>
      </w:r>
      <w:r>
        <w:t>示了各指纹</w:t>
      </w:r>
      <w:r>
        <w:rPr>
          <w:rFonts w:hint="eastAsia"/>
        </w:rPr>
        <w:t>所</w:t>
      </w:r>
      <w:r>
        <w:t>能承载的信息维度。</w:t>
      </w:r>
    </w:p>
    <w:p>
      <w:pPr>
        <w:pStyle w:val="11"/>
      </w:pPr>
      <w:bookmarkStart w:id="101" w:name="_Ref224305280"/>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bookmarkEnd w:id="101"/>
      <w:r>
        <w:rPr>
          <w:rFonts w:hint="eastAsia"/>
        </w:rPr>
        <w:t xml:space="preserve"> 三种典型分子指纹特征的比较分析</w:t>
      </w:r>
    </w:p>
    <w:tbl>
      <w:tblPr>
        <w:tblStyle w:val="2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1"/>
        <w:gridCol w:w="2737"/>
        <w:gridCol w:w="2236"/>
        <w:gridCol w:w="223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bottom w:val="single" w:color="auto" w:sz="8" w:space="0"/>
            </w:tcBorders>
          </w:tcPr>
          <w:p>
            <w:pPr>
              <w:spacing w:line="300" w:lineRule="auto"/>
              <w:ind w:firstLine="0" w:firstLineChars="0"/>
              <w:jc w:val="center"/>
            </w:pPr>
            <w:r>
              <w:rPr>
                <w:rFonts w:hint="eastAsia"/>
              </w:rPr>
              <w:t>指纹类型</w:t>
            </w:r>
          </w:p>
        </w:tc>
        <w:tc>
          <w:tcPr>
            <w:tcW w:w="1430" w:type="pct"/>
            <w:tcBorders>
              <w:bottom w:val="single" w:color="auto" w:sz="8" w:space="0"/>
            </w:tcBorders>
          </w:tcPr>
          <w:p>
            <w:pPr>
              <w:spacing w:line="300" w:lineRule="auto"/>
              <w:ind w:firstLine="0" w:firstLineChars="0"/>
              <w:jc w:val="center"/>
            </w:pPr>
            <w:r>
              <w:rPr>
                <w:rFonts w:hint="eastAsia"/>
              </w:rPr>
              <w:t>结构信息</w:t>
            </w:r>
          </w:p>
        </w:tc>
        <w:tc>
          <w:tcPr>
            <w:tcW w:w="1168" w:type="pct"/>
            <w:tcBorders>
              <w:bottom w:val="single" w:color="auto" w:sz="8" w:space="0"/>
            </w:tcBorders>
          </w:tcPr>
          <w:p>
            <w:pPr>
              <w:spacing w:line="300" w:lineRule="auto"/>
              <w:ind w:firstLine="0" w:firstLineChars="0"/>
              <w:jc w:val="center"/>
            </w:pPr>
            <w:r>
              <w:rPr>
                <w:rFonts w:hint="eastAsia"/>
              </w:rPr>
              <w:t>功能信息</w:t>
            </w:r>
          </w:p>
        </w:tc>
        <w:tc>
          <w:tcPr>
            <w:tcW w:w="1168" w:type="pct"/>
            <w:tcBorders>
              <w:bottom w:val="single" w:color="auto" w:sz="8" w:space="0"/>
            </w:tcBorders>
          </w:tcPr>
          <w:p>
            <w:pPr>
              <w:spacing w:line="300" w:lineRule="auto"/>
              <w:ind w:firstLine="0" w:firstLineChars="0"/>
              <w:jc w:val="center"/>
            </w:pPr>
            <w:r>
              <w:rPr>
                <w:rFonts w:hint="eastAsia"/>
              </w:rPr>
              <w:t>拓扑信息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8" w:space="0"/>
              <w:tl2br w:val="nil"/>
              <w:tr2bl w:val="nil"/>
            </w:tcBorders>
          </w:tcPr>
          <w:p>
            <w:pPr>
              <w:spacing w:line="300" w:lineRule="auto"/>
              <w:ind w:firstLine="0" w:firstLineChars="0"/>
              <w:jc w:val="center"/>
            </w:pPr>
            <w:r>
              <w:rPr>
                <w:rFonts w:hint="eastAsia"/>
              </w:rPr>
              <w:t xml:space="preserve">AtomPairs </w:t>
            </w:r>
          </w:p>
        </w:tc>
        <w:tc>
          <w:tcPr>
            <w:tcW w:w="1430" w:type="pct"/>
            <w:tcBorders>
              <w:top w:val="single" w:color="auto" w:sz="8" w:space="0"/>
              <w:tl2br w:val="nil"/>
              <w:tr2bl w:val="nil"/>
            </w:tcBorders>
          </w:tcPr>
          <w:p>
            <w:pPr>
              <w:spacing w:line="300" w:lineRule="auto"/>
              <w:ind w:firstLine="0" w:firstLineChars="0"/>
              <w:jc w:val="center"/>
              <w:rPr>
                <w:b/>
                <w:bCs/>
              </w:rPr>
            </w:pPr>
            <w:r>
              <w:rPr>
                <w:rFonts w:hint="eastAsia"/>
                <w:b/>
                <w:bCs/>
              </w:rPr>
              <w:t>√</w:t>
            </w:r>
          </w:p>
        </w:tc>
        <w:tc>
          <w:tcPr>
            <w:tcW w:w="1168" w:type="pct"/>
            <w:tcBorders>
              <w:top w:val="single" w:color="auto" w:sz="8" w:space="0"/>
              <w:tl2br w:val="nil"/>
              <w:tr2bl w:val="nil"/>
            </w:tcBorders>
          </w:tcPr>
          <w:p>
            <w:pPr>
              <w:spacing w:line="300" w:lineRule="auto"/>
              <w:ind w:firstLine="0" w:firstLineChars="0"/>
              <w:jc w:val="center"/>
              <w:rPr>
                <w:b/>
                <w:bCs/>
              </w:rPr>
            </w:pPr>
          </w:p>
        </w:tc>
        <w:tc>
          <w:tcPr>
            <w:tcW w:w="1168" w:type="pct"/>
            <w:tcBorders>
              <w:top w:val="single" w:color="auto" w:sz="8" w:space="0"/>
              <w:tl2br w:val="nil"/>
              <w:tr2bl w:val="nil"/>
            </w:tcBorders>
          </w:tcPr>
          <w:p>
            <w:pPr>
              <w:spacing w:line="300" w:lineRule="auto"/>
              <w:ind w:firstLine="0" w:firstLineChars="0"/>
              <w:jc w:val="center"/>
              <w:rPr>
                <w:b/>
                <w:bCs/>
              </w:rPr>
            </w:pPr>
            <w:r>
              <w:rPr>
                <w:rFonts w:hint="eastAsia"/>
                <w:b/>
                <w:bCs/>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l2br w:val="nil"/>
              <w:tr2bl w:val="nil"/>
            </w:tcBorders>
          </w:tcPr>
          <w:p>
            <w:pPr>
              <w:spacing w:line="300" w:lineRule="auto"/>
              <w:ind w:firstLine="0" w:firstLineChars="0"/>
              <w:jc w:val="center"/>
            </w:pPr>
            <w:r>
              <w:rPr>
                <w:rFonts w:hint="eastAsia"/>
              </w:rPr>
              <w:t xml:space="preserve">MACCS </w:t>
            </w:r>
          </w:p>
        </w:tc>
        <w:tc>
          <w:tcPr>
            <w:tcW w:w="1430" w:type="pct"/>
            <w:tcBorders>
              <w:tl2br w:val="nil"/>
              <w:tr2bl w:val="nil"/>
            </w:tcBorders>
          </w:tcPr>
          <w:p>
            <w:pPr>
              <w:spacing w:line="300" w:lineRule="auto"/>
              <w:ind w:firstLine="0" w:firstLineChars="0"/>
              <w:jc w:val="center"/>
              <w:rPr>
                <w:b/>
                <w:bCs/>
              </w:rPr>
            </w:pPr>
            <w:r>
              <w:rPr>
                <w:rFonts w:hint="eastAsia"/>
                <w:b/>
                <w:bCs/>
              </w:rPr>
              <w:t>√</w:t>
            </w:r>
          </w:p>
        </w:tc>
        <w:tc>
          <w:tcPr>
            <w:tcW w:w="1168" w:type="pct"/>
            <w:tcBorders>
              <w:tl2br w:val="nil"/>
              <w:tr2bl w:val="nil"/>
            </w:tcBorders>
          </w:tcPr>
          <w:p>
            <w:pPr>
              <w:spacing w:line="300" w:lineRule="auto"/>
              <w:ind w:firstLine="0" w:firstLineChars="0"/>
              <w:jc w:val="center"/>
              <w:rPr>
                <w:b/>
                <w:bCs/>
              </w:rPr>
            </w:pPr>
            <w:r>
              <w:rPr>
                <w:rFonts w:hint="eastAsia"/>
                <w:b/>
                <w:bCs/>
              </w:rPr>
              <w:t>√</w:t>
            </w:r>
          </w:p>
        </w:tc>
        <w:tc>
          <w:tcPr>
            <w:tcW w:w="1168" w:type="pct"/>
            <w:tcBorders>
              <w:tl2br w:val="nil"/>
              <w:tr2bl w:val="nil"/>
            </w:tcBorders>
          </w:tcPr>
          <w:p>
            <w:pPr>
              <w:spacing w:line="300" w:lineRule="auto"/>
              <w:ind w:firstLine="0" w:firstLineChars="0"/>
              <w:jc w:val="center"/>
              <w:rPr>
                <w:b/>
                <w:bCs/>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l2br w:val="nil"/>
              <w:tr2bl w:val="nil"/>
            </w:tcBorders>
          </w:tcPr>
          <w:p>
            <w:pPr>
              <w:spacing w:line="300" w:lineRule="auto"/>
              <w:ind w:firstLine="0" w:firstLineChars="0"/>
              <w:jc w:val="center"/>
            </w:pPr>
            <w:r>
              <w:t>Morgan</w:t>
            </w:r>
          </w:p>
        </w:tc>
        <w:tc>
          <w:tcPr>
            <w:tcW w:w="1430" w:type="pct"/>
            <w:tcBorders>
              <w:tl2br w:val="nil"/>
              <w:tr2bl w:val="nil"/>
            </w:tcBorders>
          </w:tcPr>
          <w:p>
            <w:pPr>
              <w:spacing w:line="300" w:lineRule="auto"/>
              <w:ind w:firstLine="0" w:firstLineChars="0"/>
              <w:jc w:val="center"/>
              <w:rPr>
                <w:b/>
                <w:bCs/>
              </w:rPr>
            </w:pPr>
            <w:r>
              <w:rPr>
                <w:rFonts w:hint="eastAsia"/>
                <w:b/>
                <w:bCs/>
              </w:rPr>
              <w:t>√</w:t>
            </w:r>
          </w:p>
        </w:tc>
        <w:tc>
          <w:tcPr>
            <w:tcW w:w="1168" w:type="pct"/>
            <w:tcBorders>
              <w:tl2br w:val="nil"/>
              <w:tr2bl w:val="nil"/>
            </w:tcBorders>
          </w:tcPr>
          <w:p>
            <w:pPr>
              <w:spacing w:line="300" w:lineRule="auto"/>
              <w:ind w:firstLine="0" w:firstLineChars="0"/>
              <w:jc w:val="center"/>
              <w:rPr>
                <w:b/>
                <w:bCs/>
              </w:rPr>
            </w:pPr>
          </w:p>
        </w:tc>
        <w:tc>
          <w:tcPr>
            <w:tcW w:w="1168" w:type="pct"/>
            <w:tcBorders>
              <w:tl2br w:val="nil"/>
              <w:tr2bl w:val="nil"/>
            </w:tcBorders>
          </w:tcPr>
          <w:p>
            <w:pPr>
              <w:spacing w:line="300" w:lineRule="auto"/>
              <w:ind w:firstLine="0" w:firstLineChars="0"/>
              <w:jc w:val="center"/>
              <w:rPr>
                <w:b/>
                <w:bCs/>
              </w:rPr>
            </w:pPr>
            <w:r>
              <w:rPr>
                <w:rFonts w:hint="eastAsia"/>
                <w:b/>
                <w:bCs/>
              </w:rPr>
              <w:t>√</w:t>
            </w:r>
          </w:p>
        </w:tc>
      </w:tr>
    </w:tbl>
    <w:p/>
    <w:p>
      <w:r>
        <w:t>AtomPairs指纹侧重于提取分子内全部非氢原子对的拓扑特征，该方法依照原子类型及原子间最短路径距离实施编码，进而有效捕捉分子内部空间关联与结构属性，尤为适宜表征分散官能团与整体构型间之关系。MACCS指纹则建立于166个结构密钥基础之上</w:t>
      </w:r>
      <w:r>
        <w:rPr>
          <w:rFonts w:hint="eastAsia"/>
        </w:rPr>
        <w:t>，</w:t>
      </w:r>
      <w:r>
        <w:t>形成二进制序列，每一密钥均指向特定分子子结构或化学特性；若分子具备密钥定义之结构，对应位赋值为1，反之则</w:t>
      </w:r>
      <w:r>
        <w:rPr>
          <w:rFonts w:hint="eastAsia"/>
        </w:rPr>
        <w:t>赋值为</w:t>
      </w:r>
      <w:r>
        <w:t>0。本</w:t>
      </w:r>
      <w:r>
        <w:rPr>
          <w:rFonts w:hint="eastAsia"/>
        </w:rPr>
        <w:t>文</w:t>
      </w:r>
      <w:r>
        <w:t>中，Morgan算法参数设定为半径2，比特数2048。</w:t>
      </w:r>
    </w:p>
    <w:p>
      <w:r>
        <w:t>前述三种指纹凭借相异编码策略，实现了对分子结构信息的多维覆盖，有效规避了单一类型之局限。综合利用三者有助于构建更为精细的分子特征</w:t>
      </w:r>
      <w:r>
        <w:rPr>
          <w:rFonts w:hint="eastAsia"/>
        </w:rPr>
        <w:t>序列</w:t>
      </w:r>
      <w:r>
        <w:t>，为模型训练提供强劲的输入支撑。实验将三种指纹拼接并导入分子指纹编码器，借助包含激活函数的多层感知机</w:t>
      </w:r>
      <w:r>
        <w:rPr>
          <w:rFonts w:hint="eastAsia"/>
        </w:rPr>
        <w:t>学</w:t>
      </w:r>
      <w:r>
        <w:t>习</w:t>
      </w:r>
      <w:r>
        <w:rPr>
          <w:rFonts w:hint="eastAsia"/>
        </w:rPr>
        <w:t>到</w:t>
      </w:r>
      <w:r>
        <w:t>非线性映射关系，将其投影</w:t>
      </w:r>
      <w:r>
        <w:rPr>
          <w:rFonts w:hint="eastAsia"/>
        </w:rPr>
        <w:t>到一个</w:t>
      </w:r>
      <w:r>
        <w:t>统一</w:t>
      </w:r>
      <w:r>
        <w:rPr>
          <w:rFonts w:hint="eastAsia"/>
        </w:rPr>
        <w:t>的</w:t>
      </w:r>
      <w:r>
        <w:t>向量空间</w:t>
      </w:r>
      <w:r>
        <w:rPr>
          <w:rFonts w:hint="eastAsia"/>
        </w:rPr>
        <w:t>中</w:t>
      </w:r>
      <w:r>
        <w:t>。具体</w:t>
      </w:r>
      <w:r>
        <w:rPr>
          <w:rFonts w:hint="eastAsia"/>
        </w:rPr>
        <w:t>计算过程</w:t>
      </w:r>
      <w:r>
        <w:t>如</w:t>
      </w:r>
      <w:r>
        <w:rPr>
          <w:rFonts w:hint="eastAsia"/>
        </w:rPr>
        <w:t>公式</w:t>
      </w:r>
      <w:r>
        <w:rPr>
          <w:iCs/>
        </w:rPr>
        <w:fldChar w:fldCharType="begin"/>
      </w:r>
      <w:r>
        <w:rPr>
          <w:iCs/>
        </w:rPr>
        <w:instrText xml:space="preserve"> </w:instrText>
      </w:r>
      <w:r>
        <w:rPr>
          <w:rFonts w:hint="eastAsia"/>
          <w:iCs/>
        </w:rPr>
        <w:instrText xml:space="preserve">GOTOBUTTON ZEqnNum111326  \* MERGEFORMAT</w:instrText>
      </w:r>
      <w:r>
        <w:rPr>
          <w:iCs/>
        </w:rPr>
        <w:instrText xml:space="preserve"> </w:instrText>
      </w:r>
      <w:r>
        <w:rPr>
          <w:iCs/>
        </w:rPr>
        <w:fldChar w:fldCharType="begin"/>
      </w:r>
      <w:r>
        <w:rPr>
          <w:iCs/>
        </w:rPr>
        <w:instrText xml:space="preserve"> REF ZEqnNum111326 \* Charformat \! \* MERGEFORMAT </w:instrText>
      </w:r>
      <w:r>
        <w:rPr>
          <w:iCs/>
        </w:rPr>
        <w:fldChar w:fldCharType="separate"/>
      </w:r>
      <w:r>
        <w:rPr>
          <w:iCs/>
        </w:rPr>
        <w:instrText xml:space="preserve">(4-3)</w:instrText>
      </w:r>
      <w:r>
        <w:rPr>
          <w:iCs/>
        </w:rPr>
        <w:fldChar w:fldCharType="end"/>
      </w:r>
      <w:r>
        <w:rPr>
          <w:iCs/>
        </w:rPr>
        <w:fldChar w:fldCharType="end"/>
      </w:r>
      <w:r>
        <w:rPr>
          <w:rFonts w:hint="eastAsia"/>
        </w:rPr>
        <w:t>所示</w:t>
      </w:r>
      <w:r>
        <w:t>：</w:t>
      </w:r>
    </w:p>
    <w:p>
      <w:pPr>
        <w:pStyle w:val="44"/>
        <w:spacing w:before="326" w:after="326"/>
      </w:pPr>
      <w:r>
        <w:tab/>
      </w:r>
      <w:r>
        <w:rPr>
          <w:position w:val="-16"/>
        </w:rPr>
        <w:object>
          <v:shape id="_x0000_i1188" o:spt="75" type="#_x0000_t75" style="height:21pt;width:160.8pt;" o:ole="t" filled="f" o:preferrelative="t" stroked="f" coordsize="21600,21600">
            <v:path/>
            <v:fill on="f" focussize="0,0"/>
            <v:stroke on="f" joinstyle="miter"/>
            <v:imagedata r:id="rId368" o:title=""/>
            <o:lock v:ext="edit" aspectratio="t"/>
            <w10:wrap type="none"/>
            <w10:anchorlock/>
          </v:shape>
          <o:OLEObject Type="Embed" ProgID="Equation.DSMT4" ShapeID="_x0000_i1188" DrawAspect="Content" ObjectID="_1468075888" r:id="rId36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2" w:name="ZEqnNum111326"/>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bookmarkEnd w:id="102"/>
      <w:r>
        <w:fldChar w:fldCharType="end"/>
      </w:r>
    </w:p>
    <w:p>
      <w:r>
        <w:rPr>
          <w:rFonts w:hint="eastAsia"/>
        </w:rPr>
        <w:t>其</w:t>
      </w:r>
      <w:r>
        <w:t>中</w:t>
      </w:r>
      <w:r>
        <w:rPr>
          <w:position w:val="-10"/>
        </w:rPr>
        <w:object>
          <v:shape id="_x0000_i1189" o:spt="75" type="#_x0000_t75" style="height:16.2pt;width:27pt;" o:ole="t" filled="f" o:preferrelative="t" stroked="f" coordsize="21600,21600">
            <v:path/>
            <v:fill on="f" focussize="0,0"/>
            <v:stroke on="f" joinstyle="miter"/>
            <v:imagedata r:id="rId370" o:title=""/>
            <o:lock v:ext="edit" aspectratio="t"/>
            <w10:wrap type="none"/>
            <w10:anchorlock/>
          </v:shape>
          <o:OLEObject Type="Embed" ProgID="Equation.DSMT4" ShapeID="_x0000_i1189" DrawAspect="Content" ObjectID="_1468075889" r:id="rId369">
            <o:LockedField>false</o:LockedField>
          </o:OLEObject>
        </w:object>
      </w:r>
      <w:r>
        <w:t>代表AtomPairs指纹，</w:t>
      </w:r>
      <w:r>
        <w:rPr>
          <w:position w:val="-10"/>
        </w:rPr>
        <w:object>
          <v:shape id="_x0000_i1190" o:spt="75" type="#_x0000_t75" style="height:16.2pt;width:27pt;" o:ole="t" filled="f" o:preferrelative="t" stroked="f" coordsize="21600,21600">
            <v:path/>
            <v:fill on="f" focussize="0,0"/>
            <v:stroke on="f" joinstyle="miter"/>
            <v:imagedata r:id="rId372" o:title=""/>
            <o:lock v:ext="edit" aspectratio="t"/>
            <w10:wrap type="none"/>
            <w10:anchorlock/>
          </v:shape>
          <o:OLEObject Type="Embed" ProgID="Equation.DSMT4" ShapeID="_x0000_i1190" DrawAspect="Content" ObjectID="_1468075890" r:id="rId371">
            <o:LockedField>false</o:LockedField>
          </o:OLEObject>
        </w:object>
      </w:r>
      <w:r>
        <w:t>指代MACCS指纹，</w:t>
      </w:r>
      <w:r>
        <w:rPr>
          <w:position w:val="-10"/>
        </w:rPr>
        <w:object>
          <v:shape id="_x0000_i1191" o:spt="75" type="#_x0000_t75" style="height:16.2pt;width:28.2pt;" o:ole="t" filled="f" o:preferrelative="t" stroked="f" coordsize="21600,21600">
            <v:path/>
            <v:fill on="f" focussize="0,0"/>
            <v:stroke on="f" joinstyle="miter"/>
            <v:imagedata r:id="rId374" o:title=""/>
            <o:lock v:ext="edit" aspectratio="t"/>
            <w10:wrap type="none"/>
            <w10:anchorlock/>
          </v:shape>
          <o:OLEObject Type="Embed" ProgID="Equation.DSMT4" ShapeID="_x0000_i1191" DrawAspect="Content" ObjectID="_1468075891" r:id="rId373">
            <o:LockedField>false</o:LockedField>
          </o:OLEObject>
        </w:object>
      </w:r>
      <w:r>
        <w:t>为Morgan指纹；</w:t>
      </w:r>
      <m:oMath>
        <m:r>
          <m:rPr>
            <m:sty m:val="p"/>
          </m:rPr>
          <w:rPr>
            <w:rFonts w:ascii="Cambria Math" w:hAnsi="Cambria Math"/>
          </w:rPr>
          <m:t>σ</m:t>
        </m:r>
      </m:oMath>
      <w:r>
        <w:t>表示ReLU激活函数，</w:t>
      </w:r>
      <w:r>
        <w:rPr>
          <w:position w:val="-6"/>
        </w:rPr>
        <w:object>
          <v:shape id="_x0000_i1192" o:spt="75" type="#_x0000_t75" style="height:13.8pt;width:13.8pt;" o:ole="t" filled="f" o:preferrelative="t" stroked="f" coordsize="21600,21600">
            <v:path/>
            <v:fill on="f" focussize="0,0"/>
            <v:stroke on="f" joinstyle="miter"/>
            <v:imagedata r:id="rId376" o:title=""/>
            <o:lock v:ext="edit" aspectratio="t"/>
            <w10:wrap type="none"/>
            <w10:anchorlock/>
          </v:shape>
          <o:OLEObject Type="Embed" ProgID="Equation.DSMT4" ShapeID="_x0000_i1192" DrawAspect="Content" ObjectID="_1468075892" r:id="rId375">
            <o:LockedField>false</o:LockedField>
          </o:OLEObject>
        </w:object>
      </w:r>
      <w:r>
        <w:t>与</w:t>
      </w:r>
      <w:r>
        <w:rPr>
          <w:position w:val="-6"/>
        </w:rPr>
        <w:object>
          <v:shape id="_x0000_i1193" o:spt="75" type="#_x0000_t75" style="height:13.8pt;width:10.2pt;" o:ole="t" filled="f" o:preferrelative="t" stroked="f" coordsize="21600,21600">
            <v:path/>
            <v:fill on="f" focussize="0,0"/>
            <v:stroke on="f" joinstyle="miter"/>
            <v:imagedata r:id="rId378" o:title=""/>
            <o:lock v:ext="edit" aspectratio="t"/>
            <w10:wrap type="none"/>
            <w10:anchorlock/>
          </v:shape>
          <o:OLEObject Type="Embed" ProgID="Equation.DSMT4" ShapeID="_x0000_i1193" DrawAspect="Content" ObjectID="_1468075893" r:id="rId377">
            <o:LockedField>false</o:LockedField>
          </o:OLEObject>
        </w:object>
      </w:r>
      <w:r>
        <w:t>分别对应权重矩阵及偏置向量。</w:t>
      </w:r>
    </w:p>
    <w:p>
      <w:pPr>
        <w:pStyle w:val="4"/>
        <w:rPr>
          <w:rFonts w:hint="default"/>
        </w:rPr>
      </w:pPr>
      <w:commentRangeStart w:id="4"/>
      <w:bookmarkStart w:id="103" w:name="_Toc229423359"/>
      <w:r>
        <w:t>序列编码器</w:t>
      </w:r>
      <w:bookmarkEnd w:id="103"/>
      <w:commentRangeEnd w:id="4"/>
      <w:r>
        <w:commentReference w:id="4"/>
      </w:r>
    </w:p>
    <w:p>
      <w:r>
        <w:t>SMILES字符串虽以线性文本形式存在，其本质却蕴含着复杂的化学拓扑逻辑与层次化结构。鉴于此，本文摒弃了传统的循环神经网络方案，转而采用RoBERTa</w:t>
      </w:r>
      <w:r>
        <w:rPr>
          <w:vertAlign w:val="superscript"/>
        </w:rPr>
        <w:fldChar w:fldCharType="begin"/>
      </w:r>
      <w:r>
        <w:rPr>
          <w:vertAlign w:val="superscript"/>
        </w:rPr>
        <w:instrText xml:space="preserve"> REF _Ref225764226 \r \h  \* MERGEFORMAT </w:instrText>
      </w:r>
      <w:r>
        <w:rPr>
          <w:vertAlign w:val="superscript"/>
        </w:rPr>
        <w:fldChar w:fldCharType="separate"/>
      </w:r>
      <w:r>
        <w:rPr>
          <w:vertAlign w:val="superscript"/>
        </w:rPr>
        <w:t>[65]</w:t>
      </w:r>
      <w:r>
        <w:rPr>
          <w:vertAlign w:val="superscript"/>
        </w:rPr>
        <w:fldChar w:fldCharType="end"/>
      </w:r>
      <w:r>
        <w:t>变体Transformer架构作为序列特征提取引擎。相较于RNN易受梯度消失困扰的固有缺陷，该架构凭借全局自注意力机制，具备跨越线性序列距离、直接锁定远端原子关联的能力。输入流处理：原始SMILES序列经由分词器离散化为Token流后，</w:t>
      </w:r>
      <w:r>
        <w:rPr>
          <w:rFonts w:hint="eastAsia"/>
        </w:rPr>
        <w:t>其</w:t>
      </w:r>
      <w:r>
        <w:t>序列首部植入全局表征符[CLS]，以此作为整个分子序列信息的聚合锚点。如</w:t>
      </w:r>
      <w:r>
        <w:fldChar w:fldCharType="begin"/>
      </w:r>
      <w:r>
        <w:instrText xml:space="preserve"> REF _Ref224305148 \h </w:instrText>
      </w:r>
      <w:r>
        <w:fldChar w:fldCharType="separate"/>
      </w:r>
      <w:r>
        <w:rPr>
          <w:rFonts w:hint="eastAsia"/>
        </w:rPr>
        <w:t>图4-</w:t>
      </w:r>
      <w:r>
        <w:t>1</w:t>
      </w:r>
      <w:r>
        <w:fldChar w:fldCharType="end"/>
      </w:r>
      <w:r>
        <w:t>所示，借助多头注意力层，模型能够穿透线性的字符间隔，精准捕捉支链末端或大环闭合点间的空间语义一致性。最终层输出的[CLS]隐状态向量被提取为序列全局表征</w:t>
      </w:r>
      <m:oMath>
        <m:sSub>
          <m:sSubPr>
            <m:ctrlPr>
              <w:rPr>
                <w:rFonts w:ascii="Cambria Math" w:hAnsi="Cambria Math"/>
              </w:rPr>
            </m:ctrlPr>
          </m:sSubPr>
          <m:e>
            <m:r>
              <w:rPr>
                <w:rFonts w:ascii="Cambria Math"/>
              </w:rPr>
              <m:t>F</m:t>
            </m:r>
            <m:ctrlPr>
              <w:rPr>
                <w:rFonts w:ascii="Cambria Math" w:hAnsi="Cambria Math"/>
              </w:rPr>
            </m:ctrlPr>
          </m:e>
          <m:sub>
            <m:r>
              <w:rPr>
                <w:rFonts w:ascii="Cambria Math"/>
              </w:rPr>
              <m:t>s</m:t>
            </m:r>
            <m:ctrlPr>
              <w:rPr>
                <w:rFonts w:ascii="Cambria Math" w:hAnsi="Cambria Math"/>
              </w:rPr>
            </m:ctrlPr>
          </m:sub>
        </m:sSub>
      </m:oMath>
      <w:r>
        <w:t>，随后经由全连接层映射至与图特征</w:t>
      </w:r>
      <m:oMath>
        <m:sSub>
          <m:sSubPr>
            <m:ctrlPr>
              <w:rPr>
                <w:rFonts w:ascii="Cambria Math" w:hAnsi="Cambria Math"/>
              </w:rPr>
            </m:ctrlPr>
          </m:sSubPr>
          <m:e>
            <m:r>
              <m:rPr>
                <m:nor/>
                <m:sty m:val="p"/>
              </m:rPr>
              <m:t>F</m:t>
            </m:r>
            <m:ctrlPr>
              <w:rPr>
                <w:rFonts w:ascii="Cambria Math" w:hAnsi="Cambria Math"/>
              </w:rPr>
            </m:ctrlPr>
          </m:e>
          <m:sub>
            <m:r>
              <m:rPr>
                <m:nor/>
                <m:sty m:val="p"/>
              </m:rPr>
              <m:t>g</m:t>
            </m:r>
            <m:ctrlPr>
              <w:rPr>
                <w:rFonts w:ascii="Cambria Math" w:hAnsi="Cambria Math"/>
              </w:rPr>
            </m:ctrlPr>
          </m:sub>
        </m:sSub>
      </m:oMath>
      <w:r>
        <w:t>等维的语义空间，为后续的跨模态对齐奠定维度基础。</w:t>
      </w:r>
    </w:p>
    <w:p>
      <w:pPr>
        <w:pStyle w:val="4"/>
        <w:rPr>
          <w:rFonts w:hint="default"/>
        </w:rPr>
      </w:pPr>
      <w:bookmarkStart w:id="104" w:name="_Toc229423360"/>
      <w:r>
        <w:t>文本编码器</w:t>
      </w:r>
      <w:bookmarkEnd w:id="104"/>
    </w:p>
    <w:p>
      <w:r>
        <w:t>该模块</w:t>
      </w:r>
      <w:r>
        <w:rPr>
          <w:rFonts w:hint="eastAsia"/>
        </w:rPr>
        <w:t>体现</w:t>
      </w:r>
      <w:r>
        <w:t>了本文核心创新点之一</w:t>
      </w:r>
      <w:r>
        <w:rPr>
          <w:rFonts w:hint="eastAsia"/>
        </w:rPr>
        <w:t>，即</w:t>
      </w:r>
      <w:r>
        <w:t>知识增强重写。</w:t>
      </w:r>
      <w:r>
        <w:rPr>
          <w:rFonts w:hint="eastAsia"/>
        </w:rPr>
        <w:t>针对原始数据库文本可能存在的噪声干扰与信息冗余，本文设计了如下处理链路：</w:t>
      </w:r>
    </w:p>
    <w:p>
      <w:r>
        <w:rPr>
          <w:rFonts w:hint="eastAsia"/>
        </w:rPr>
        <w:t>（1） 知识注入：利用PubChem API获取原始描述，并融合由RDKit计算得出的11项关键理化指标，如LogP、TPSA等。</w:t>
      </w:r>
    </w:p>
    <w:p>
      <w:r>
        <w:rPr>
          <w:rFonts w:hint="eastAsia"/>
        </w:rPr>
        <w:t>（2） 知识重写：利用大语言模型充当领域专家，将定量的理化数值与定性的文本描述有机融合，生成逻辑严密、去噪后的高质量文本。</w:t>
      </w:r>
    </w:p>
    <w:p>
      <w:r>
        <w:rPr>
          <w:rFonts w:hint="eastAsia"/>
        </w:rPr>
        <w:t>（3） 语义编码：重写后的文本被送入预训练SciBERT</w:t>
      </w:r>
      <w:r>
        <w:rPr>
          <w:vertAlign w:val="superscript"/>
        </w:rPr>
        <w:fldChar w:fldCharType="begin"/>
      </w:r>
      <w:r>
        <w:rPr>
          <w:vertAlign w:val="superscript"/>
        </w:rPr>
        <w:instrText xml:space="preserve"> </w:instrText>
      </w:r>
      <w:r>
        <w:rPr>
          <w:rFonts w:hint="eastAsia"/>
          <w:vertAlign w:val="superscript"/>
        </w:rPr>
        <w:instrText xml:space="preserve">REF _Ref225764254 \r \h</w:instrText>
      </w:r>
      <w:r>
        <w:rPr>
          <w:vertAlign w:val="superscript"/>
        </w:rPr>
        <w:instrText xml:space="preserve">  \* MERGEFORMAT </w:instrText>
      </w:r>
      <w:r>
        <w:rPr>
          <w:vertAlign w:val="superscript"/>
        </w:rPr>
        <w:fldChar w:fldCharType="separate"/>
      </w:r>
      <w:r>
        <w:rPr>
          <w:vertAlign w:val="superscript"/>
        </w:rPr>
        <w:t>[66]</w:t>
      </w:r>
      <w:r>
        <w:rPr>
          <w:vertAlign w:val="superscript"/>
        </w:rPr>
        <w:fldChar w:fldCharType="end"/>
      </w:r>
      <w:r>
        <w:rPr>
          <w:rFonts w:hint="eastAsia"/>
        </w:rPr>
        <w:t>编码器。得益于其在海量科学文献上的预训练先验，SciBERT能够敏锐捕捉分子描述中的专业术语语义，最终输出高密度的文本特征向量</w:t>
      </w:r>
      <m:oMath>
        <m:sSub>
          <m:sSubPr>
            <m:ctrlPr>
              <w:rPr>
                <w:rFonts w:ascii="Cambria Math" w:hAnsi="Cambria Math"/>
              </w:rPr>
            </m:ctrlPr>
          </m:sSubPr>
          <m:e>
            <m:r>
              <m:rPr>
                <m:nor/>
                <m:sty m:val="p"/>
              </m:rPr>
              <m:t>F</m:t>
            </m:r>
            <m:ctrlPr>
              <w:rPr>
                <w:rFonts w:ascii="Cambria Math" w:hAnsi="Cambria Math"/>
              </w:rPr>
            </m:ctrlPr>
          </m:e>
          <m:sub>
            <m:r>
              <m:rPr>
                <m:nor/>
                <m:sty m:val="p"/>
              </m:rPr>
              <m:t>t</m:t>
            </m:r>
            <m:ctrlPr>
              <w:rPr>
                <w:rFonts w:ascii="Cambria Math" w:hAnsi="Cambria Math"/>
              </w:rPr>
            </m:ctrlPr>
          </m:sub>
        </m:sSub>
      </m:oMath>
      <w:r>
        <w:rPr>
          <w:rFonts w:hint="eastAsia"/>
        </w:rPr>
        <w:t>。</w:t>
      </w:r>
    </w:p>
    <w:p>
      <w:pPr>
        <w:pStyle w:val="4"/>
        <w:rPr>
          <w:rFonts w:hint="default"/>
        </w:rPr>
      </w:pPr>
      <w:bookmarkStart w:id="105" w:name="_Toc229423361"/>
      <w:r>
        <w:t>融合与预测</w:t>
      </w:r>
      <w:bookmarkEnd w:id="105"/>
    </w:p>
    <w:p>
      <w:r>
        <w:t>在下游任务微调阶段，模型通过交叉注意力机制实现多模态信息的自适应融合。该机制以不同模态特征之间的相互查询与响应为基础</w:t>
      </w:r>
      <w:r>
        <w:rPr>
          <w:rFonts w:hint="eastAsia"/>
        </w:rPr>
        <w:t>，</w:t>
      </w:r>
      <w:r>
        <w:t>建模图结构特征、序列特征、指纹特征及文本语义特征之间的潜在关联关系，从而捕获跨模态的高阶交互信息</w:t>
      </w:r>
      <w:r>
        <w:rPr>
          <w:rFonts w:hint="eastAsia"/>
        </w:rPr>
        <w:t>。</w:t>
      </w:r>
      <w:r>
        <w:t>在此基础上，动态加权融合策略进一步对各模态特征进行建模，使模型能够根据不同分子性质预测任务的需求，自适应学习各模态的权重系数</w:t>
      </w:r>
      <w:r>
        <w:rPr>
          <w:rFonts w:hint="eastAsia"/>
        </w:rPr>
        <w:t>。在这其中，四种模态的特征集合表示为</w:t>
      </w:r>
      <w:r>
        <w:rPr>
          <w:position w:val="-14"/>
        </w:rPr>
        <w:object>
          <v:shape id="_x0000_i1194" o:spt="75" type="#_x0000_t75" style="height:18.6pt;width:96pt;" o:ole="t" filled="f" o:preferrelative="t" stroked="f" coordsize="21600,21600">
            <v:path/>
            <v:fill on="f" focussize="0,0"/>
            <v:stroke on="f" joinstyle="miter"/>
            <v:imagedata r:id="rId380" o:title=""/>
            <o:lock v:ext="edit" aspectratio="t"/>
            <w10:wrap type="none"/>
            <w10:anchorlock/>
          </v:shape>
          <o:OLEObject Type="Embed" ProgID="Equation.DSMT4" ShapeID="_x0000_i1194" DrawAspect="Content" ObjectID="_1468075894" r:id="rId379">
            <o:LockedField>false</o:LockedField>
          </o:OLEObject>
        </w:object>
      </w:r>
      <w:r>
        <w:rPr>
          <w:rFonts w:hint="eastAsia"/>
        </w:rPr>
        <w:t>，对于任意模态特征</w:t>
      </w:r>
      <w:r>
        <w:rPr>
          <w:position w:val="-12"/>
        </w:rPr>
        <w:object>
          <v:shape id="_x0000_i1195" o:spt="75" type="#_x0000_t75" style="height:18.6pt;width:42pt;" o:ole="t" filled="f" o:preferrelative="t" stroked="f" coordsize="21600,21600">
            <v:path/>
            <v:fill on="f" focussize="0,0"/>
            <v:stroke on="f" joinstyle="miter"/>
            <v:imagedata r:id="rId382" o:title=""/>
            <o:lock v:ext="edit" aspectratio="t"/>
            <w10:wrap type="none"/>
            <w10:anchorlock/>
          </v:shape>
          <o:OLEObject Type="Embed" ProgID="Equation.DSMT4" ShapeID="_x0000_i1195" DrawAspect="Content" ObjectID="_1468075895" r:id="rId381">
            <o:LockedField>false</o:LockedField>
          </o:OLEObject>
        </w:object>
      </w:r>
      <w:r>
        <w:rPr>
          <w:rFonts w:hint="eastAsia"/>
        </w:rPr>
        <w:t>，其与当前任务的交叉注意力分数</w:t>
      </w:r>
      <w:r>
        <w:rPr>
          <w:position w:val="-12"/>
        </w:rPr>
        <w:object>
          <v:shape id="_x0000_i1196" o:spt="75" type="#_x0000_t75" style="height:18.6pt;width:18.6pt;" o:ole="t" filled="f" o:preferrelative="t" stroked="f" coordsize="21600,21600">
            <v:path/>
            <v:fill on="f" focussize="0,0"/>
            <v:stroke on="f" joinstyle="miter"/>
            <v:imagedata r:id="rId384" o:title=""/>
            <o:lock v:ext="edit" aspectratio="t"/>
            <w10:wrap type="none"/>
            <w10:anchorlock/>
          </v:shape>
          <o:OLEObject Type="Embed" ProgID="Equation.DSMT4" ShapeID="_x0000_i1196" DrawAspect="Content" ObjectID="_1468075896" r:id="rId383">
            <o:LockedField>false</o:LockedField>
          </o:OLEObject>
        </w:object>
      </w:r>
      <w:r>
        <w:rPr>
          <w:rFonts w:hint="eastAsia"/>
        </w:rPr>
        <w:t>的计算过程如公式</w:t>
      </w:r>
      <w:r>
        <w:rPr>
          <w:iCs/>
        </w:rPr>
        <w:fldChar w:fldCharType="begin"/>
      </w:r>
      <w:r>
        <w:rPr>
          <w:iCs/>
        </w:rPr>
        <w:instrText xml:space="preserve"> </w:instrText>
      </w:r>
      <w:r>
        <w:rPr>
          <w:rFonts w:hint="eastAsia"/>
          <w:iCs/>
        </w:rPr>
        <w:instrText xml:space="preserve">GOTOBUTTON ZEqnNum500223  \* MERGEFORMAT</w:instrText>
      </w:r>
      <w:r>
        <w:rPr>
          <w:iCs/>
        </w:rPr>
        <w:instrText xml:space="preserve"> </w:instrText>
      </w:r>
      <w:r>
        <w:rPr>
          <w:iCs/>
        </w:rPr>
        <w:fldChar w:fldCharType="begin"/>
      </w:r>
      <w:r>
        <w:rPr>
          <w:iCs/>
        </w:rPr>
        <w:instrText xml:space="preserve"> REF ZEqnNum500223 \* Charformat \! \* MERGEFORMAT </w:instrText>
      </w:r>
      <w:r>
        <w:rPr>
          <w:iCs/>
        </w:rPr>
        <w:fldChar w:fldCharType="separate"/>
      </w:r>
      <w:r>
        <w:rPr>
          <w:iCs/>
        </w:rPr>
        <w:instrText xml:space="preserve">(4-4)</w:instrText>
      </w:r>
      <w:r>
        <w:rPr>
          <w:iCs/>
        </w:rPr>
        <w:fldChar w:fldCharType="end"/>
      </w:r>
      <w:r>
        <w:rPr>
          <w:iCs/>
        </w:rPr>
        <w:fldChar w:fldCharType="end"/>
      </w:r>
      <w:r>
        <w:rPr>
          <w:rFonts w:hint="eastAsia"/>
        </w:rPr>
        <w:t>所示：</w:t>
      </w:r>
    </w:p>
    <w:p>
      <w:pPr>
        <w:pStyle w:val="44"/>
        <w:spacing w:before="326" w:after="326"/>
      </w:pPr>
      <w:r>
        <w:tab/>
      </w:r>
      <w:commentRangeStart w:id="5"/>
      <w:r>
        <w:rPr>
          <w:position w:val="-74"/>
        </w:rPr>
        <w:object>
          <v:shape id="_x0000_i1197" o:spt="75" type="#_x0000_t75" style="height:81pt;width:159.6pt;" o:ole="t" filled="f" o:preferrelative="t" stroked="f" coordsize="21600,21600">
            <v:path/>
            <v:fill on="f" focussize="0,0"/>
            <v:stroke on="f" joinstyle="miter"/>
            <v:imagedata r:id="rId386" o:title=""/>
            <o:lock v:ext="edit" aspectratio="t"/>
            <w10:wrap type="none"/>
            <w10:anchorlock/>
          </v:shape>
          <o:OLEObject Type="Embed" ProgID="Equation.DSMT4" ShapeID="_x0000_i1197" DrawAspect="Content" ObjectID="_1468075897" r:id="rId385">
            <o:LockedField>false</o:LockedField>
          </o:OLEObject>
        </w:object>
      </w:r>
      <w:commentRangeEnd w:id="5"/>
      <w:r>
        <w:commentReference w:id="5"/>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6" w:name="ZEqnNum500223"/>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bookmarkEnd w:id="106"/>
      <w:r>
        <w:fldChar w:fldCharType="end"/>
      </w:r>
    </w:p>
    <w:p>
      <w:r>
        <w:rPr>
          <w:rFonts w:hint="eastAsia"/>
        </w:rPr>
        <w:t>其中，</w:t>
      </w:r>
      <w:r>
        <w:rPr>
          <w:position w:val="-12"/>
        </w:rPr>
        <w:object>
          <v:shape id="_x0000_i1198" o:spt="75" type="#_x0000_t75" style="height:18.6pt;width:24pt;" o:ole="t" filled="f" o:preferrelative="t" stroked="f" coordsize="21600,21600">
            <v:path/>
            <v:fill on="f" focussize="0,0"/>
            <v:stroke on="f" joinstyle="miter"/>
            <v:imagedata r:id="rId388" o:title=""/>
            <o:lock v:ext="edit" aspectratio="t"/>
            <w10:wrap type="none"/>
            <w10:anchorlock/>
          </v:shape>
          <o:OLEObject Type="Embed" ProgID="Equation.DSMT4" ShapeID="_x0000_i1198" DrawAspect="Content" ObjectID="_1468075898" r:id="rId387">
            <o:LockedField>false</o:LockedField>
          </o:OLEObject>
        </w:object>
      </w:r>
      <w:r>
        <w:rPr>
          <w:rFonts w:hint="eastAsia"/>
        </w:rPr>
        <w:t>为查询向量，它代表了特定下游任务的语义需求，</w:t>
      </w:r>
      <w:r>
        <w:rPr>
          <w:position w:val="-12"/>
        </w:rPr>
        <w:object>
          <v:shape id="_x0000_i1199" o:spt="75" type="#_x0000_t75" style="height:18.6pt;width:18.6pt;" o:ole="t" filled="f" o:preferrelative="t" stroked="f" coordsize="21600,21600">
            <v:path/>
            <v:fill on="f" focussize="0,0"/>
            <v:stroke on="f" joinstyle="miter"/>
            <v:imagedata r:id="rId390" o:title=""/>
            <o:lock v:ext="edit" aspectratio="t"/>
            <w10:wrap type="none"/>
            <w10:anchorlock/>
          </v:shape>
          <o:OLEObject Type="Embed" ProgID="Equation.DSMT4" ShapeID="_x0000_i1199" DrawAspect="Content" ObjectID="_1468075899" r:id="rId389">
            <o:LockedField>false</o:LockedField>
          </o:OLEObject>
        </w:object>
      </w:r>
      <w:r>
        <w:rPr>
          <w:rFonts w:hint="eastAsia"/>
        </w:rPr>
        <w:t>为键的投影矩阵，</w:t>
      </w:r>
      <w:r>
        <w:rPr>
          <w:position w:val="-14"/>
        </w:rPr>
        <w:object>
          <v:shape id="_x0000_i1200" o:spt="75" type="#_x0000_t75" style="height:21pt;width:24.6pt;" o:ole="t" filled="f" o:preferrelative="t" stroked="f" coordsize="21600,21600">
            <v:path/>
            <v:fill on="f" focussize="0,0"/>
            <v:stroke on="f" joinstyle="miter"/>
            <v:imagedata r:id="rId392" o:title=""/>
            <o:lock v:ext="edit" aspectratio="t"/>
            <w10:wrap type="none"/>
            <w10:anchorlock/>
          </v:shape>
          <o:OLEObject Type="Embed" ProgID="Equation.DSMT4" ShapeID="_x0000_i1200" DrawAspect="Content" ObjectID="_1468075900" r:id="rId391">
            <o:LockedField>false</o:LockedField>
          </o:OLEObject>
        </w:object>
      </w:r>
      <w:r>
        <w:rPr>
          <w:rFonts w:hint="eastAsia"/>
        </w:rPr>
        <w:t>为缩放因子。由此可以得到动态权重系数，随后对各模态特征的值进行加权求和，从而得到最终的分子表征</w:t>
      </w:r>
      <w:r>
        <w:rPr>
          <w:position w:val="-14"/>
        </w:rPr>
        <w:object>
          <v:shape id="_x0000_i1201" o:spt="75" type="#_x0000_t75" style="height:18.6pt;width:28.2pt;" o:ole="t" filled="f" o:preferrelative="t" stroked="f" coordsize="21600,21600">
            <v:path/>
            <v:fill on="f" focussize="0,0"/>
            <v:stroke on="f" joinstyle="miter"/>
            <v:imagedata r:id="rId394" o:title=""/>
            <o:lock v:ext="edit" aspectratio="t"/>
            <w10:wrap type="none"/>
            <w10:anchorlock/>
          </v:shape>
          <o:OLEObject Type="Embed" ProgID="Equation.DSMT4" ShapeID="_x0000_i1201" DrawAspect="Content" ObjectID="_1468075901" r:id="rId393">
            <o:LockedField>false</o:LockedField>
          </o:OLEObject>
        </w:object>
      </w:r>
      <w:r>
        <w:rPr>
          <w:rFonts w:hint="eastAsia"/>
        </w:rPr>
        <w:t>，计算过程如公式</w:t>
      </w:r>
      <w:r>
        <w:rPr>
          <w:iCs/>
        </w:rPr>
        <w:fldChar w:fldCharType="begin"/>
      </w:r>
      <w:r>
        <w:rPr>
          <w:iCs/>
        </w:rPr>
        <w:instrText xml:space="preserve"> </w:instrText>
      </w:r>
      <w:r>
        <w:rPr>
          <w:rFonts w:hint="eastAsia"/>
          <w:iCs/>
        </w:rPr>
        <w:instrText xml:space="preserve">GOTOBUTTON ZEqnNum882345  \* MERGEFORMAT</w:instrText>
      </w:r>
      <w:r>
        <w:rPr>
          <w:iCs/>
        </w:rPr>
        <w:instrText xml:space="preserve"> </w:instrText>
      </w:r>
      <w:r>
        <w:rPr>
          <w:iCs/>
        </w:rPr>
        <w:fldChar w:fldCharType="begin"/>
      </w:r>
      <w:r>
        <w:rPr>
          <w:iCs/>
        </w:rPr>
        <w:instrText xml:space="preserve"> REF ZEqnNum882345 \* Charformat \! \* MERGEFORMAT </w:instrText>
      </w:r>
      <w:r>
        <w:rPr>
          <w:iCs/>
        </w:rPr>
        <w:fldChar w:fldCharType="separate"/>
      </w:r>
      <w:r>
        <w:rPr>
          <w:iCs/>
        </w:rPr>
        <w:instrText xml:space="preserve">(4-5)</w:instrText>
      </w:r>
      <w:r>
        <w:rPr>
          <w:iCs/>
        </w:rPr>
        <w:fldChar w:fldCharType="end"/>
      </w:r>
      <w:r>
        <w:rPr>
          <w:iCs/>
        </w:rPr>
        <w:fldChar w:fldCharType="end"/>
      </w:r>
      <w:r>
        <w:rPr>
          <w:rFonts w:hint="eastAsia"/>
        </w:rPr>
        <w:t>所示：</w:t>
      </w:r>
    </w:p>
    <w:p>
      <w:pPr>
        <w:pStyle w:val="44"/>
        <w:spacing w:before="326" w:after="326"/>
      </w:pPr>
      <w:r>
        <w:tab/>
      </w:r>
      <w:r>
        <w:rPr>
          <w:position w:val="-30"/>
        </w:rPr>
        <w:object>
          <v:shape id="_x0000_i1202" o:spt="75" type="#_x0000_t75" style="height:28.2pt;width:130.8pt;" o:ole="t" filled="f" o:preferrelative="t" stroked="f" coordsize="21600,21600">
            <v:path/>
            <v:fill on="f" focussize="0,0"/>
            <v:stroke on="f" joinstyle="miter"/>
            <v:imagedata r:id="rId396" o:title=""/>
            <o:lock v:ext="edit" aspectratio="t"/>
            <w10:wrap type="none"/>
            <w10:anchorlock/>
          </v:shape>
          <o:OLEObject Type="Embed" ProgID="Equation.DSMT4" ShapeID="_x0000_i1202" DrawAspect="Content" ObjectID="_1468075902" r:id="rId39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7" w:name="ZEqnNum882345"/>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bookmarkEnd w:id="107"/>
      <w:r>
        <w:fldChar w:fldCharType="end"/>
      </w:r>
    </w:p>
    <w:p>
      <w:r>
        <w:rPr>
          <w:rFonts w:hint="eastAsia"/>
        </w:rPr>
        <w:t>其中，</w:t>
      </w:r>
      <w:r>
        <w:rPr>
          <w:position w:val="-12"/>
        </w:rPr>
        <w:object>
          <v:shape id="_x0000_i1203" o:spt="75" type="#_x0000_t75" style="height:18.6pt;width:18.6pt;" o:ole="t" filled="f" o:preferrelative="t" stroked="f" coordsize="21600,21600">
            <v:path/>
            <v:fill on="f" focussize="0,0"/>
            <v:stroke on="f" joinstyle="miter"/>
            <v:imagedata r:id="rId398" o:title=""/>
            <o:lock v:ext="edit" aspectratio="t"/>
            <w10:wrap type="none"/>
            <w10:anchorlock/>
          </v:shape>
          <o:OLEObject Type="Embed" ProgID="Equation.DSMT4" ShapeID="_x0000_i1203" DrawAspect="Content" ObjectID="_1468075903" r:id="rId397">
            <o:LockedField>false</o:LockedField>
          </o:OLEObject>
        </w:object>
      </w:r>
      <w:r>
        <w:rPr>
          <w:rFonts w:hint="eastAsia"/>
        </w:rPr>
        <w:t>是值投影矩阵。</w:t>
      </w:r>
      <w:r>
        <w:t>融合后的分子表征被输入至由多层全连接网络构成的预测头，该预测头通过非线性映射对融合特征进行进一步变换与压缩，并在监督信号的引导下进行端到端优化，最终输出分子的理化性质或生物活性预测值</w:t>
      </w:r>
      <w:r>
        <w:rPr>
          <w:position w:val="-14"/>
        </w:rPr>
        <w:object>
          <v:shape id="_x0000_i1204" o:spt="75" type="#_x0000_t75" style="height:18.6pt;width:24pt;" o:ole="t" filled="f" o:preferrelative="t" stroked="f" coordsize="21600,21600">
            <v:path/>
            <v:fill on="f" focussize="0,0"/>
            <v:stroke on="f" joinstyle="miter"/>
            <v:imagedata r:id="rId400" o:title=""/>
            <o:lock v:ext="edit" aspectratio="t"/>
            <w10:wrap type="none"/>
            <w10:anchorlock/>
          </v:shape>
          <o:OLEObject Type="Embed" ProgID="Equation.DSMT4" ShapeID="_x0000_i1204" DrawAspect="Content" ObjectID="_1468075904" r:id="rId399">
            <o:LockedField>false</o:LockedField>
          </o:OLEObject>
        </w:object>
      </w:r>
      <w:r>
        <w:rPr>
          <w:rFonts w:hint="eastAsia"/>
        </w:rPr>
        <w:t>，计算过程如公式</w:t>
      </w:r>
      <w:r>
        <w:rPr>
          <w:iCs/>
        </w:rPr>
        <w:fldChar w:fldCharType="begin"/>
      </w:r>
      <w:r>
        <w:rPr>
          <w:iCs/>
        </w:rPr>
        <w:instrText xml:space="preserve"> </w:instrText>
      </w:r>
      <w:r>
        <w:rPr>
          <w:rFonts w:hint="eastAsia"/>
          <w:iCs/>
        </w:rPr>
        <w:instrText xml:space="preserve">GOTOBUTTON ZEqnNum226655  \* MERGEFORMAT</w:instrText>
      </w:r>
      <w:r>
        <w:rPr>
          <w:iCs/>
        </w:rPr>
        <w:instrText xml:space="preserve"> </w:instrText>
      </w:r>
      <w:r>
        <w:rPr>
          <w:iCs/>
        </w:rPr>
        <w:fldChar w:fldCharType="begin"/>
      </w:r>
      <w:r>
        <w:rPr>
          <w:iCs/>
        </w:rPr>
        <w:instrText xml:space="preserve"> REF ZEqnNum226655 \* Charformat \! \* MERGEFORMAT </w:instrText>
      </w:r>
      <w:r>
        <w:rPr>
          <w:iCs/>
        </w:rPr>
        <w:fldChar w:fldCharType="separate"/>
      </w:r>
      <w:r>
        <w:rPr>
          <w:iCs/>
        </w:rPr>
        <w:instrText xml:space="preserve">(4-6)</w:instrText>
      </w:r>
      <w:r>
        <w:rPr>
          <w:iCs/>
        </w:rPr>
        <w:fldChar w:fldCharType="end"/>
      </w:r>
      <w:r>
        <w:rPr>
          <w:iCs/>
        </w:rPr>
        <w:fldChar w:fldCharType="end"/>
      </w:r>
      <w:r>
        <w:rPr>
          <w:rFonts w:hint="eastAsia"/>
        </w:rPr>
        <w:t>所示：</w:t>
      </w:r>
    </w:p>
    <w:p>
      <w:pPr>
        <w:pStyle w:val="44"/>
        <w:spacing w:before="326" w:after="326"/>
      </w:pPr>
      <w:r>
        <w:tab/>
      </w:r>
      <w:r>
        <w:rPr>
          <w:position w:val="-14"/>
        </w:rPr>
        <w:object>
          <v:shape id="_x0000_i1205" o:spt="75" type="#_x0000_t75" style="height:19.2pt;width:163.8pt;" o:ole="t" filled="f" o:preferrelative="t" stroked="f" coordsize="21600,21600">
            <v:path/>
            <v:fill on="f" focussize="0,0"/>
            <v:stroke on="f" joinstyle="miter"/>
            <v:imagedata r:id="rId402" o:title=""/>
            <o:lock v:ext="edit" aspectratio="t"/>
            <w10:wrap type="none"/>
            <w10:anchorlock/>
          </v:shape>
          <o:OLEObject Type="Embed" ProgID="Equation.DSMT4" ShapeID="_x0000_i1205" DrawAspect="Content" ObjectID="_1468075905" r:id="rId40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8" w:name="ZEqnNum226655"/>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bookmarkEnd w:id="108"/>
      <w:r>
        <w:fldChar w:fldCharType="end"/>
      </w:r>
    </w:p>
    <w:p>
      <w:pPr>
        <w:pStyle w:val="3"/>
      </w:pPr>
      <w:bookmarkStart w:id="109" w:name="_Toc229423362"/>
      <w:r>
        <w:rPr>
          <w:rFonts w:hint="eastAsia"/>
        </w:rPr>
        <w:t>实验设计</w:t>
      </w:r>
      <w:bookmarkEnd w:id="109"/>
    </w:p>
    <w:p>
      <w:pPr>
        <w:pStyle w:val="4"/>
        <w:rPr>
          <w:rFonts w:hint="default"/>
        </w:rPr>
      </w:pPr>
      <w:bookmarkStart w:id="110" w:name="_Toc229423363"/>
      <w:r>
        <w:t>预训练数据</w:t>
      </w:r>
      <w:bookmarkEnd w:id="110"/>
    </w:p>
    <w:p>
      <w:r>
        <w:t>为了</w:t>
      </w:r>
      <w:r>
        <w:rPr>
          <w:rFonts w:hint="eastAsia"/>
        </w:rPr>
        <w:t>解决</w:t>
      </w:r>
      <w:r>
        <w:t>现有分子文本数据集中存在的描述稀疏、噪声干扰大以及缺乏定量理化信息的问题，本文设计了一套包含数据清洗</w:t>
      </w:r>
      <w:r>
        <w:rPr>
          <w:rFonts w:hint="eastAsia"/>
        </w:rPr>
        <w:t>、</w:t>
      </w:r>
      <w:r>
        <w:t>知识检索</w:t>
      </w:r>
      <w:r>
        <w:rPr>
          <w:rFonts w:hint="eastAsia"/>
        </w:rPr>
        <w:t>、</w:t>
      </w:r>
      <w:r>
        <w:t>属性计算</w:t>
      </w:r>
      <w:r>
        <w:rPr>
          <w:rFonts w:hint="eastAsia"/>
        </w:rPr>
        <w:t>和文本</w:t>
      </w:r>
      <w:r>
        <w:t>重写的</w:t>
      </w:r>
      <w:r>
        <w:rPr>
          <w:rFonts w:hint="eastAsia"/>
        </w:rPr>
        <w:t>预训练</w:t>
      </w:r>
      <w:r>
        <w:t>数据构建</w:t>
      </w:r>
      <w:r>
        <w:rPr>
          <w:rFonts w:hint="eastAsia"/>
        </w:rPr>
        <w:t>流程</w:t>
      </w:r>
      <w:r>
        <w:t>。该流程旨在构建</w:t>
      </w:r>
      <w:r>
        <w:rPr>
          <w:rFonts w:hint="eastAsia"/>
        </w:rPr>
        <w:t>结构规范、文本信息较为完整的分子-文本描述配对样本，并进一步使用RDKit工具生成其他模态数据，用于预训练流程。整体流程如下：</w:t>
      </w:r>
    </w:p>
    <w:p>
      <w:r>
        <w:rPr>
          <w:rFonts w:hint="eastAsia"/>
        </w:rPr>
        <w:t>第一步，</w:t>
      </w:r>
      <w:r>
        <w:t>分子结构获取与标准化</w:t>
      </w:r>
      <w:r>
        <w:rPr>
          <w:rFonts w:hint="eastAsia"/>
        </w:rPr>
        <w:t>。</w:t>
      </w:r>
    </w:p>
    <w:p>
      <w:r>
        <w:t>本文选取PubChem数据库作为原始数据来源，随机抽取了约30万个</w:t>
      </w:r>
      <w:r>
        <w:rPr>
          <w:rFonts w:hint="eastAsia"/>
        </w:rPr>
        <w:t>小</w:t>
      </w:r>
      <w:r>
        <w:t>分子SMILES序列。</w:t>
      </w:r>
      <w:r>
        <w:rPr>
          <w:rFonts w:hint="eastAsia"/>
        </w:rPr>
        <w:t>考虑到</w:t>
      </w:r>
      <w:r>
        <w:t>原始数据中存在书写不规范、重复分子及异常样本等问题，本文</w:t>
      </w:r>
      <w:r>
        <w:rPr>
          <w:rFonts w:hint="eastAsia"/>
        </w:rPr>
        <w:t>首先</w:t>
      </w:r>
      <w:r>
        <w:t>使用RDKit工具包对所有SMILES进行了规范化处理，</w:t>
      </w:r>
      <w:r>
        <w:rPr>
          <w:rFonts w:hint="eastAsia"/>
        </w:rPr>
        <w:t>随后删除了</w:t>
      </w:r>
      <w:r>
        <w:t>无法通过RDKit解析的异常分子</w:t>
      </w:r>
      <w:r>
        <w:rPr>
          <w:rFonts w:hint="eastAsia"/>
        </w:rPr>
        <w:t>，</w:t>
      </w:r>
      <w:r>
        <w:t>并基于分子的唯一标识符InChIKey去除重复样本以及与下游数据集重叠的分子。经过严格筛选，最终保留了约22万个独立分子，构成了预训练数据集的</w:t>
      </w:r>
      <w:r>
        <w:rPr>
          <w:rFonts w:hint="eastAsia"/>
        </w:rPr>
        <w:t>基础集合</w:t>
      </w:r>
      <w:r>
        <w:t>。</w:t>
      </w:r>
    </w:p>
    <w:p>
      <w:r>
        <w:rPr>
          <w:rFonts w:hint="eastAsia"/>
        </w:rPr>
        <w:t>第二步，原始文本检索与解析。</w:t>
      </w:r>
    </w:p>
    <w:p>
      <w:r>
        <w:t>针对筛选出的分子，本文利用PubChem提供的PUG View API接口进行批量检索，</w:t>
      </w:r>
      <w:r>
        <w:rPr>
          <w:rFonts w:hint="eastAsia"/>
        </w:rPr>
        <w:t>主要</w:t>
      </w:r>
      <w:r>
        <w:t>提取“Names and Identifiers”及“Record Description”字段</w:t>
      </w:r>
      <w:r>
        <w:rPr>
          <w:rFonts w:hint="eastAsia"/>
        </w:rPr>
        <w:t>中</w:t>
      </w:r>
      <w:r>
        <w:t>的文本</w:t>
      </w:r>
      <w:r>
        <w:rPr>
          <w:rFonts w:hint="eastAsia"/>
        </w:rPr>
        <w:t>内容</w:t>
      </w:r>
      <w:r>
        <w:t>。该部分数据通常包含分子的通用名称、药理作用机制及历史背景等</w:t>
      </w:r>
      <w:r>
        <w:rPr>
          <w:rFonts w:hint="eastAsia"/>
        </w:rPr>
        <w:t>信息</w:t>
      </w:r>
      <w:r>
        <w:t>。</w:t>
      </w:r>
      <w:r>
        <w:rPr>
          <w:rFonts w:hint="eastAsia"/>
        </w:rPr>
        <w:t>然而，直接将API检索的原始文本用于训练存在两类明显的问题。第一，</w:t>
      </w:r>
      <w:r>
        <w:t>部分文本包含大量与分子</w:t>
      </w:r>
      <w:r>
        <w:rPr>
          <w:rFonts w:hint="eastAsia"/>
        </w:rPr>
        <w:t>结构</w:t>
      </w:r>
      <w:r>
        <w:t>无关的历史背景、专利编号和来源标记，文本冗余较高</w:t>
      </w:r>
      <w:r>
        <w:rPr>
          <w:rFonts w:hint="eastAsia"/>
        </w:rPr>
        <w:t>；第二，部</w:t>
      </w:r>
      <w:r>
        <w:t>分文本由不同来源的片段直接拼接而成，存在术语不一致、关键信息分散</w:t>
      </w:r>
      <w:r>
        <w:rPr>
          <w:rFonts w:hint="eastAsia"/>
        </w:rPr>
        <w:t>和描述稀疏</w:t>
      </w:r>
      <w:r>
        <w:t>等现象。上述问题会削弱文本模态在对比学习中的表征质量，因此需要进一步进行去噪</w:t>
      </w:r>
      <w:r>
        <w:rPr>
          <w:rFonts w:hint="eastAsia"/>
        </w:rPr>
        <w:t>和</w:t>
      </w:r>
      <w:r>
        <w:t>重写</w:t>
      </w:r>
      <w:r>
        <w:rPr>
          <w:rFonts w:hint="eastAsia"/>
        </w:rPr>
        <w:t>。</w:t>
      </w:r>
    </w:p>
    <w:p>
      <w:r>
        <w:rPr>
          <w:rFonts w:hint="eastAsia"/>
        </w:rPr>
        <w:t>第三步，</w:t>
      </w:r>
      <w:r>
        <w:t>理化属性计算与上下文补充。</w:t>
      </w:r>
    </w:p>
    <w:p>
      <w:r>
        <w:t>为了弥补文本模态在定量信息上的缺失，本文利用RDKit计算了每个分子的1</w:t>
      </w:r>
      <w:r>
        <w:rPr>
          <w:rFonts w:hint="eastAsia"/>
        </w:rPr>
        <w:t>1</w:t>
      </w:r>
      <w:r>
        <w:t>项关键理化性质</w:t>
      </w:r>
      <w:r>
        <w:rPr>
          <w:rFonts w:hint="eastAsia"/>
        </w:rPr>
        <w:t>，具体的理化性质见</w:t>
      </w:r>
      <w:r>
        <w:fldChar w:fldCharType="begin"/>
      </w:r>
      <w:r>
        <w:instrText xml:space="preserve"> </w:instrText>
      </w:r>
      <w:r>
        <w:rPr>
          <w:rFonts w:hint="eastAsia"/>
        </w:rPr>
        <w:instrText xml:space="preserve">REF _Ref224808019 \h</w:instrText>
      </w:r>
      <w:r>
        <w:instrText xml:space="preserve"> </w:instrText>
      </w:r>
      <w:r>
        <w:fldChar w:fldCharType="separate"/>
      </w:r>
      <w:r>
        <w:rPr>
          <w:rFonts w:hint="eastAsia"/>
        </w:rPr>
        <w:t>表4-</w:t>
      </w:r>
      <w:r>
        <w:t>2</w:t>
      </w:r>
      <w:r>
        <w:fldChar w:fldCharType="end"/>
      </w:r>
      <w:r>
        <w:t>。这些理化属性随后被组织为结构化上下文，与原始描述共同作为文本重写阶段的输入，从而增强文本对分子结构</w:t>
      </w:r>
      <w:r>
        <w:rPr>
          <w:rFonts w:hint="eastAsia"/>
        </w:rPr>
        <w:t>与</w:t>
      </w:r>
      <w:r>
        <w:t>性质关系的表达能力。</w:t>
      </w:r>
    </w:p>
    <w:p>
      <w:pPr>
        <w:pStyle w:val="11"/>
      </w:pPr>
      <w:bookmarkStart w:id="111" w:name="_Ref224808019"/>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2</w:t>
      </w:r>
      <w:r>
        <w:fldChar w:fldCharType="end"/>
      </w:r>
      <w:bookmarkEnd w:id="111"/>
      <w:r>
        <w:rPr>
          <w:rFonts w:hint="eastAsia"/>
        </w:rPr>
        <w:t xml:space="preserve"> 分子理化性质指标及其含义</w:t>
      </w:r>
    </w:p>
    <w:tbl>
      <w:tblPr>
        <w:tblStyle w:val="2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7"/>
        <w:gridCol w:w="2517"/>
        <w:gridCol w:w="480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74" w:type="pct"/>
            <w:tcBorders>
              <w:bottom w:val="single" w:color="auto" w:sz="8" w:space="0"/>
            </w:tcBorders>
            <w:vAlign w:val="center"/>
          </w:tcPr>
          <w:p>
            <w:pPr>
              <w:spacing w:line="300" w:lineRule="auto"/>
              <w:ind w:firstLine="0" w:firstLineChars="0"/>
              <w:jc w:val="center"/>
            </w:pPr>
            <w:r>
              <w:rPr>
                <w:rFonts w:hint="eastAsia"/>
              </w:rPr>
              <w:t>属性名称</w:t>
            </w:r>
          </w:p>
        </w:tc>
        <w:tc>
          <w:tcPr>
            <w:tcW w:w="1315" w:type="pct"/>
            <w:tcBorders>
              <w:bottom w:val="single" w:color="auto" w:sz="8" w:space="0"/>
            </w:tcBorders>
            <w:vAlign w:val="center"/>
          </w:tcPr>
          <w:p>
            <w:pPr>
              <w:spacing w:line="300" w:lineRule="auto"/>
              <w:ind w:firstLine="0" w:firstLineChars="0"/>
              <w:jc w:val="center"/>
            </w:pPr>
            <w:r>
              <w:rPr>
                <w:rFonts w:hint="eastAsia"/>
              </w:rPr>
              <w:t>英文标识</w:t>
            </w:r>
          </w:p>
        </w:tc>
        <w:tc>
          <w:tcPr>
            <w:tcW w:w="2511" w:type="pct"/>
            <w:tcBorders>
              <w:bottom w:val="single" w:color="auto" w:sz="8" w:space="0"/>
            </w:tcBorders>
            <w:vAlign w:val="center"/>
          </w:tcPr>
          <w:p>
            <w:pPr>
              <w:spacing w:line="300" w:lineRule="auto"/>
              <w:ind w:firstLine="0" w:firstLineChars="0"/>
              <w:jc w:val="center"/>
            </w:pPr>
            <w:r>
              <w:rPr>
                <w:rFonts w:hint="eastAsia"/>
              </w:rPr>
              <w:t>含义描述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op w:val="single" w:color="auto" w:sz="8" w:space="0"/>
              <w:tl2br w:val="nil"/>
              <w:tr2bl w:val="nil"/>
            </w:tcBorders>
            <w:vAlign w:val="center"/>
          </w:tcPr>
          <w:p>
            <w:pPr>
              <w:spacing w:line="300" w:lineRule="auto"/>
              <w:ind w:firstLine="0" w:firstLineChars="0"/>
              <w:jc w:val="center"/>
            </w:pPr>
            <w:r>
              <w:t>平均分子量</w:t>
            </w:r>
          </w:p>
        </w:tc>
        <w:tc>
          <w:tcPr>
            <w:tcW w:w="1315" w:type="pct"/>
            <w:tcBorders>
              <w:top w:val="single" w:color="auto" w:sz="8" w:space="0"/>
              <w:tl2br w:val="nil"/>
              <w:tr2bl w:val="nil"/>
            </w:tcBorders>
            <w:vAlign w:val="center"/>
          </w:tcPr>
          <w:p>
            <w:pPr>
              <w:spacing w:line="300" w:lineRule="auto"/>
              <w:ind w:firstLine="0" w:firstLineChars="0"/>
              <w:jc w:val="center"/>
            </w:pPr>
            <w:r>
              <w:t>MolWt</w:t>
            </w:r>
          </w:p>
        </w:tc>
        <w:tc>
          <w:tcPr>
            <w:tcW w:w="2511" w:type="pct"/>
            <w:tcBorders>
              <w:top w:val="single" w:color="auto" w:sz="8" w:space="0"/>
              <w:tl2br w:val="nil"/>
              <w:tr2bl w:val="nil"/>
            </w:tcBorders>
            <w:vAlign w:val="center"/>
          </w:tcPr>
          <w:p>
            <w:pPr>
              <w:spacing w:line="300" w:lineRule="auto"/>
              <w:ind w:firstLine="0" w:firstLineChars="0"/>
              <w:jc w:val="center"/>
            </w:pPr>
            <w:r>
              <w:t>分子的平均相对质量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精确分子量</w:t>
            </w:r>
          </w:p>
        </w:tc>
        <w:tc>
          <w:tcPr>
            <w:tcW w:w="1315" w:type="pct"/>
            <w:tcBorders>
              <w:tl2br w:val="nil"/>
              <w:tr2bl w:val="nil"/>
            </w:tcBorders>
            <w:vAlign w:val="center"/>
          </w:tcPr>
          <w:p>
            <w:pPr>
              <w:spacing w:line="300" w:lineRule="auto"/>
              <w:ind w:firstLine="0" w:firstLineChars="0"/>
              <w:jc w:val="center"/>
            </w:pPr>
            <w:r>
              <w:t>ExactMolWt</w:t>
            </w:r>
          </w:p>
        </w:tc>
        <w:tc>
          <w:tcPr>
            <w:tcW w:w="2511" w:type="pct"/>
            <w:tcBorders>
              <w:tl2br w:val="nil"/>
              <w:tr2bl w:val="nil"/>
            </w:tcBorders>
            <w:vAlign w:val="center"/>
          </w:tcPr>
          <w:p>
            <w:pPr>
              <w:spacing w:line="300" w:lineRule="auto"/>
              <w:ind w:firstLine="0" w:firstLineChars="0"/>
              <w:jc w:val="center"/>
            </w:pPr>
            <w:r>
              <w:t>基于同位素质量计算的精确分子质量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脂水分配系数</w:t>
            </w:r>
          </w:p>
        </w:tc>
        <w:tc>
          <w:tcPr>
            <w:tcW w:w="1315" w:type="pct"/>
            <w:tcBorders>
              <w:tl2br w:val="nil"/>
              <w:tr2bl w:val="nil"/>
            </w:tcBorders>
            <w:vAlign w:val="center"/>
          </w:tcPr>
          <w:p>
            <w:pPr>
              <w:spacing w:line="300" w:lineRule="auto"/>
              <w:ind w:firstLine="0" w:firstLineChars="0"/>
              <w:jc w:val="center"/>
            </w:pPr>
            <w:r>
              <w:t>LogP</w:t>
            </w:r>
          </w:p>
        </w:tc>
        <w:tc>
          <w:tcPr>
            <w:tcW w:w="2511" w:type="pct"/>
            <w:tcBorders>
              <w:tl2br w:val="nil"/>
              <w:tr2bl w:val="nil"/>
            </w:tcBorders>
            <w:vAlign w:val="center"/>
          </w:tcPr>
          <w:p>
            <w:pPr>
              <w:spacing w:line="300" w:lineRule="auto"/>
              <w:ind w:firstLine="0" w:firstLineChars="0"/>
              <w:jc w:val="center"/>
            </w:pPr>
            <w:r>
              <w:t>衡量分子亲脂性的关键参数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拓扑极性表面积</w:t>
            </w:r>
          </w:p>
        </w:tc>
        <w:tc>
          <w:tcPr>
            <w:tcW w:w="1315" w:type="pct"/>
            <w:tcBorders>
              <w:tl2br w:val="nil"/>
              <w:tr2bl w:val="nil"/>
            </w:tcBorders>
            <w:vAlign w:val="center"/>
          </w:tcPr>
          <w:p>
            <w:pPr>
              <w:spacing w:line="300" w:lineRule="auto"/>
              <w:ind w:firstLine="0" w:firstLineChars="0"/>
              <w:jc w:val="center"/>
            </w:pPr>
            <w:r>
              <w:t>TPSA</w:t>
            </w:r>
          </w:p>
        </w:tc>
        <w:tc>
          <w:tcPr>
            <w:tcW w:w="2511" w:type="pct"/>
            <w:tcBorders>
              <w:tl2br w:val="nil"/>
              <w:tr2bl w:val="nil"/>
            </w:tcBorders>
            <w:vAlign w:val="center"/>
          </w:tcPr>
          <w:p>
            <w:pPr>
              <w:spacing w:line="300" w:lineRule="auto"/>
              <w:ind w:firstLine="0" w:firstLineChars="0"/>
              <w:jc w:val="center"/>
            </w:pPr>
            <w:r>
              <w:t>分子表面极性原子的总面积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重原子数</w:t>
            </w:r>
          </w:p>
        </w:tc>
        <w:tc>
          <w:tcPr>
            <w:tcW w:w="1315" w:type="pct"/>
            <w:tcBorders>
              <w:tl2br w:val="nil"/>
              <w:tr2bl w:val="nil"/>
            </w:tcBorders>
            <w:vAlign w:val="center"/>
          </w:tcPr>
          <w:p>
            <w:pPr>
              <w:spacing w:line="300" w:lineRule="auto"/>
              <w:ind w:firstLine="0" w:firstLineChars="0"/>
              <w:jc w:val="center"/>
            </w:pPr>
            <w:r>
              <w:t>Heavy_Atoms</w:t>
            </w:r>
          </w:p>
        </w:tc>
        <w:tc>
          <w:tcPr>
            <w:tcW w:w="2511" w:type="pct"/>
            <w:tcBorders>
              <w:tl2br w:val="nil"/>
              <w:tr2bl w:val="nil"/>
            </w:tcBorders>
            <w:vAlign w:val="center"/>
          </w:tcPr>
          <w:p>
            <w:pPr>
              <w:spacing w:line="300" w:lineRule="auto"/>
              <w:ind w:firstLine="0" w:firstLineChars="0"/>
              <w:jc w:val="center"/>
            </w:pPr>
            <w:r>
              <w:t>分子中非氢原子的总数量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氢键供体数</w:t>
            </w:r>
          </w:p>
        </w:tc>
        <w:tc>
          <w:tcPr>
            <w:tcW w:w="1315" w:type="pct"/>
            <w:tcBorders>
              <w:tl2br w:val="nil"/>
              <w:tr2bl w:val="nil"/>
            </w:tcBorders>
            <w:vAlign w:val="center"/>
          </w:tcPr>
          <w:p>
            <w:pPr>
              <w:spacing w:line="300" w:lineRule="auto"/>
              <w:ind w:firstLine="0" w:firstLineChars="0"/>
              <w:jc w:val="center"/>
            </w:pPr>
            <w:r>
              <w:t>H_Bond_Donors</w:t>
            </w:r>
          </w:p>
        </w:tc>
        <w:tc>
          <w:tcPr>
            <w:tcW w:w="2511" w:type="pct"/>
            <w:tcBorders>
              <w:tl2br w:val="nil"/>
              <w:tr2bl w:val="nil"/>
            </w:tcBorders>
            <w:vAlign w:val="center"/>
          </w:tcPr>
          <w:p>
            <w:pPr>
              <w:spacing w:line="300" w:lineRule="auto"/>
              <w:ind w:firstLine="0" w:firstLineChars="0"/>
              <w:jc w:val="center"/>
            </w:pPr>
            <w:r>
              <w:t>分子中能提供质子的基团数量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氢键受体数</w:t>
            </w:r>
          </w:p>
        </w:tc>
        <w:tc>
          <w:tcPr>
            <w:tcW w:w="1315" w:type="pct"/>
            <w:tcBorders>
              <w:tl2br w:val="nil"/>
              <w:tr2bl w:val="nil"/>
            </w:tcBorders>
            <w:vAlign w:val="center"/>
          </w:tcPr>
          <w:p>
            <w:pPr>
              <w:spacing w:line="300" w:lineRule="auto"/>
              <w:ind w:firstLine="0" w:firstLineChars="0"/>
              <w:jc w:val="center"/>
            </w:pPr>
            <w:r>
              <w:t>H_Bond_Acceptors</w:t>
            </w:r>
          </w:p>
        </w:tc>
        <w:tc>
          <w:tcPr>
            <w:tcW w:w="2511" w:type="pct"/>
            <w:tcBorders>
              <w:tl2br w:val="nil"/>
              <w:tr2bl w:val="nil"/>
            </w:tcBorders>
            <w:vAlign w:val="center"/>
          </w:tcPr>
          <w:p>
            <w:pPr>
              <w:spacing w:line="300" w:lineRule="auto"/>
              <w:ind w:firstLine="0" w:firstLineChars="0"/>
              <w:jc w:val="center"/>
            </w:pPr>
            <w:r>
              <w:t>分子中能接受质子的原子数量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可旋转键数</w:t>
            </w:r>
          </w:p>
        </w:tc>
        <w:tc>
          <w:tcPr>
            <w:tcW w:w="1315" w:type="pct"/>
            <w:tcBorders>
              <w:tl2br w:val="nil"/>
              <w:tr2bl w:val="nil"/>
            </w:tcBorders>
            <w:vAlign w:val="center"/>
          </w:tcPr>
          <w:p>
            <w:pPr>
              <w:spacing w:line="300" w:lineRule="auto"/>
              <w:ind w:firstLine="0" w:firstLineChars="0"/>
              <w:jc w:val="center"/>
            </w:pPr>
            <w:r>
              <w:t>Rotatable_Bonds</w:t>
            </w:r>
          </w:p>
        </w:tc>
        <w:tc>
          <w:tcPr>
            <w:tcW w:w="2511" w:type="pct"/>
            <w:tcBorders>
              <w:tl2br w:val="nil"/>
              <w:tr2bl w:val="nil"/>
            </w:tcBorders>
            <w:vAlign w:val="center"/>
          </w:tcPr>
          <w:p>
            <w:pPr>
              <w:spacing w:line="300" w:lineRule="auto"/>
              <w:ind w:firstLine="0" w:firstLineChars="0"/>
              <w:jc w:val="center"/>
            </w:pPr>
            <w:r>
              <w:t>单键旋转自由度的度量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环数量</w:t>
            </w:r>
          </w:p>
        </w:tc>
        <w:tc>
          <w:tcPr>
            <w:tcW w:w="1315" w:type="pct"/>
            <w:tcBorders>
              <w:tl2br w:val="nil"/>
              <w:tr2bl w:val="nil"/>
            </w:tcBorders>
            <w:vAlign w:val="center"/>
          </w:tcPr>
          <w:p>
            <w:pPr>
              <w:spacing w:line="300" w:lineRule="auto"/>
              <w:ind w:firstLine="0" w:firstLineChars="0"/>
              <w:jc w:val="center"/>
            </w:pPr>
            <w:r>
              <w:t>Ring_Count</w:t>
            </w:r>
          </w:p>
        </w:tc>
        <w:tc>
          <w:tcPr>
            <w:tcW w:w="2511" w:type="pct"/>
            <w:tcBorders>
              <w:tl2br w:val="nil"/>
              <w:tr2bl w:val="nil"/>
            </w:tcBorders>
            <w:vAlign w:val="center"/>
          </w:tcPr>
          <w:p>
            <w:pPr>
              <w:spacing w:line="300" w:lineRule="auto"/>
              <w:ind w:firstLine="0" w:firstLineChars="0"/>
              <w:jc w:val="center"/>
            </w:pPr>
            <w:r>
              <w:t>分子中环状结构的总数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芳香环数量</w:t>
            </w:r>
          </w:p>
        </w:tc>
        <w:tc>
          <w:tcPr>
            <w:tcW w:w="1315" w:type="pct"/>
            <w:tcBorders>
              <w:tl2br w:val="nil"/>
              <w:tr2bl w:val="nil"/>
            </w:tcBorders>
            <w:vAlign w:val="center"/>
          </w:tcPr>
          <w:p>
            <w:pPr>
              <w:spacing w:line="300" w:lineRule="auto"/>
              <w:ind w:firstLine="0" w:firstLineChars="0"/>
              <w:jc w:val="center"/>
            </w:pPr>
            <w:r>
              <w:t>Aromatic_Rings</w:t>
            </w:r>
          </w:p>
        </w:tc>
        <w:tc>
          <w:tcPr>
            <w:tcW w:w="2511" w:type="pct"/>
            <w:tcBorders>
              <w:tl2br w:val="nil"/>
              <w:tr2bl w:val="nil"/>
            </w:tcBorders>
            <w:vAlign w:val="center"/>
          </w:tcPr>
          <w:p>
            <w:pPr>
              <w:spacing w:line="300" w:lineRule="auto"/>
              <w:ind w:firstLine="0" w:firstLineChars="0"/>
              <w:jc w:val="center"/>
            </w:pPr>
            <w:r>
              <w:rPr>
                <w:lang w:bidi="ar"/>
              </w:rPr>
              <w:t>具有芳香性的环结构数量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手性中心数</w:t>
            </w:r>
          </w:p>
        </w:tc>
        <w:tc>
          <w:tcPr>
            <w:tcW w:w="1315" w:type="pct"/>
            <w:tcBorders>
              <w:tl2br w:val="nil"/>
              <w:tr2bl w:val="nil"/>
            </w:tcBorders>
            <w:vAlign w:val="center"/>
          </w:tcPr>
          <w:p>
            <w:pPr>
              <w:spacing w:line="300" w:lineRule="auto"/>
              <w:ind w:firstLine="0" w:firstLineChars="0"/>
              <w:jc w:val="center"/>
            </w:pPr>
            <w:r>
              <w:t>Stereocenters</w:t>
            </w:r>
          </w:p>
        </w:tc>
        <w:tc>
          <w:tcPr>
            <w:tcW w:w="2511" w:type="pct"/>
            <w:tcBorders>
              <w:tl2br w:val="nil"/>
              <w:tr2bl w:val="nil"/>
            </w:tcBorders>
            <w:vAlign w:val="center"/>
          </w:tcPr>
          <w:p>
            <w:pPr>
              <w:spacing w:line="300" w:lineRule="auto"/>
              <w:ind w:firstLine="0" w:firstLineChars="0"/>
              <w:jc w:val="center"/>
            </w:pPr>
            <w:r>
              <w:t>分子中立体异构中心的数量</w:t>
            </w:r>
          </w:p>
        </w:tc>
      </w:tr>
    </w:tbl>
    <w:p/>
    <w:p>
      <w:r>
        <w:rPr>
          <w:rFonts w:hint="eastAsia"/>
        </w:rPr>
        <w:t>第四步，</w:t>
      </w:r>
      <w:r>
        <w:t>基于大模型的知识重写</w:t>
      </w:r>
      <w:r>
        <w:rPr>
          <w:rFonts w:hint="eastAsia"/>
        </w:rPr>
        <w:t>。</w:t>
      </w:r>
    </w:p>
    <w:p>
      <w:r>
        <w:t>在获得原始描述和理化属性后，本文引入大语言模型对文本进行清洗与重写。重写的</w:t>
      </w:r>
      <w:r>
        <w:rPr>
          <w:rFonts w:hint="eastAsia"/>
        </w:rPr>
        <w:t>目的</w:t>
      </w:r>
      <w:r>
        <w:t>是保留与分子性质相关的核心语义，同时去除无关噪声，并将理化属性自然融入文本描述中。为提高重写文本的质量，本文在提示词设计中遵循以下三个原则：</w:t>
      </w:r>
    </w:p>
    <w:p>
      <w:r>
        <w:rPr>
          <w:rFonts w:hint="eastAsia"/>
        </w:rPr>
        <w:t>（1） 角色约束：</w:t>
      </w:r>
      <w:r>
        <w:t>限定模型</w:t>
      </w:r>
      <w:r>
        <w:rPr>
          <w:rFonts w:hint="eastAsia"/>
        </w:rPr>
        <w:t>是</w:t>
      </w:r>
      <w:r>
        <w:t>药物化学领域的专</w:t>
      </w:r>
      <w:r>
        <w:rPr>
          <w:rFonts w:hint="eastAsia"/>
        </w:rPr>
        <w:t>家；</w:t>
      </w:r>
    </w:p>
    <w:p>
      <w:r>
        <w:rPr>
          <w:rFonts w:hint="eastAsia"/>
        </w:rPr>
        <w:t>（2） 上下文约束：</w:t>
      </w:r>
      <w:r>
        <w:t>要求模型同时参考原始描述与理化属性信息；</w:t>
      </w:r>
    </w:p>
    <w:p>
      <w:r>
        <w:rPr>
          <w:rFonts w:hint="eastAsia"/>
        </w:rPr>
        <w:t>（3） 负向约束：</w:t>
      </w:r>
      <w:r>
        <w:t>明确过滤专利号、历史轶事和商业名称等冗余内容</w:t>
      </w:r>
      <w:r>
        <w:rPr>
          <w:rFonts w:hint="eastAsia"/>
        </w:rPr>
        <w:t>，并约定模型输出字数</w:t>
      </w:r>
      <w:r>
        <w:t>。</w:t>
      </w:r>
      <w:r>
        <w:rPr>
          <w:rFonts w:hint="eastAsia"/>
        </w:rPr>
        <w:t>经过重写后，得到的文本在内容上更加紧凑，也更有利于后续跨模态对齐。</w:t>
      </w:r>
    </w:p>
    <w:p/>
    <w:p>
      <w:pPr>
        <w:ind w:firstLine="0" w:firstLineChars="0"/>
        <w:jc w:val="center"/>
      </w:pPr>
      <w:r>
        <w:drawing>
          <wp:inline distT="0" distB="0" distL="0" distR="0">
            <wp:extent cx="5229860" cy="6196965"/>
            <wp:effectExtent l="0" t="0" r="8890" b="0"/>
            <wp:docPr id="588572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7291" name="图片 6"/>
                    <pic:cNvPicPr>
                      <a:picLocks noChangeAspect="1"/>
                    </pic:cNvPicPr>
                  </pic:nvPicPr>
                  <pic:blipFill>
                    <a:blip r:embed="rId403"/>
                    <a:stretch>
                      <a:fillRect/>
                    </a:stretch>
                  </pic:blipFill>
                  <pic:spPr>
                    <a:xfrm>
                      <a:off x="0" y="0"/>
                      <a:ext cx="5230388" cy="6197594"/>
                    </a:xfrm>
                    <a:prstGeom prst="rect">
                      <a:avLst/>
                    </a:prstGeom>
                  </pic:spPr>
                </pic:pic>
              </a:graphicData>
            </a:graphic>
          </wp:inline>
        </w:drawing>
      </w:r>
    </w:p>
    <w:p>
      <w:pPr>
        <w:pStyle w:val="11"/>
      </w:pPr>
      <w:bookmarkStart w:id="112" w:name="_Ref226475742"/>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2</w:t>
      </w:r>
      <w:r>
        <w:fldChar w:fldCharType="end"/>
      </w:r>
      <w:bookmarkEnd w:id="112"/>
      <w:r>
        <w:rPr>
          <w:rFonts w:hint="eastAsia"/>
        </w:rPr>
        <w:t xml:space="preserve"> 药物分子原始检索文本与重写文本的对比示例</w:t>
      </w:r>
    </w:p>
    <w:p/>
    <w:p>
      <w:r>
        <w:rPr>
          <w:rFonts w:hint="eastAsia"/>
        </w:rPr>
        <w:t>第五步，</w:t>
      </w:r>
      <w:r>
        <w:t>多模态</w:t>
      </w:r>
      <w:r>
        <w:rPr>
          <w:rFonts w:hint="eastAsia"/>
        </w:rPr>
        <w:t>样本构建。</w:t>
      </w:r>
    </w:p>
    <w:p>
      <w:r>
        <w:t>在完成结构筛选和文本重写后，本文进一步基于标准化后的SMILES生成分子的二维拓扑图和分子指纹，并与序列和文本共同组成图、序列、指纹、文本四种模态输入。最终，本文构建了一个包含约22万个样本的多模态预训练数据集，为后续模型训练提供了数据支持。</w:t>
      </w:r>
      <w:r>
        <w:rPr>
          <w:rFonts w:hint="eastAsia"/>
        </w:rPr>
        <w:t>如</w:t>
      </w:r>
      <w:r>
        <w:fldChar w:fldCharType="begin"/>
      </w:r>
      <w:r>
        <w:instrText xml:space="preserve"> </w:instrText>
      </w:r>
      <w:r>
        <w:rPr>
          <w:rFonts w:hint="eastAsia"/>
        </w:rPr>
        <w:instrText xml:space="preserve">REF _Ref226475742 \h</w:instrText>
      </w:r>
      <w:r>
        <w:instrText xml:space="preserve">  \* MERGEFORMAT </w:instrText>
      </w:r>
      <w:r>
        <w:fldChar w:fldCharType="separate"/>
      </w:r>
      <w:r>
        <w:rPr>
          <w:rFonts w:hint="eastAsia"/>
        </w:rPr>
        <w:t>图4-</w:t>
      </w:r>
      <w:r>
        <w:t>2</w:t>
      </w:r>
      <w:r>
        <w:fldChar w:fldCharType="end"/>
      </w:r>
      <w:r>
        <w:rPr>
          <w:rFonts w:hint="eastAsia"/>
        </w:rPr>
        <w:t>所示，展示</w:t>
      </w:r>
      <w:r>
        <w:t>了原始检索文本与重写文本的示例对比。</w:t>
      </w:r>
    </w:p>
    <w:p>
      <w:pPr>
        <w:pStyle w:val="4"/>
        <w:rPr>
          <w:rFonts w:hint="default"/>
        </w:rPr>
      </w:pPr>
      <w:bookmarkStart w:id="113" w:name="_Toc229423364"/>
      <w:r>
        <w:t>下游数据集</w:t>
      </w:r>
      <w:bookmarkEnd w:id="113"/>
    </w:p>
    <w:p>
      <w:r>
        <w:rPr>
          <w:rFonts w:hint="eastAsia"/>
        </w:rPr>
        <w:t>为评估本文预训练模型在下游分子性质预测任务中的泛化能力和迁移能力，本文选取了MoleculeNet</w:t>
      </w:r>
      <w:r>
        <w:rPr>
          <w:vertAlign w:val="superscript"/>
        </w:rPr>
        <w:fldChar w:fldCharType="begin"/>
      </w:r>
      <w:r>
        <w:rPr>
          <w:vertAlign w:val="superscript"/>
        </w:rPr>
        <w:instrText xml:space="preserve"> </w:instrText>
      </w:r>
      <w:r>
        <w:rPr>
          <w:rFonts w:hint="eastAsia"/>
          <w:vertAlign w:val="superscript"/>
        </w:rPr>
        <w:instrText xml:space="preserve">REF _Ref225764280 \r \h</w:instrText>
      </w:r>
      <w:r>
        <w:rPr>
          <w:vertAlign w:val="superscript"/>
        </w:rPr>
        <w:instrText xml:space="preserve">  \* MERGEFORMAT </w:instrText>
      </w:r>
      <w:r>
        <w:rPr>
          <w:vertAlign w:val="superscript"/>
        </w:rPr>
        <w:fldChar w:fldCharType="separate"/>
      </w:r>
      <w:r>
        <w:rPr>
          <w:vertAlign w:val="superscript"/>
        </w:rPr>
        <w:t>[67]</w:t>
      </w:r>
      <w:r>
        <w:rPr>
          <w:vertAlign w:val="superscript"/>
        </w:rPr>
        <w:fldChar w:fldCharType="end"/>
      </w:r>
      <w:r>
        <w:rPr>
          <w:rFonts w:hint="eastAsia"/>
        </w:rPr>
        <w:t>数据集中9个具有代表性的数据集进行效果评估。</w:t>
      </w:r>
      <w:r>
        <w:t>MoleculeNet由Wu等于2018年提出，通过提供统一的数据划分策略、评价指标及实验协议，解决了过往研究中因基准不一致导致模型性能难以横向比较的问题。</w:t>
      </w:r>
      <w:r>
        <w:rPr>
          <w:rFonts w:hint="eastAsia"/>
        </w:rPr>
        <w:t>本文选用的数据集涵盖了生物物理学、生理学及物理化学等多个领域，包含6个分类任务与3个回归任务。具体的数据集统计信息及划分方式如</w:t>
      </w:r>
      <w:r>
        <w:fldChar w:fldCharType="begin"/>
      </w:r>
      <w:r>
        <w:instrText xml:space="preserve"> </w:instrText>
      </w:r>
      <w:r>
        <w:rPr>
          <w:rFonts w:hint="eastAsia"/>
        </w:rPr>
        <w:instrText xml:space="preserve">REF _Ref224306171 \h</w:instrText>
      </w:r>
      <w:r>
        <w:instrText xml:space="preserve"> </w:instrText>
      </w:r>
      <w:r>
        <w:fldChar w:fldCharType="separate"/>
      </w:r>
      <w:r>
        <w:rPr>
          <w:rFonts w:hint="eastAsia"/>
        </w:rPr>
        <w:t>表4-</w:t>
      </w:r>
      <w:r>
        <w:t>3</w:t>
      </w:r>
      <w:r>
        <w:fldChar w:fldCharType="end"/>
      </w:r>
      <w:r>
        <w:rPr>
          <w:rFonts w:hint="eastAsia"/>
        </w:rPr>
        <w:t>所示。</w:t>
      </w:r>
    </w:p>
    <w:p>
      <w:pPr>
        <w:pStyle w:val="11"/>
      </w:pPr>
      <w:bookmarkStart w:id="114" w:name="_Ref224306171"/>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3</w:t>
      </w:r>
      <w:r>
        <w:fldChar w:fldCharType="end"/>
      </w:r>
      <w:bookmarkEnd w:id="114"/>
      <w:r>
        <w:rPr>
          <w:rFonts w:hint="eastAsia"/>
        </w:rPr>
        <w:t xml:space="preserve"> MoleculeNet数据集基本信息</w:t>
      </w:r>
    </w:p>
    <w:tbl>
      <w:tblPr>
        <w:tblStyle w:val="2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3"/>
        <w:gridCol w:w="1591"/>
        <w:gridCol w:w="1265"/>
        <w:gridCol w:w="2071"/>
        <w:gridCol w:w="1591"/>
        <w:gridCol w:w="158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bottom w:val="single" w:color="auto" w:sz="8" w:space="0"/>
            </w:tcBorders>
          </w:tcPr>
          <w:p>
            <w:pPr>
              <w:spacing w:line="300" w:lineRule="auto"/>
              <w:ind w:firstLine="0" w:firstLineChars="0"/>
              <w:jc w:val="center"/>
            </w:pPr>
            <w:r>
              <w:rPr>
                <w:rFonts w:hint="eastAsia"/>
              </w:rPr>
              <w:t>数据集</w:t>
            </w:r>
          </w:p>
        </w:tc>
        <w:tc>
          <w:tcPr>
            <w:tcW w:w="831" w:type="pct"/>
            <w:tcBorders>
              <w:bottom w:val="single" w:color="auto" w:sz="8" w:space="0"/>
            </w:tcBorders>
          </w:tcPr>
          <w:p>
            <w:pPr>
              <w:spacing w:line="300" w:lineRule="auto"/>
              <w:ind w:firstLine="0" w:firstLineChars="0"/>
              <w:jc w:val="center"/>
            </w:pPr>
            <w:r>
              <w:rPr>
                <w:rFonts w:hint="eastAsia"/>
              </w:rPr>
              <w:t>任务类型</w:t>
            </w:r>
          </w:p>
        </w:tc>
        <w:tc>
          <w:tcPr>
            <w:tcW w:w="661" w:type="pct"/>
            <w:tcBorders>
              <w:bottom w:val="single" w:color="auto" w:sz="8" w:space="0"/>
            </w:tcBorders>
          </w:tcPr>
          <w:p>
            <w:pPr>
              <w:spacing w:line="300" w:lineRule="auto"/>
              <w:ind w:firstLine="0" w:firstLineChars="0"/>
              <w:jc w:val="center"/>
            </w:pPr>
            <w:r>
              <w:rPr>
                <w:rFonts w:hint="eastAsia"/>
              </w:rPr>
              <w:t>分子数</w:t>
            </w:r>
          </w:p>
        </w:tc>
        <w:tc>
          <w:tcPr>
            <w:tcW w:w="1082" w:type="pct"/>
            <w:tcBorders>
              <w:bottom w:val="single" w:color="auto" w:sz="8" w:space="0"/>
            </w:tcBorders>
          </w:tcPr>
          <w:p>
            <w:pPr>
              <w:spacing w:line="300" w:lineRule="auto"/>
              <w:ind w:left="115" w:leftChars="48" w:firstLine="0" w:firstLineChars="0"/>
              <w:jc w:val="center"/>
            </w:pPr>
            <w:r>
              <w:rPr>
                <w:rFonts w:hint="eastAsia"/>
              </w:rPr>
              <w:t>种类</w:t>
            </w:r>
          </w:p>
        </w:tc>
        <w:tc>
          <w:tcPr>
            <w:tcW w:w="831" w:type="pct"/>
            <w:tcBorders>
              <w:bottom w:val="single" w:color="auto" w:sz="8" w:space="0"/>
            </w:tcBorders>
          </w:tcPr>
          <w:p>
            <w:pPr>
              <w:spacing w:line="300" w:lineRule="auto"/>
              <w:ind w:firstLine="0" w:firstLineChars="0"/>
              <w:jc w:val="center"/>
            </w:pPr>
            <w:r>
              <w:rPr>
                <w:rFonts w:hint="eastAsia"/>
              </w:rPr>
              <w:t>评价指标</w:t>
            </w:r>
          </w:p>
        </w:tc>
        <w:tc>
          <w:tcPr>
            <w:tcW w:w="830" w:type="pct"/>
            <w:tcBorders>
              <w:bottom w:val="single" w:color="auto" w:sz="8" w:space="0"/>
            </w:tcBorders>
          </w:tcPr>
          <w:p>
            <w:pPr>
              <w:spacing w:line="300" w:lineRule="auto"/>
              <w:ind w:firstLine="0" w:firstLineChars="0"/>
              <w:jc w:val="center"/>
            </w:pPr>
            <w:r>
              <w:rPr>
                <w:rFonts w:hint="eastAsia"/>
              </w:rPr>
              <w:t>划分方式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op w:val="single" w:color="auto" w:sz="8" w:space="0"/>
              <w:tl2br w:val="nil"/>
              <w:tr2bl w:val="nil"/>
            </w:tcBorders>
          </w:tcPr>
          <w:p>
            <w:pPr>
              <w:spacing w:line="300" w:lineRule="auto"/>
              <w:ind w:firstLine="0" w:firstLineChars="0"/>
              <w:jc w:val="center"/>
            </w:pPr>
            <w:r>
              <w:rPr>
                <w:rFonts w:hint="eastAsia"/>
              </w:rPr>
              <w:t>BACE</w:t>
            </w:r>
          </w:p>
        </w:tc>
        <w:tc>
          <w:tcPr>
            <w:tcW w:w="831" w:type="pct"/>
            <w:tcBorders>
              <w:top w:val="single" w:color="auto" w:sz="8" w:space="0"/>
              <w:tl2br w:val="nil"/>
              <w:tr2bl w:val="nil"/>
            </w:tcBorders>
          </w:tcPr>
          <w:p>
            <w:pPr>
              <w:spacing w:line="300" w:lineRule="auto"/>
              <w:ind w:firstLine="0" w:firstLineChars="0"/>
              <w:jc w:val="center"/>
            </w:pPr>
            <w:r>
              <w:rPr>
                <w:rFonts w:hint="eastAsia"/>
              </w:rPr>
              <w:t>分类</w:t>
            </w:r>
          </w:p>
        </w:tc>
        <w:tc>
          <w:tcPr>
            <w:tcW w:w="661" w:type="pct"/>
            <w:tcBorders>
              <w:top w:val="single" w:color="auto" w:sz="8" w:space="0"/>
              <w:tl2br w:val="nil"/>
              <w:tr2bl w:val="nil"/>
            </w:tcBorders>
          </w:tcPr>
          <w:p>
            <w:pPr>
              <w:spacing w:line="300" w:lineRule="auto"/>
              <w:ind w:firstLine="0" w:firstLineChars="0"/>
              <w:jc w:val="center"/>
            </w:pPr>
            <w:r>
              <w:rPr>
                <w:rFonts w:hint="eastAsia"/>
              </w:rPr>
              <w:t>1513</w:t>
            </w:r>
          </w:p>
        </w:tc>
        <w:tc>
          <w:tcPr>
            <w:tcW w:w="1082" w:type="pct"/>
            <w:tcBorders>
              <w:top w:val="single" w:color="auto" w:sz="8" w:space="0"/>
              <w:tl2br w:val="nil"/>
              <w:tr2bl w:val="nil"/>
            </w:tcBorders>
          </w:tcPr>
          <w:p>
            <w:pPr>
              <w:spacing w:line="300" w:lineRule="auto"/>
              <w:ind w:left="115" w:leftChars="48" w:firstLine="0" w:firstLineChars="0"/>
              <w:jc w:val="center"/>
            </w:pPr>
            <w:r>
              <w:rPr>
                <w:rFonts w:hint="eastAsia"/>
              </w:rPr>
              <w:t>生物物理学</w:t>
            </w:r>
          </w:p>
        </w:tc>
        <w:tc>
          <w:tcPr>
            <w:tcW w:w="831" w:type="pct"/>
            <w:tcBorders>
              <w:top w:val="single" w:color="auto" w:sz="8" w:space="0"/>
              <w:tl2br w:val="nil"/>
              <w:tr2bl w:val="nil"/>
            </w:tcBorders>
          </w:tcPr>
          <w:p>
            <w:pPr>
              <w:spacing w:line="300" w:lineRule="auto"/>
              <w:ind w:firstLine="0" w:firstLineChars="0"/>
              <w:jc w:val="center"/>
            </w:pPr>
            <w:r>
              <w:rPr>
                <w:rFonts w:hint="eastAsia"/>
              </w:rPr>
              <w:t>AUC</w:t>
            </w:r>
          </w:p>
        </w:tc>
        <w:tc>
          <w:tcPr>
            <w:tcW w:w="830" w:type="pct"/>
            <w:tcBorders>
              <w:top w:val="single" w:color="auto" w:sz="8" w:space="0"/>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BBBP</w:t>
            </w:r>
          </w:p>
        </w:tc>
        <w:tc>
          <w:tcPr>
            <w:tcW w:w="831" w:type="pct"/>
            <w:tcBorders>
              <w:tl2br w:val="nil"/>
              <w:tr2bl w:val="nil"/>
            </w:tcBorders>
          </w:tcPr>
          <w:p>
            <w:pPr>
              <w:spacing w:line="300" w:lineRule="auto"/>
              <w:ind w:firstLine="0" w:firstLineChars="0"/>
              <w:jc w:val="center"/>
            </w:pPr>
            <w:r>
              <w:rPr>
                <w:rFonts w:hint="eastAsia"/>
              </w:rPr>
              <w:t>分类</w:t>
            </w:r>
          </w:p>
        </w:tc>
        <w:tc>
          <w:tcPr>
            <w:tcW w:w="661" w:type="pct"/>
            <w:tcBorders>
              <w:tl2br w:val="nil"/>
              <w:tr2bl w:val="nil"/>
            </w:tcBorders>
          </w:tcPr>
          <w:p>
            <w:pPr>
              <w:spacing w:line="300" w:lineRule="auto"/>
              <w:ind w:firstLine="0" w:firstLineChars="0"/>
              <w:jc w:val="center"/>
            </w:pPr>
            <w:r>
              <w:rPr>
                <w:rFonts w:hint="eastAsia"/>
              </w:rPr>
              <w:t>2050</w:t>
            </w:r>
          </w:p>
        </w:tc>
        <w:tc>
          <w:tcPr>
            <w:tcW w:w="1082" w:type="pct"/>
            <w:tcBorders>
              <w:tl2br w:val="nil"/>
              <w:tr2bl w:val="nil"/>
            </w:tcBorders>
          </w:tcPr>
          <w:p>
            <w:pPr>
              <w:spacing w:line="300" w:lineRule="auto"/>
              <w:ind w:left="115" w:leftChars="48" w:firstLine="0" w:firstLineChars="0"/>
              <w:jc w:val="center"/>
            </w:pPr>
            <w:r>
              <w:rPr>
                <w:rFonts w:hint="eastAsia"/>
              </w:rPr>
              <w:t>生理学</w:t>
            </w:r>
          </w:p>
        </w:tc>
        <w:tc>
          <w:tcPr>
            <w:tcW w:w="831" w:type="pct"/>
            <w:tcBorders>
              <w:tl2br w:val="nil"/>
              <w:tr2bl w:val="nil"/>
            </w:tcBorders>
          </w:tcPr>
          <w:p>
            <w:pPr>
              <w:spacing w:line="300" w:lineRule="auto"/>
              <w:ind w:firstLine="0" w:firstLineChars="0"/>
              <w:jc w:val="center"/>
            </w:pPr>
            <w:r>
              <w:rPr>
                <w:rFonts w:hint="eastAsia"/>
              </w:rPr>
              <w:t>AUC</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ClinTox</w:t>
            </w:r>
          </w:p>
        </w:tc>
        <w:tc>
          <w:tcPr>
            <w:tcW w:w="831" w:type="pct"/>
            <w:tcBorders>
              <w:tl2br w:val="nil"/>
              <w:tr2bl w:val="nil"/>
            </w:tcBorders>
          </w:tcPr>
          <w:p>
            <w:pPr>
              <w:spacing w:line="300" w:lineRule="auto"/>
              <w:ind w:firstLine="0" w:firstLineChars="0"/>
              <w:jc w:val="center"/>
            </w:pPr>
            <w:r>
              <w:rPr>
                <w:rFonts w:hint="eastAsia"/>
              </w:rPr>
              <w:t>分类</w:t>
            </w:r>
          </w:p>
        </w:tc>
        <w:tc>
          <w:tcPr>
            <w:tcW w:w="661" w:type="pct"/>
            <w:tcBorders>
              <w:tl2br w:val="nil"/>
              <w:tr2bl w:val="nil"/>
            </w:tcBorders>
          </w:tcPr>
          <w:p>
            <w:pPr>
              <w:spacing w:line="300" w:lineRule="auto"/>
              <w:ind w:firstLine="0" w:firstLineChars="0"/>
              <w:jc w:val="center"/>
            </w:pPr>
            <w:r>
              <w:rPr>
                <w:rFonts w:hint="eastAsia"/>
              </w:rPr>
              <w:t>1484</w:t>
            </w:r>
          </w:p>
        </w:tc>
        <w:tc>
          <w:tcPr>
            <w:tcW w:w="1082" w:type="pct"/>
            <w:tcBorders>
              <w:tl2br w:val="nil"/>
              <w:tr2bl w:val="nil"/>
            </w:tcBorders>
          </w:tcPr>
          <w:p>
            <w:pPr>
              <w:spacing w:line="300" w:lineRule="auto"/>
              <w:ind w:left="115" w:leftChars="48" w:firstLine="0" w:firstLineChars="0"/>
              <w:jc w:val="center"/>
            </w:pPr>
            <w:r>
              <w:rPr>
                <w:rFonts w:hint="eastAsia"/>
              </w:rPr>
              <w:t>生理学</w:t>
            </w:r>
          </w:p>
        </w:tc>
        <w:tc>
          <w:tcPr>
            <w:tcW w:w="831" w:type="pct"/>
            <w:tcBorders>
              <w:tl2br w:val="nil"/>
              <w:tr2bl w:val="nil"/>
            </w:tcBorders>
          </w:tcPr>
          <w:p>
            <w:pPr>
              <w:spacing w:line="300" w:lineRule="auto"/>
              <w:ind w:firstLine="0" w:firstLineChars="0"/>
              <w:jc w:val="center"/>
            </w:pPr>
            <w:r>
              <w:rPr>
                <w:rFonts w:hint="eastAsia"/>
              </w:rPr>
              <w:t>AUC</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Tox21</w:t>
            </w:r>
          </w:p>
        </w:tc>
        <w:tc>
          <w:tcPr>
            <w:tcW w:w="831" w:type="pct"/>
            <w:tcBorders>
              <w:tl2br w:val="nil"/>
              <w:tr2bl w:val="nil"/>
            </w:tcBorders>
          </w:tcPr>
          <w:p>
            <w:pPr>
              <w:spacing w:line="300" w:lineRule="auto"/>
              <w:ind w:firstLine="0" w:firstLineChars="0"/>
              <w:jc w:val="center"/>
            </w:pPr>
            <w:r>
              <w:rPr>
                <w:rFonts w:hint="eastAsia"/>
              </w:rPr>
              <w:t>分类</w:t>
            </w:r>
          </w:p>
        </w:tc>
        <w:tc>
          <w:tcPr>
            <w:tcW w:w="661" w:type="pct"/>
            <w:tcBorders>
              <w:tl2br w:val="nil"/>
              <w:tr2bl w:val="nil"/>
            </w:tcBorders>
          </w:tcPr>
          <w:p>
            <w:pPr>
              <w:spacing w:line="300" w:lineRule="auto"/>
              <w:ind w:firstLine="0" w:firstLineChars="0"/>
              <w:jc w:val="center"/>
            </w:pPr>
            <w:r>
              <w:rPr>
                <w:rFonts w:hint="eastAsia"/>
              </w:rPr>
              <w:t>7831</w:t>
            </w:r>
          </w:p>
        </w:tc>
        <w:tc>
          <w:tcPr>
            <w:tcW w:w="1082" w:type="pct"/>
            <w:tcBorders>
              <w:tl2br w:val="nil"/>
              <w:tr2bl w:val="nil"/>
            </w:tcBorders>
          </w:tcPr>
          <w:p>
            <w:pPr>
              <w:spacing w:line="300" w:lineRule="auto"/>
              <w:ind w:left="115" w:leftChars="48" w:firstLine="0" w:firstLineChars="0"/>
              <w:jc w:val="center"/>
            </w:pPr>
            <w:r>
              <w:rPr>
                <w:rFonts w:hint="eastAsia"/>
              </w:rPr>
              <w:t>生理学</w:t>
            </w:r>
          </w:p>
        </w:tc>
        <w:tc>
          <w:tcPr>
            <w:tcW w:w="831" w:type="pct"/>
            <w:tcBorders>
              <w:tl2br w:val="nil"/>
              <w:tr2bl w:val="nil"/>
            </w:tcBorders>
          </w:tcPr>
          <w:p>
            <w:pPr>
              <w:spacing w:line="300" w:lineRule="auto"/>
              <w:ind w:firstLine="0" w:firstLineChars="0"/>
              <w:jc w:val="center"/>
            </w:pPr>
            <w:r>
              <w:rPr>
                <w:rFonts w:hint="eastAsia"/>
              </w:rPr>
              <w:t>AUC</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ToxCast</w:t>
            </w:r>
          </w:p>
        </w:tc>
        <w:tc>
          <w:tcPr>
            <w:tcW w:w="831" w:type="pct"/>
            <w:tcBorders>
              <w:tl2br w:val="nil"/>
              <w:tr2bl w:val="nil"/>
            </w:tcBorders>
          </w:tcPr>
          <w:p>
            <w:pPr>
              <w:spacing w:line="300" w:lineRule="auto"/>
              <w:ind w:firstLine="0" w:firstLineChars="0"/>
              <w:jc w:val="center"/>
            </w:pPr>
            <w:r>
              <w:rPr>
                <w:rFonts w:hint="eastAsia"/>
              </w:rPr>
              <w:t>分类</w:t>
            </w:r>
          </w:p>
        </w:tc>
        <w:tc>
          <w:tcPr>
            <w:tcW w:w="661" w:type="pct"/>
            <w:tcBorders>
              <w:tl2br w:val="nil"/>
              <w:tr2bl w:val="nil"/>
            </w:tcBorders>
          </w:tcPr>
          <w:p>
            <w:pPr>
              <w:spacing w:line="300" w:lineRule="auto"/>
              <w:ind w:firstLine="0" w:firstLineChars="0"/>
              <w:jc w:val="center"/>
            </w:pPr>
            <w:r>
              <w:rPr>
                <w:rFonts w:hint="eastAsia"/>
              </w:rPr>
              <w:t>8597</w:t>
            </w:r>
          </w:p>
        </w:tc>
        <w:tc>
          <w:tcPr>
            <w:tcW w:w="1082" w:type="pct"/>
            <w:tcBorders>
              <w:tl2br w:val="nil"/>
              <w:tr2bl w:val="nil"/>
            </w:tcBorders>
          </w:tcPr>
          <w:p>
            <w:pPr>
              <w:spacing w:line="300" w:lineRule="auto"/>
              <w:ind w:left="115" w:leftChars="48" w:firstLine="0" w:firstLineChars="0"/>
              <w:jc w:val="center"/>
            </w:pPr>
            <w:r>
              <w:rPr>
                <w:rFonts w:hint="eastAsia"/>
              </w:rPr>
              <w:t>生理学</w:t>
            </w:r>
          </w:p>
        </w:tc>
        <w:tc>
          <w:tcPr>
            <w:tcW w:w="831" w:type="pct"/>
            <w:tcBorders>
              <w:tl2br w:val="nil"/>
              <w:tr2bl w:val="nil"/>
            </w:tcBorders>
          </w:tcPr>
          <w:p>
            <w:pPr>
              <w:spacing w:line="300" w:lineRule="auto"/>
              <w:ind w:firstLine="0" w:firstLineChars="0"/>
              <w:jc w:val="center"/>
            </w:pPr>
            <w:r>
              <w:rPr>
                <w:rFonts w:hint="eastAsia"/>
              </w:rPr>
              <w:t>AUC</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Sider</w:t>
            </w:r>
          </w:p>
        </w:tc>
        <w:tc>
          <w:tcPr>
            <w:tcW w:w="831" w:type="pct"/>
            <w:tcBorders>
              <w:tl2br w:val="nil"/>
              <w:tr2bl w:val="nil"/>
            </w:tcBorders>
          </w:tcPr>
          <w:p>
            <w:pPr>
              <w:spacing w:line="300" w:lineRule="auto"/>
              <w:ind w:firstLine="0" w:firstLineChars="0"/>
              <w:jc w:val="center"/>
            </w:pPr>
            <w:r>
              <w:rPr>
                <w:rFonts w:hint="eastAsia"/>
              </w:rPr>
              <w:t>分类</w:t>
            </w:r>
          </w:p>
        </w:tc>
        <w:tc>
          <w:tcPr>
            <w:tcW w:w="661" w:type="pct"/>
            <w:tcBorders>
              <w:tl2br w:val="nil"/>
              <w:tr2bl w:val="nil"/>
            </w:tcBorders>
          </w:tcPr>
          <w:p>
            <w:pPr>
              <w:spacing w:line="300" w:lineRule="auto"/>
              <w:ind w:firstLine="0" w:firstLineChars="0"/>
              <w:jc w:val="center"/>
            </w:pPr>
            <w:r>
              <w:rPr>
                <w:rFonts w:hint="eastAsia"/>
              </w:rPr>
              <w:t>1427</w:t>
            </w:r>
          </w:p>
        </w:tc>
        <w:tc>
          <w:tcPr>
            <w:tcW w:w="1082" w:type="pct"/>
            <w:tcBorders>
              <w:tl2br w:val="nil"/>
              <w:tr2bl w:val="nil"/>
            </w:tcBorders>
          </w:tcPr>
          <w:p>
            <w:pPr>
              <w:spacing w:line="300" w:lineRule="auto"/>
              <w:ind w:left="115" w:leftChars="48" w:firstLine="0" w:firstLineChars="0"/>
              <w:jc w:val="center"/>
            </w:pPr>
            <w:r>
              <w:rPr>
                <w:rFonts w:hint="eastAsia"/>
              </w:rPr>
              <w:t>生理学</w:t>
            </w:r>
          </w:p>
        </w:tc>
        <w:tc>
          <w:tcPr>
            <w:tcW w:w="831" w:type="pct"/>
            <w:tcBorders>
              <w:tl2br w:val="nil"/>
              <w:tr2bl w:val="nil"/>
            </w:tcBorders>
          </w:tcPr>
          <w:p>
            <w:pPr>
              <w:spacing w:line="300" w:lineRule="auto"/>
              <w:ind w:firstLine="0" w:firstLineChars="0"/>
              <w:jc w:val="center"/>
            </w:pPr>
            <w:r>
              <w:rPr>
                <w:rFonts w:hint="eastAsia"/>
              </w:rPr>
              <w:t>AUC</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FreeSolv</w:t>
            </w:r>
          </w:p>
        </w:tc>
        <w:tc>
          <w:tcPr>
            <w:tcW w:w="831" w:type="pct"/>
            <w:tcBorders>
              <w:tl2br w:val="nil"/>
              <w:tr2bl w:val="nil"/>
            </w:tcBorders>
          </w:tcPr>
          <w:p>
            <w:pPr>
              <w:spacing w:line="300" w:lineRule="auto"/>
              <w:ind w:firstLine="0" w:firstLineChars="0"/>
              <w:jc w:val="center"/>
            </w:pPr>
            <w:r>
              <w:rPr>
                <w:rFonts w:hint="eastAsia"/>
              </w:rPr>
              <w:t>回归</w:t>
            </w:r>
          </w:p>
        </w:tc>
        <w:tc>
          <w:tcPr>
            <w:tcW w:w="661" w:type="pct"/>
            <w:tcBorders>
              <w:tl2br w:val="nil"/>
              <w:tr2bl w:val="nil"/>
            </w:tcBorders>
          </w:tcPr>
          <w:p>
            <w:pPr>
              <w:spacing w:line="300" w:lineRule="auto"/>
              <w:ind w:firstLine="0" w:firstLineChars="0"/>
              <w:jc w:val="center"/>
            </w:pPr>
            <w:r>
              <w:rPr>
                <w:rFonts w:hint="eastAsia"/>
              </w:rPr>
              <w:t>642</w:t>
            </w:r>
          </w:p>
        </w:tc>
        <w:tc>
          <w:tcPr>
            <w:tcW w:w="1082" w:type="pct"/>
            <w:tcBorders>
              <w:tl2br w:val="nil"/>
              <w:tr2bl w:val="nil"/>
            </w:tcBorders>
          </w:tcPr>
          <w:p>
            <w:pPr>
              <w:spacing w:line="300" w:lineRule="auto"/>
              <w:ind w:left="115" w:leftChars="48" w:firstLine="0" w:firstLineChars="0"/>
              <w:jc w:val="center"/>
            </w:pPr>
            <w:r>
              <w:rPr>
                <w:rFonts w:hint="eastAsia"/>
              </w:rPr>
              <w:t>物理化学</w:t>
            </w:r>
          </w:p>
        </w:tc>
        <w:tc>
          <w:tcPr>
            <w:tcW w:w="831" w:type="pct"/>
            <w:tcBorders>
              <w:tl2br w:val="nil"/>
              <w:tr2bl w:val="nil"/>
            </w:tcBorders>
          </w:tcPr>
          <w:p>
            <w:pPr>
              <w:spacing w:line="300" w:lineRule="auto"/>
              <w:ind w:firstLine="0" w:firstLineChars="0"/>
              <w:jc w:val="center"/>
            </w:pPr>
            <w:r>
              <w:rPr>
                <w:rFonts w:hint="eastAsia"/>
              </w:rPr>
              <w:t>RMSE</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ESOL</w:t>
            </w:r>
          </w:p>
        </w:tc>
        <w:tc>
          <w:tcPr>
            <w:tcW w:w="831" w:type="pct"/>
            <w:tcBorders>
              <w:tl2br w:val="nil"/>
              <w:tr2bl w:val="nil"/>
            </w:tcBorders>
          </w:tcPr>
          <w:p>
            <w:pPr>
              <w:spacing w:line="300" w:lineRule="auto"/>
              <w:ind w:firstLine="0" w:firstLineChars="0"/>
              <w:jc w:val="center"/>
            </w:pPr>
            <w:r>
              <w:rPr>
                <w:rFonts w:hint="eastAsia"/>
              </w:rPr>
              <w:t>回归</w:t>
            </w:r>
          </w:p>
        </w:tc>
        <w:tc>
          <w:tcPr>
            <w:tcW w:w="661" w:type="pct"/>
            <w:tcBorders>
              <w:tl2br w:val="nil"/>
              <w:tr2bl w:val="nil"/>
            </w:tcBorders>
          </w:tcPr>
          <w:p>
            <w:pPr>
              <w:spacing w:line="300" w:lineRule="auto"/>
              <w:ind w:firstLine="0" w:firstLineChars="0"/>
              <w:jc w:val="center"/>
            </w:pPr>
            <w:r>
              <w:rPr>
                <w:rFonts w:hint="eastAsia"/>
              </w:rPr>
              <w:t>1128</w:t>
            </w:r>
          </w:p>
        </w:tc>
        <w:tc>
          <w:tcPr>
            <w:tcW w:w="1082" w:type="pct"/>
            <w:tcBorders>
              <w:tl2br w:val="nil"/>
              <w:tr2bl w:val="nil"/>
            </w:tcBorders>
          </w:tcPr>
          <w:p>
            <w:pPr>
              <w:spacing w:line="300" w:lineRule="auto"/>
              <w:ind w:left="115" w:leftChars="48" w:firstLine="0" w:firstLineChars="0"/>
              <w:jc w:val="center"/>
            </w:pPr>
            <w:r>
              <w:rPr>
                <w:rFonts w:hint="eastAsia"/>
              </w:rPr>
              <w:t>物理化学</w:t>
            </w:r>
          </w:p>
        </w:tc>
        <w:tc>
          <w:tcPr>
            <w:tcW w:w="831" w:type="pct"/>
            <w:tcBorders>
              <w:tl2br w:val="nil"/>
              <w:tr2bl w:val="nil"/>
            </w:tcBorders>
          </w:tcPr>
          <w:p>
            <w:pPr>
              <w:spacing w:line="300" w:lineRule="auto"/>
              <w:ind w:firstLine="0" w:firstLineChars="0"/>
              <w:jc w:val="center"/>
            </w:pPr>
            <w:r>
              <w:rPr>
                <w:rFonts w:hint="eastAsia"/>
              </w:rPr>
              <w:t>RMSE</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Lipo</w:t>
            </w:r>
          </w:p>
        </w:tc>
        <w:tc>
          <w:tcPr>
            <w:tcW w:w="831" w:type="pct"/>
            <w:tcBorders>
              <w:tl2br w:val="nil"/>
              <w:tr2bl w:val="nil"/>
            </w:tcBorders>
          </w:tcPr>
          <w:p>
            <w:pPr>
              <w:spacing w:line="300" w:lineRule="auto"/>
              <w:ind w:firstLine="0" w:firstLineChars="0"/>
              <w:jc w:val="center"/>
            </w:pPr>
            <w:r>
              <w:rPr>
                <w:rFonts w:hint="eastAsia"/>
              </w:rPr>
              <w:t>回归</w:t>
            </w:r>
          </w:p>
        </w:tc>
        <w:tc>
          <w:tcPr>
            <w:tcW w:w="661" w:type="pct"/>
            <w:tcBorders>
              <w:tl2br w:val="nil"/>
              <w:tr2bl w:val="nil"/>
            </w:tcBorders>
          </w:tcPr>
          <w:p>
            <w:pPr>
              <w:spacing w:line="300" w:lineRule="auto"/>
              <w:ind w:firstLine="0" w:firstLineChars="0"/>
              <w:jc w:val="center"/>
            </w:pPr>
            <w:r>
              <w:rPr>
                <w:rFonts w:hint="eastAsia"/>
              </w:rPr>
              <w:t>4200</w:t>
            </w:r>
          </w:p>
        </w:tc>
        <w:tc>
          <w:tcPr>
            <w:tcW w:w="1082" w:type="pct"/>
            <w:tcBorders>
              <w:tl2br w:val="nil"/>
              <w:tr2bl w:val="nil"/>
            </w:tcBorders>
          </w:tcPr>
          <w:p>
            <w:pPr>
              <w:spacing w:line="300" w:lineRule="auto"/>
              <w:ind w:left="115" w:leftChars="48" w:firstLine="0" w:firstLineChars="0"/>
              <w:jc w:val="center"/>
            </w:pPr>
            <w:r>
              <w:rPr>
                <w:rFonts w:hint="eastAsia"/>
              </w:rPr>
              <w:t>物理化学</w:t>
            </w:r>
          </w:p>
        </w:tc>
        <w:tc>
          <w:tcPr>
            <w:tcW w:w="831" w:type="pct"/>
            <w:tcBorders>
              <w:tl2br w:val="nil"/>
              <w:tr2bl w:val="nil"/>
            </w:tcBorders>
          </w:tcPr>
          <w:p>
            <w:pPr>
              <w:spacing w:line="300" w:lineRule="auto"/>
              <w:ind w:firstLine="0" w:firstLineChars="0"/>
              <w:jc w:val="center"/>
            </w:pPr>
            <w:r>
              <w:rPr>
                <w:rFonts w:hint="eastAsia"/>
              </w:rPr>
              <w:t>RMSE</w:t>
            </w:r>
          </w:p>
        </w:tc>
        <w:tc>
          <w:tcPr>
            <w:tcW w:w="830" w:type="pct"/>
            <w:tcBorders>
              <w:tl2br w:val="nil"/>
              <w:tr2bl w:val="nil"/>
            </w:tcBorders>
          </w:tcPr>
          <w:p>
            <w:pPr>
              <w:spacing w:line="300" w:lineRule="auto"/>
              <w:ind w:firstLine="0" w:firstLineChars="0"/>
              <w:jc w:val="center"/>
            </w:pPr>
            <w:r>
              <w:t>Scaffold Split</w:t>
            </w:r>
          </w:p>
        </w:tc>
      </w:tr>
    </w:tbl>
    <w:p/>
    <w:p>
      <w:r>
        <w:rPr>
          <w:rFonts w:hint="eastAsia"/>
        </w:rPr>
        <w:t>BACE：判断分子是否为β-分泌酶1的抑制剂。BACE1过度激活会导致大脑中异常淀粉样蛋白沉积，是阿尔茨海默病的关键致病因素，该任务用于筛选潜在的抗阿尔茨海默病药物。</w:t>
      </w:r>
    </w:p>
    <w:p>
      <w:r>
        <w:rPr>
          <w:rFonts w:hint="eastAsia"/>
        </w:rPr>
        <w:t>BBBP：判断分子能否穿透血脑屏障。血脑屏障是中枢神经系统的保护屏障，若开发治疗阿尔茨海默病、帕金森病等脑部疾病的药物，需要分子具备穿透该屏障的能力。</w:t>
      </w:r>
    </w:p>
    <w:p>
      <w:r>
        <w:rPr>
          <w:rFonts w:hint="eastAsia"/>
        </w:rPr>
        <w:t>ClinTox：判断分子在临床实验阶段是否存在毒性。该任务可筛选出临床风险低的分子，降低研发失败率。</w:t>
      </w:r>
    </w:p>
    <w:p>
      <w:pPr>
        <w:ind w:left="1" w:firstLine="477" w:firstLineChars="199"/>
      </w:pPr>
      <w:r>
        <w:rPr>
          <w:rFonts w:hint="eastAsia"/>
        </w:rPr>
        <w:t>Tox21：判断分子对21种毒性相关生物靶点的活性。该任务可全面评估分子的多维度毒性，是药物安全性评估的核心任务之一。</w:t>
      </w:r>
    </w:p>
    <w:p>
      <w:pPr>
        <w:ind w:left="1" w:firstLine="477" w:firstLineChars="199"/>
      </w:pPr>
      <w:r>
        <w:rPr>
          <w:rFonts w:hint="eastAsia"/>
        </w:rPr>
        <w:t>ToxCast：判断分子是否具有致癌性、致突变性等长期毒性。长期毒性是药物上市前的重要评估指标，该任务可提前识别分子的潜在长期风险。</w:t>
      </w:r>
    </w:p>
    <w:p>
      <w:r>
        <w:rPr>
          <w:rFonts w:hint="eastAsia"/>
        </w:rPr>
        <w:t>Sider：判断分子是否具有已知的副作用。SIDER数据库收录了药物已报道的副作用信息，该任务可提前评估分子的安全性风险，避免后续临床实验中因严重副作用终止研发。</w:t>
      </w:r>
    </w:p>
    <w:p>
      <w:r>
        <w:rPr>
          <w:rFonts w:hint="eastAsia"/>
        </w:rPr>
        <w:t>ESOL：预测分子的水溶性。该任务可指导优化分子结构以提升水溶性。</w:t>
      </w:r>
      <w:r>
        <w:t>水溶性是药物开发中最为关键的药代动力学参数之一</w:t>
      </w:r>
      <w:r>
        <w:rPr>
          <w:rFonts w:hint="eastAsia"/>
        </w:rPr>
        <w:t>。</w:t>
      </w:r>
    </w:p>
    <w:p>
      <w:r>
        <w:rPr>
          <w:rFonts w:hint="eastAsia"/>
        </w:rPr>
        <w:t>FreeSolv：预测分子在水中的溶剂化自由能。该任务为分子的溶剂选择、剂型设计提供依据。</w:t>
      </w:r>
    </w:p>
    <w:p>
      <w:r>
        <w:rPr>
          <w:rFonts w:hint="eastAsia"/>
        </w:rPr>
        <w:t>Lipo：预测分子的脂溶性。脂溶性影响药物的跨膜吸收、组织分布，脂溶性过高或过低都会影响药效，该任务可优化分子的脂溶性以平衡吸收与分布。</w:t>
      </w:r>
    </w:p>
    <w:p>
      <w:r>
        <w:rPr>
          <w:rFonts w:hint="eastAsia"/>
        </w:rPr>
        <w:t>如</w:t>
      </w:r>
      <w:r>
        <w:fldChar w:fldCharType="begin"/>
      </w:r>
      <w:r>
        <w:instrText xml:space="preserve"> </w:instrText>
      </w:r>
      <w:r>
        <w:rPr>
          <w:rFonts w:hint="eastAsia"/>
        </w:rPr>
        <w:instrText xml:space="preserve">REF _Ref224641122 \h</w:instrText>
      </w:r>
      <w:r>
        <w:instrText xml:space="preserve"> </w:instrText>
      </w:r>
      <w:r>
        <w:fldChar w:fldCharType="separate"/>
      </w:r>
      <w:r>
        <w:rPr>
          <w:rFonts w:hint="eastAsia"/>
        </w:rPr>
        <w:t>图4-</w:t>
      </w:r>
      <w:r>
        <w:t>3</w:t>
      </w:r>
      <w:r>
        <w:fldChar w:fldCharType="end"/>
      </w:r>
      <w:r>
        <w:rPr>
          <w:rFonts w:hint="eastAsia"/>
        </w:rPr>
        <w:t>所示，本文对6个分类数据集和3个回归数据集进行了可视化展示。分类任务通过柱状图展示已标注样本的正负类别分布，结果表明不同数据集的类别平衡性差异明显：BACE和Sider相对均衡，而Tox21、ClinTox、ToxCast以及BBBP存在不同程度的类别不平衡。回归任务通过直方图和密度曲线展示标签值分布，结果显示FreeSolv、ESOL和Lipo在取值范围、集中区域及分布形态上均存在显著差异。</w:t>
      </w:r>
      <w:r>
        <w:fldChar w:fldCharType="begin"/>
      </w:r>
      <w:r>
        <w:instrText xml:space="preserve"> </w:instrText>
      </w:r>
      <w:r>
        <w:rPr>
          <w:rFonts w:hint="eastAsia"/>
        </w:rPr>
        <w:instrText xml:space="preserve">REF _Ref224641122 \h</w:instrText>
      </w:r>
      <w:r>
        <w:instrText xml:space="preserve"> </w:instrText>
      </w:r>
      <w:r>
        <w:fldChar w:fldCharType="separate"/>
      </w:r>
      <w:r>
        <w:rPr>
          <w:rFonts w:hint="eastAsia"/>
        </w:rPr>
        <w:t>图4-</w:t>
      </w:r>
      <w:r>
        <w:t>3</w:t>
      </w:r>
      <w:r>
        <w:fldChar w:fldCharType="end"/>
      </w:r>
      <w:r>
        <w:rPr>
          <w:rFonts w:hint="eastAsia"/>
        </w:rPr>
        <w:t>可视化结果是对数据集进行去重和规范后的结果，清洗后的数据集分子数量可能会有一些变化。对于多任务数据集，缺失标签仅表示该任务未标注，因此未作为独立类别参与可视化统计，例如Tox21数据集使用</w:t>
      </w:r>
      <w:r>
        <w:t>NR-AR</w:t>
      </w:r>
      <w:r>
        <w:rPr>
          <w:rFonts w:hint="eastAsia"/>
        </w:rPr>
        <w:t>任务进行可视化统计。</w:t>
      </w:r>
      <w:r>
        <w:commentReference w:id="6"/>
      </w:r>
    </w:p>
    <w:p/>
    <w:p>
      <w:pPr>
        <w:ind w:firstLine="0" w:firstLineChars="0"/>
        <w:jc w:val="center"/>
      </w:pPr>
      <w:r>
        <w:rPr>
          <w:rFonts w:hint="eastAsia"/>
        </w:rPr>
        <w:drawing>
          <wp:inline distT="0" distB="0" distL="0" distR="0">
            <wp:extent cx="5316220" cy="4453890"/>
            <wp:effectExtent l="0" t="0" r="0" b="3810"/>
            <wp:docPr id="2772395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9585" name="图片 6"/>
                    <pic:cNvPicPr>
                      <a:picLocks noChangeAspect="1"/>
                    </pic:cNvPicPr>
                  </pic:nvPicPr>
                  <pic:blipFill>
                    <a:blip r:embed="rId404"/>
                    <a:stretch>
                      <a:fillRect/>
                    </a:stretch>
                  </pic:blipFill>
                  <pic:spPr>
                    <a:xfrm>
                      <a:off x="0" y="0"/>
                      <a:ext cx="5378406" cy="4506155"/>
                    </a:xfrm>
                    <a:prstGeom prst="rect">
                      <a:avLst/>
                    </a:prstGeom>
                  </pic:spPr>
                </pic:pic>
              </a:graphicData>
            </a:graphic>
          </wp:inline>
        </w:drawing>
      </w:r>
    </w:p>
    <w:p>
      <w:pPr>
        <w:pStyle w:val="11"/>
      </w:pPr>
      <w:bookmarkStart w:id="115" w:name="_Ref224641122"/>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3</w:t>
      </w:r>
      <w:r>
        <w:fldChar w:fldCharType="end"/>
      </w:r>
      <w:bookmarkEnd w:id="115"/>
      <w:r>
        <w:rPr>
          <w:rFonts w:hint="eastAsia"/>
        </w:rPr>
        <w:t xml:space="preserve"> 各数据集标签分布的可视化结果</w:t>
      </w:r>
    </w:p>
    <w:p>
      <w:pPr>
        <w:pStyle w:val="4"/>
        <w:rPr>
          <w:rFonts w:hint="default"/>
        </w:rPr>
      </w:pPr>
      <w:bookmarkStart w:id="116" w:name="_Toc229423365"/>
      <w:r>
        <w:t>实验设置</w:t>
      </w:r>
      <w:bookmarkEnd w:id="116"/>
    </w:p>
    <w:p>
      <w:r>
        <w:rPr>
          <w:rFonts w:hint="eastAsia"/>
        </w:rPr>
        <w:t>（1）实验环境</w:t>
      </w:r>
    </w:p>
    <w:p>
      <w:r>
        <w:rPr>
          <w:rFonts w:hint="eastAsia"/>
        </w:rPr>
        <w:t>本文中的实验均在Linux操作系统上进行实验，各个类别的详细信息如</w:t>
      </w:r>
      <w:r>
        <w:fldChar w:fldCharType="begin"/>
      </w:r>
      <w:r>
        <w:instrText xml:space="preserve"> </w:instrText>
      </w:r>
      <w:r>
        <w:rPr>
          <w:rFonts w:hint="eastAsia"/>
        </w:rPr>
        <w:instrText xml:space="preserve">REF _Ref226489013 \h</w:instrText>
      </w:r>
      <w:r>
        <w:instrText xml:space="preserve"> </w:instrText>
      </w:r>
      <w:r>
        <w:fldChar w:fldCharType="separate"/>
      </w:r>
      <w:r>
        <w:rPr>
          <w:rFonts w:hint="eastAsia"/>
        </w:rPr>
        <w:t>表4-</w:t>
      </w:r>
      <w:r>
        <w:t>4</w:t>
      </w:r>
      <w:r>
        <w:fldChar w:fldCharType="end"/>
      </w:r>
      <w:r>
        <w:rPr>
          <w:rFonts w:hint="eastAsia"/>
        </w:rPr>
        <w:t>所示。</w:t>
      </w:r>
    </w:p>
    <w:p>
      <w:pPr>
        <w:pStyle w:val="11"/>
      </w:pPr>
      <w:bookmarkStart w:id="117" w:name="_Ref226489013"/>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4</w:t>
      </w:r>
      <w:r>
        <w:fldChar w:fldCharType="end"/>
      </w:r>
      <w:bookmarkEnd w:id="117"/>
      <w:r>
        <w:rPr>
          <w:rFonts w:hint="eastAsia"/>
        </w:rPr>
        <w:t xml:space="preserve"> 实验软硬件环境配置详情</w:t>
      </w:r>
    </w:p>
    <w:tbl>
      <w:tblPr>
        <w:tblStyle w:val="2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9"/>
        <w:gridCol w:w="2394"/>
        <w:gridCol w:w="5517"/>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tcBorders>
              <w:bottom w:val="single" w:color="auto" w:sz="8" w:space="0"/>
            </w:tcBorders>
            <w:vAlign w:val="center"/>
          </w:tcPr>
          <w:p>
            <w:pPr>
              <w:spacing w:line="300" w:lineRule="auto"/>
            </w:pPr>
            <w:r>
              <w:rPr>
                <w:rFonts w:hint="eastAsia"/>
              </w:rPr>
              <w:t>类别</w:t>
            </w:r>
          </w:p>
        </w:tc>
        <w:tc>
          <w:tcPr>
            <w:tcW w:w="1251" w:type="pct"/>
            <w:tcBorders>
              <w:bottom w:val="single" w:color="auto" w:sz="8" w:space="0"/>
            </w:tcBorders>
            <w:vAlign w:val="center"/>
          </w:tcPr>
          <w:p>
            <w:pPr>
              <w:spacing w:line="300" w:lineRule="auto"/>
            </w:pPr>
            <w:r>
              <w:rPr>
                <w:rFonts w:hint="eastAsia"/>
              </w:rPr>
              <w:t>组件/库</w:t>
            </w:r>
          </w:p>
        </w:tc>
        <w:tc>
          <w:tcPr>
            <w:tcW w:w="2882" w:type="pct"/>
            <w:tcBorders>
              <w:bottom w:val="single" w:color="auto" w:sz="8" w:space="0"/>
            </w:tcBorders>
            <w:vAlign w:val="center"/>
          </w:tcPr>
          <w:p>
            <w:pPr>
              <w:spacing w:line="300" w:lineRule="auto"/>
            </w:pPr>
            <w:r>
              <w:rPr>
                <w:rFonts w:hint="eastAsia"/>
              </w:rPr>
              <w:t>版本/规格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restart"/>
            <w:tcBorders>
              <w:top w:val="single" w:color="auto" w:sz="8" w:space="0"/>
            </w:tcBorders>
            <w:vAlign w:val="center"/>
          </w:tcPr>
          <w:p>
            <w:pPr>
              <w:spacing w:line="300" w:lineRule="auto"/>
            </w:pPr>
            <w:r>
              <w:rPr>
                <w:rFonts w:hint="eastAsia"/>
              </w:rPr>
              <w:t>系统</w:t>
            </w:r>
          </w:p>
        </w:tc>
        <w:tc>
          <w:tcPr>
            <w:tcW w:w="1251" w:type="pct"/>
            <w:tcBorders>
              <w:top w:val="single" w:color="auto" w:sz="8" w:space="0"/>
            </w:tcBorders>
            <w:vAlign w:val="center"/>
          </w:tcPr>
          <w:p>
            <w:pPr>
              <w:spacing w:line="300" w:lineRule="auto"/>
            </w:pPr>
            <w:r>
              <w:rPr>
                <w:rFonts w:hint="eastAsia"/>
              </w:rPr>
              <w:t>OS</w:t>
            </w:r>
          </w:p>
        </w:tc>
        <w:tc>
          <w:tcPr>
            <w:tcW w:w="2882" w:type="pct"/>
            <w:tcBorders>
              <w:top w:val="single" w:color="auto" w:sz="8" w:space="0"/>
            </w:tcBorders>
            <w:vAlign w:val="center"/>
          </w:tcPr>
          <w:p>
            <w:pPr>
              <w:spacing w:line="300" w:lineRule="auto"/>
            </w:pPr>
            <w:r>
              <w:rPr>
                <w:rFonts w:hint="eastAsia"/>
              </w:rPr>
              <w:t>Ubuntu 24.04.1 LTS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bottom w:val="nil"/>
            </w:tcBorders>
            <w:vAlign w:val="center"/>
          </w:tcPr>
          <w:p>
            <w:pPr>
              <w:spacing w:line="300" w:lineRule="auto"/>
            </w:pPr>
          </w:p>
        </w:tc>
        <w:tc>
          <w:tcPr>
            <w:tcW w:w="1251" w:type="pct"/>
            <w:tcBorders>
              <w:bottom w:val="nil"/>
            </w:tcBorders>
            <w:vAlign w:val="center"/>
          </w:tcPr>
          <w:p>
            <w:pPr>
              <w:spacing w:line="300" w:lineRule="auto"/>
            </w:pPr>
            <w:r>
              <w:rPr>
                <w:rFonts w:hint="eastAsia"/>
              </w:rPr>
              <w:t>CUDA</w:t>
            </w:r>
          </w:p>
        </w:tc>
        <w:tc>
          <w:tcPr>
            <w:tcW w:w="2882" w:type="pct"/>
            <w:tcBorders>
              <w:bottom w:val="nil"/>
            </w:tcBorders>
            <w:vAlign w:val="center"/>
          </w:tcPr>
          <w:p>
            <w:pPr>
              <w:spacing w:line="300" w:lineRule="auto"/>
            </w:pPr>
            <w:r>
              <w:rPr>
                <w:rFonts w:hint="eastAsia"/>
              </w:rPr>
              <w:t>12.2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restart"/>
            <w:tcBorders>
              <w:top w:val="nil"/>
              <w:bottom w:val="nil"/>
              <w:tl2br w:val="nil"/>
              <w:tr2bl w:val="nil"/>
            </w:tcBorders>
            <w:vAlign w:val="center"/>
          </w:tcPr>
          <w:p>
            <w:pPr>
              <w:spacing w:line="300" w:lineRule="auto"/>
            </w:pPr>
            <w:r>
              <w:rPr>
                <w:rFonts w:hint="eastAsia"/>
              </w:rPr>
              <w:t>硬件</w:t>
            </w:r>
          </w:p>
        </w:tc>
        <w:tc>
          <w:tcPr>
            <w:tcW w:w="1251" w:type="pct"/>
            <w:tcBorders>
              <w:top w:val="nil"/>
              <w:bottom w:val="nil"/>
              <w:tl2br w:val="nil"/>
              <w:tr2bl w:val="nil"/>
            </w:tcBorders>
            <w:vAlign w:val="center"/>
          </w:tcPr>
          <w:p>
            <w:pPr>
              <w:spacing w:line="300" w:lineRule="auto"/>
            </w:pPr>
            <w:r>
              <w:rPr>
                <w:rFonts w:hint="eastAsia"/>
              </w:rPr>
              <w:t>GPU</w:t>
            </w:r>
          </w:p>
        </w:tc>
        <w:tc>
          <w:tcPr>
            <w:tcW w:w="2882" w:type="pct"/>
            <w:tcBorders>
              <w:top w:val="nil"/>
              <w:bottom w:val="nil"/>
              <w:tl2br w:val="nil"/>
              <w:tr2bl w:val="nil"/>
            </w:tcBorders>
            <w:vAlign w:val="center"/>
          </w:tcPr>
          <w:p>
            <w:pPr>
              <w:spacing w:line="300" w:lineRule="auto"/>
            </w:pPr>
            <w:r>
              <w:rPr>
                <w:rFonts w:hint="eastAsia"/>
              </w:rPr>
              <w:t>NVIDIA GeForce RTX 4090 (24GB)</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top w:val="nil"/>
              <w:bottom w:val="nil"/>
              <w:tl2br w:val="nil"/>
              <w:tr2bl w:val="nil"/>
            </w:tcBorders>
            <w:vAlign w:val="center"/>
          </w:tcPr>
          <w:p>
            <w:pPr>
              <w:spacing w:line="300" w:lineRule="auto"/>
            </w:pPr>
          </w:p>
        </w:tc>
        <w:tc>
          <w:tcPr>
            <w:tcW w:w="1251" w:type="pct"/>
            <w:tcBorders>
              <w:top w:val="nil"/>
              <w:bottom w:val="nil"/>
              <w:tl2br w:val="nil"/>
              <w:tr2bl w:val="nil"/>
            </w:tcBorders>
            <w:vAlign w:val="center"/>
          </w:tcPr>
          <w:p>
            <w:pPr>
              <w:spacing w:line="300" w:lineRule="auto"/>
            </w:pPr>
            <w:r>
              <w:rPr>
                <w:rFonts w:hint="eastAsia"/>
              </w:rPr>
              <w:t>CPU</w:t>
            </w:r>
          </w:p>
        </w:tc>
        <w:tc>
          <w:tcPr>
            <w:tcW w:w="2882" w:type="pct"/>
            <w:tcBorders>
              <w:top w:val="nil"/>
              <w:bottom w:val="nil"/>
              <w:tl2br w:val="nil"/>
              <w:tr2bl w:val="nil"/>
            </w:tcBorders>
            <w:vAlign w:val="center"/>
          </w:tcPr>
          <w:p>
            <w:pPr>
              <w:spacing w:line="300" w:lineRule="auto"/>
            </w:pPr>
            <w:r>
              <w:rPr>
                <w:rFonts w:hint="eastAsia"/>
              </w:rPr>
              <w:t>Intel Core i7-12700KF</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top w:val="nil"/>
              <w:bottom w:val="nil"/>
              <w:tl2br w:val="nil"/>
              <w:tr2bl w:val="nil"/>
            </w:tcBorders>
            <w:vAlign w:val="center"/>
          </w:tcPr>
          <w:p>
            <w:pPr>
              <w:spacing w:line="300" w:lineRule="auto"/>
            </w:pPr>
          </w:p>
        </w:tc>
        <w:tc>
          <w:tcPr>
            <w:tcW w:w="1251" w:type="pct"/>
            <w:tcBorders>
              <w:top w:val="nil"/>
              <w:bottom w:val="nil"/>
              <w:tl2br w:val="nil"/>
              <w:tr2bl w:val="nil"/>
            </w:tcBorders>
            <w:vAlign w:val="center"/>
          </w:tcPr>
          <w:p>
            <w:pPr>
              <w:spacing w:line="300" w:lineRule="auto"/>
            </w:pPr>
            <w:r>
              <w:rPr>
                <w:rFonts w:hint="eastAsia"/>
              </w:rPr>
              <w:t>RAM</w:t>
            </w:r>
          </w:p>
        </w:tc>
        <w:tc>
          <w:tcPr>
            <w:tcW w:w="2882" w:type="pct"/>
            <w:tcBorders>
              <w:top w:val="nil"/>
              <w:bottom w:val="nil"/>
              <w:tl2br w:val="nil"/>
              <w:tr2bl w:val="nil"/>
            </w:tcBorders>
            <w:vAlign w:val="center"/>
          </w:tcPr>
          <w:p>
            <w:pPr>
              <w:spacing w:line="300" w:lineRule="auto"/>
            </w:pPr>
            <w:r>
              <w:rPr>
                <w:rFonts w:hint="eastAsia"/>
              </w:rPr>
              <w:t>64G</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restart"/>
            <w:tcBorders>
              <w:top w:val="nil"/>
              <w:tl2br w:val="nil"/>
              <w:tr2bl w:val="nil"/>
            </w:tcBorders>
            <w:vAlign w:val="center"/>
          </w:tcPr>
          <w:p>
            <w:pPr>
              <w:spacing w:line="300" w:lineRule="auto"/>
            </w:pPr>
            <w:r>
              <w:rPr>
                <w:rFonts w:hint="eastAsia"/>
              </w:rPr>
              <w:t>软件</w:t>
            </w:r>
          </w:p>
        </w:tc>
        <w:tc>
          <w:tcPr>
            <w:tcW w:w="1251" w:type="pct"/>
            <w:tcBorders>
              <w:top w:val="nil"/>
              <w:tl2br w:val="nil"/>
              <w:tr2bl w:val="nil"/>
            </w:tcBorders>
            <w:vAlign w:val="center"/>
          </w:tcPr>
          <w:p>
            <w:pPr>
              <w:spacing w:line="300" w:lineRule="auto"/>
            </w:pPr>
            <w:r>
              <w:rPr>
                <w:rFonts w:hint="eastAsia"/>
              </w:rPr>
              <w:t>Python</w:t>
            </w:r>
          </w:p>
        </w:tc>
        <w:tc>
          <w:tcPr>
            <w:tcW w:w="2882" w:type="pct"/>
            <w:tcBorders>
              <w:top w:val="nil"/>
              <w:tl2br w:val="nil"/>
              <w:tr2bl w:val="nil"/>
            </w:tcBorders>
            <w:vAlign w:val="center"/>
          </w:tcPr>
          <w:p>
            <w:pPr>
              <w:spacing w:line="300" w:lineRule="auto"/>
            </w:pPr>
            <w:r>
              <w:rPr>
                <w:rFonts w:hint="eastAsia"/>
              </w:rPr>
              <w:t>3.10.19</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tl2br w:val="nil"/>
              <w:tr2bl w:val="nil"/>
            </w:tcBorders>
            <w:vAlign w:val="center"/>
          </w:tcPr>
          <w:p>
            <w:pPr>
              <w:spacing w:line="300" w:lineRule="auto"/>
            </w:pPr>
          </w:p>
        </w:tc>
        <w:tc>
          <w:tcPr>
            <w:tcW w:w="1251" w:type="pct"/>
            <w:tcBorders>
              <w:tl2br w:val="nil"/>
              <w:tr2bl w:val="nil"/>
            </w:tcBorders>
            <w:vAlign w:val="center"/>
          </w:tcPr>
          <w:p>
            <w:pPr>
              <w:spacing w:line="300" w:lineRule="auto"/>
            </w:pPr>
            <w:r>
              <w:rPr>
                <w:rFonts w:hint="eastAsia"/>
              </w:rPr>
              <w:t>PyTorch</w:t>
            </w:r>
          </w:p>
        </w:tc>
        <w:tc>
          <w:tcPr>
            <w:tcW w:w="2882" w:type="pct"/>
            <w:tcBorders>
              <w:tl2br w:val="nil"/>
              <w:tr2bl w:val="nil"/>
            </w:tcBorders>
            <w:vAlign w:val="center"/>
          </w:tcPr>
          <w:p>
            <w:pPr>
              <w:spacing w:line="300" w:lineRule="auto"/>
            </w:pPr>
            <w:r>
              <w:rPr>
                <w:rFonts w:hint="eastAsia"/>
              </w:rPr>
              <w:t>2.4.1+cu121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tl2br w:val="nil"/>
              <w:tr2bl w:val="nil"/>
            </w:tcBorders>
            <w:vAlign w:val="center"/>
          </w:tcPr>
          <w:p>
            <w:pPr>
              <w:spacing w:line="300" w:lineRule="auto"/>
            </w:pPr>
          </w:p>
        </w:tc>
        <w:tc>
          <w:tcPr>
            <w:tcW w:w="1251" w:type="pct"/>
            <w:tcBorders>
              <w:tl2br w:val="nil"/>
              <w:tr2bl w:val="nil"/>
            </w:tcBorders>
            <w:vAlign w:val="center"/>
          </w:tcPr>
          <w:p>
            <w:pPr>
              <w:spacing w:line="300" w:lineRule="auto"/>
            </w:pPr>
            <w:r>
              <w:rPr>
                <w:rFonts w:hint="eastAsia"/>
              </w:rPr>
              <w:t>Geometric</w:t>
            </w:r>
          </w:p>
        </w:tc>
        <w:tc>
          <w:tcPr>
            <w:tcW w:w="2882" w:type="pct"/>
            <w:tcBorders>
              <w:tl2br w:val="nil"/>
              <w:tr2bl w:val="nil"/>
            </w:tcBorders>
            <w:vAlign w:val="center"/>
          </w:tcPr>
          <w:p>
            <w:pPr>
              <w:spacing w:line="300" w:lineRule="auto"/>
            </w:pPr>
            <w:r>
              <w:rPr>
                <w:rFonts w:hint="eastAsia"/>
              </w:rPr>
              <w:t>2.7.0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tl2br w:val="nil"/>
              <w:tr2bl w:val="nil"/>
            </w:tcBorders>
            <w:vAlign w:val="center"/>
          </w:tcPr>
          <w:p>
            <w:pPr>
              <w:spacing w:line="300" w:lineRule="auto"/>
            </w:pPr>
          </w:p>
        </w:tc>
        <w:tc>
          <w:tcPr>
            <w:tcW w:w="1251" w:type="pct"/>
            <w:tcBorders>
              <w:tl2br w:val="nil"/>
              <w:tr2bl w:val="nil"/>
            </w:tcBorders>
            <w:vAlign w:val="center"/>
          </w:tcPr>
          <w:p>
            <w:pPr>
              <w:spacing w:line="300" w:lineRule="auto"/>
            </w:pPr>
            <w:r>
              <w:rPr>
                <w:rFonts w:hint="eastAsia"/>
              </w:rPr>
              <w:t>RDKit</w:t>
            </w:r>
          </w:p>
        </w:tc>
        <w:tc>
          <w:tcPr>
            <w:tcW w:w="2882" w:type="pct"/>
            <w:tcBorders>
              <w:tl2br w:val="nil"/>
              <w:tr2bl w:val="nil"/>
            </w:tcBorders>
            <w:vAlign w:val="center"/>
          </w:tcPr>
          <w:p>
            <w:pPr>
              <w:spacing w:line="300" w:lineRule="auto"/>
            </w:pPr>
            <w:r>
              <w:rPr>
                <w:rFonts w:hint="eastAsia"/>
              </w:rPr>
              <w:t>2025.9.3</w:t>
            </w:r>
          </w:p>
        </w:tc>
      </w:tr>
    </w:tbl>
    <w:p>
      <w:r>
        <w:rPr>
          <w:rFonts w:hint="eastAsia"/>
        </w:rPr>
        <w:t>（2）参数设置</w:t>
      </w:r>
    </w:p>
    <w:p>
      <w:r>
        <w:rPr>
          <w:rFonts w:hint="eastAsia"/>
        </w:rPr>
        <w:t>预训练参数设置：采用AdamW优化器，以解耦权重衰减策略提升模型泛化性，权重衰减系数设为</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ctrlPr>
              <w:rPr>
                <w:rFonts w:ascii="Cambria Math" w:hAnsi="Cambria Math"/>
              </w:rPr>
            </m:ctrlPr>
          </m:e>
          <m:sup>
            <m:r>
              <w:rPr>
                <w:rFonts w:ascii="Cambria Math"/>
              </w:rPr>
              <m:t>-4</m:t>
            </m:r>
            <m:ctrlPr>
              <w:rPr>
                <w:rFonts w:ascii="Cambria Math" w:hAnsi="Cambria Math"/>
              </w:rPr>
            </m:ctrlPr>
          </m:sup>
        </m:sSup>
      </m:oMath>
      <w:r>
        <w:rPr>
          <w:rFonts w:hint="eastAsia"/>
        </w:rPr>
        <w:t>。学习率调度采用先进行线性预热，随后执行余弦退火的策略。初始学习率设为</w:t>
      </w:r>
      <m:oMath>
        <m:r>
          <w:rPr>
            <w:rFonts w:ascii="Cambria Math"/>
          </w:rPr>
          <m:t>2</m:t>
        </m:r>
        <m:r>
          <m:rPr>
            <m:sty m:val="p"/>
          </m:rPr>
          <w:rPr>
            <w:rFonts w:ascii="Cambria Math"/>
          </w:rPr>
          <m:t>×</m:t>
        </m:r>
        <m:r>
          <w:rPr>
            <w:rFonts w:ascii="Cambria Math"/>
          </w:rPr>
          <m:t>1</m:t>
        </m:r>
        <m:sSup>
          <m:sSupPr>
            <m:ctrlPr>
              <w:rPr>
                <w:rFonts w:ascii="Cambria Math" w:hAnsi="Cambria Math"/>
              </w:rPr>
            </m:ctrlPr>
          </m:sSupPr>
          <m:e>
            <m:r>
              <w:rPr>
                <w:rFonts w:ascii="Cambria Math"/>
              </w:rPr>
              <m:t>0</m:t>
            </m:r>
            <m:ctrlPr>
              <w:rPr>
                <w:rFonts w:ascii="Cambria Math" w:hAnsi="Cambria Math"/>
              </w:rPr>
            </m:ctrlPr>
          </m:e>
          <m:sup>
            <m:r>
              <w:rPr>
                <w:rFonts w:ascii="Cambria Math"/>
              </w:rPr>
              <m:t>-4</m:t>
            </m:r>
            <m:ctrlPr>
              <w:rPr>
                <w:rFonts w:ascii="Cambria Math" w:hAnsi="Cambria Math"/>
              </w:rPr>
            </m:ctrlPr>
          </m:sup>
        </m:sSup>
      </m:oMath>
      <w:r>
        <w:rPr>
          <w:rFonts w:hint="eastAsia"/>
        </w:rPr>
        <w:t>，预热步数占总步数的6%，随后逐渐衰减至</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ctrlPr>
              <w:rPr>
                <w:rFonts w:ascii="Cambria Math" w:hAnsi="Cambria Math"/>
              </w:rPr>
            </m:ctrlPr>
          </m:e>
          <m:sup>
            <m:r>
              <w:rPr>
                <w:rFonts w:ascii="Cambria Math"/>
              </w:rPr>
              <m:t>-6</m:t>
            </m:r>
            <m:ctrlPr>
              <w:rPr>
                <w:rFonts w:ascii="Cambria Math" w:hAnsi="Cambria Math"/>
              </w:rPr>
            </m:ctrlPr>
          </m:sup>
        </m:sSup>
      </m:oMath>
      <w:r>
        <w:rPr>
          <w:rFonts w:hint="eastAsia"/>
        </w:rPr>
        <w:t>。为了保证对比学习中负样本的数量充足，将批次大小设为256。模型一共训练100个Epoch，并在验证集Loss连续10个轮次不再下降时实施早停。对比损失参数：基于参数敏感性实验结果，NT-Xent损失函数中的温度系数</w:t>
      </w:r>
      <m:oMath>
        <m:r>
          <w:rPr>
            <w:rFonts w:ascii="Cambria Math"/>
          </w:rPr>
          <m:t>τ</m:t>
        </m:r>
      </m:oMath>
      <w:r>
        <w:rPr>
          <w:rFonts w:hint="eastAsia"/>
        </w:rPr>
        <w:t>固定为0.1。自适应加权损失中的可学习噪声参数</w:t>
      </w:r>
      <m:oMath>
        <m:sSub>
          <m:sSubPr>
            <m:ctrlPr>
              <w:rPr>
                <w:rFonts w:ascii="Cambria Math" w:hAnsi="Cambria Math"/>
              </w:rPr>
            </m:ctrlPr>
          </m:sSubPr>
          <m:e>
            <m:r>
              <w:rPr>
                <w:rFonts w:ascii="Cambria Math"/>
              </w:rPr>
              <m:t>σ</m:t>
            </m:r>
            <m:ctrlPr>
              <w:rPr>
                <w:rFonts w:ascii="Cambria Math" w:hAnsi="Cambria Math"/>
              </w:rPr>
            </m:ctrlPr>
          </m:e>
          <m:sub>
            <m:r>
              <w:rPr>
                <w:rFonts w:ascii="Cambria Math"/>
              </w:rPr>
              <m:t>m</m:t>
            </m:r>
            <m:ctrlPr>
              <w:rPr>
                <w:rFonts w:ascii="Cambria Math" w:hAnsi="Cambria Math"/>
              </w:rPr>
            </m:ctrlPr>
          </m:sub>
        </m:sSub>
      </m:oMath>
      <w:r>
        <w:rPr>
          <w:rFonts w:hint="eastAsia"/>
        </w:rPr>
        <w:t>初始化为1.0，并随着训练过程自动更新。模型架构参数：Graphormer编码器包含6层Transformer层，隐藏层的维度设为256，多头注意力头数设为8。</w:t>
      </w:r>
    </w:p>
    <w:p>
      <w:r>
        <w:rPr>
          <w:rFonts w:hint="eastAsia"/>
        </w:rPr>
        <w:t>微调参数设置：在下游任务阶段，将预训练好的KGAMA编码器迁移至MoleculeNet的9个基准数据集上。为了适应不同规模的数据集，微调策略进行了如下调整：为了保留预训练特征的先验知识，微调阶段采用较小的学习率，设定为</w:t>
      </w:r>
      <m:oMath>
        <m:r>
          <w:rPr>
            <w:rFonts w:ascii="Cambria Math"/>
          </w:rPr>
          <m:t>5</m:t>
        </m:r>
        <m:r>
          <m:rPr>
            <m:sty m:val="p"/>
          </m:rPr>
          <w:rPr>
            <w:rFonts w:ascii="Cambria Math"/>
          </w:rPr>
          <m:t>×</m:t>
        </m:r>
        <m:r>
          <w:rPr>
            <w:rFonts w:ascii="Cambria Math"/>
          </w:rPr>
          <m:t>1</m:t>
        </m:r>
        <m:sSup>
          <m:sSupPr>
            <m:ctrlPr>
              <w:rPr>
                <w:rFonts w:ascii="Cambria Math" w:hAnsi="Cambria Math"/>
              </w:rPr>
            </m:ctrlPr>
          </m:sSupPr>
          <m:e>
            <m:r>
              <w:rPr>
                <w:rFonts w:ascii="Cambria Math"/>
              </w:rPr>
              <m:t>0</m:t>
            </m:r>
            <m:ctrlPr>
              <w:rPr>
                <w:rFonts w:ascii="Cambria Math" w:hAnsi="Cambria Math"/>
              </w:rPr>
            </m:ctrlPr>
          </m:e>
          <m:sup>
            <m:r>
              <w:rPr>
                <w:rFonts w:ascii="Cambria Math"/>
              </w:rPr>
              <m:t>-5</m:t>
            </m:r>
            <m:ctrlPr>
              <w:rPr>
                <w:rFonts w:ascii="Cambria Math" w:hAnsi="Cambria Math"/>
              </w:rPr>
            </m:ctrlPr>
          </m:sup>
        </m:sSup>
      </m:oMath>
      <w:r>
        <w:rPr>
          <w:rFonts w:hint="eastAsia"/>
        </w:rPr>
        <w:t>。批次大小设为32，以适应小样本数据的梯度更新频率。在预测头中引入Dropout层，丢弃率设为0.1，以防止在小数据集上过拟合。训练周期为100个Epoch，同样配合早停机制，Patience参数设置为5。</w:t>
      </w:r>
    </w:p>
    <w:p>
      <w:pPr>
        <w:pStyle w:val="4"/>
        <w:rPr>
          <w:rFonts w:hint="default"/>
        </w:rPr>
      </w:pPr>
      <w:bookmarkStart w:id="118" w:name="_Toc229423366"/>
      <w:r>
        <w:t>评价指标</w:t>
      </w:r>
      <w:bookmarkEnd w:id="118"/>
    </w:p>
    <w:p>
      <w:r>
        <w:t>本</w:t>
      </w:r>
      <w:r>
        <w:rPr>
          <w:rFonts w:hint="eastAsia"/>
        </w:rPr>
        <w:t>文</w:t>
      </w:r>
      <w:r>
        <w:t>根据具体任务特性的不同，实施了差异化的</w:t>
      </w:r>
      <w:r>
        <w:rPr>
          <w:rFonts w:hint="eastAsia"/>
        </w:rPr>
        <w:t>性能</w:t>
      </w:r>
      <w:r>
        <w:t>评测策略。针对分类问题，模型对类别的区分效能主要依赖受试者工作特征曲线下面积（AUROC）进行考量。AUROC能够量化模型在真假阳性率权衡过程中的表现，其得分位于0.5到1的闭区间内，分数越高</w:t>
      </w:r>
      <w:r>
        <w:rPr>
          <w:rFonts w:hint="eastAsia"/>
        </w:rPr>
        <w:t>代表</w:t>
      </w:r>
      <w:r>
        <w:t>着模型拥有更</w:t>
      </w:r>
      <w:r>
        <w:rPr>
          <w:rFonts w:hint="eastAsia"/>
        </w:rPr>
        <w:t>高</w:t>
      </w:r>
      <w:r>
        <w:t>的判别力。而在回归分析中，核心关注点转向均方根误差（RMSE），该指标用于刻画预测精度。通过对预测值与实测值之差进行平方、取均值后再开方，RMSE实现了对误差的标准化度量</w:t>
      </w:r>
      <w:r>
        <w:rPr>
          <w:rFonts w:hint="eastAsia"/>
        </w:rPr>
        <w:t>，具体公式如</w:t>
      </w:r>
      <w:r>
        <w:rPr>
          <w:iCs/>
        </w:rPr>
        <w:fldChar w:fldCharType="begin"/>
      </w:r>
      <w:r>
        <w:rPr>
          <w:iCs/>
        </w:rPr>
        <w:instrText xml:space="preserve"> </w:instrText>
      </w:r>
      <w:r>
        <w:rPr>
          <w:rFonts w:hint="eastAsia"/>
          <w:iCs/>
        </w:rPr>
        <w:instrText xml:space="preserve">GOTOBUTTON ZEqnNum186102  \* MERGEFORMAT</w:instrText>
      </w:r>
      <w:r>
        <w:rPr>
          <w:iCs/>
        </w:rPr>
        <w:instrText xml:space="preserve"> </w:instrText>
      </w:r>
      <w:r>
        <w:rPr>
          <w:iCs/>
        </w:rPr>
        <w:fldChar w:fldCharType="begin"/>
      </w:r>
      <w:r>
        <w:rPr>
          <w:iCs/>
        </w:rPr>
        <w:instrText xml:space="preserve"> REF ZEqnNum186102 \* Charformat \! \* MERGEFORMAT </w:instrText>
      </w:r>
      <w:r>
        <w:rPr>
          <w:iCs/>
        </w:rPr>
        <w:fldChar w:fldCharType="separate"/>
      </w:r>
      <w:r>
        <w:rPr>
          <w:iCs/>
        </w:rPr>
        <w:instrText xml:space="preserve">(4-7)</w:instrText>
      </w:r>
      <w:r>
        <w:rPr>
          <w:iCs/>
        </w:rPr>
        <w:fldChar w:fldCharType="end"/>
      </w:r>
      <w:r>
        <w:rPr>
          <w:iCs/>
        </w:rPr>
        <w:fldChar w:fldCharType="end"/>
      </w:r>
      <w:r>
        <w:rPr>
          <w:rFonts w:hint="eastAsia"/>
        </w:rPr>
        <w:t>所示。</w:t>
      </w:r>
      <w:r>
        <w:t>由于其单位与目标变量保持一致，较小的RMSE值直接映射出模型预测结果与真实数据之间极高的匹配吻合度。</w:t>
      </w:r>
    </w:p>
    <w:p>
      <w:pPr>
        <w:pStyle w:val="44"/>
        <w:spacing w:before="326" w:after="326"/>
      </w:pPr>
      <w:r>
        <w:tab/>
      </w:r>
      <w:r>
        <w:rPr>
          <w:position w:val="-30"/>
        </w:rPr>
        <w:object>
          <v:shape id="_x0000_i1206" o:spt="75" type="#_x0000_t75" style="height:38.4pt;width:124.8pt;" o:ole="t" filled="f" o:preferrelative="t" stroked="f" coordsize="21600,21600">
            <v:path/>
            <v:fill on="f" focussize="0,0"/>
            <v:stroke on="f" joinstyle="miter"/>
            <v:imagedata r:id="rId406" o:title=""/>
            <o:lock v:ext="edit" aspectratio="t"/>
            <w10:wrap type="none"/>
            <w10:anchorlock/>
          </v:shape>
          <o:OLEObject Type="Embed" ProgID="Equation.DSMT4" ShapeID="_x0000_i1206" DrawAspect="Content" ObjectID="_1468075906" r:id="rId40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9" w:name="ZEqnNum186102"/>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bookmarkEnd w:id="119"/>
      <w:r>
        <w:fldChar w:fldCharType="end"/>
      </w:r>
    </w:p>
    <w:p>
      <w:pPr>
        <w:pStyle w:val="4"/>
        <w:rPr>
          <w:rFonts w:hint="default"/>
        </w:rPr>
      </w:pPr>
      <w:bookmarkStart w:id="120" w:name="_Toc229423367"/>
      <w:r>
        <w:t>损失函数</w:t>
      </w:r>
      <w:bookmarkEnd w:id="120"/>
    </w:p>
    <w:p>
      <w:r>
        <w:rPr>
          <w:rFonts w:hint="eastAsia"/>
        </w:rPr>
        <w:t>在将分子的多模态特征映射到统一的向量空间之后，模型的核心任务是通过对比学习来实现跨模态的语义对齐。本文设计了一种改进的以图为中心的双向NT-Xent对比损失，并引入基于同方差不确定性的自适应加权机制，以实现多任务场景下的优化。</w:t>
      </w:r>
    </w:p>
    <w:p>
      <w:r>
        <w:rPr>
          <w:rFonts w:hint="eastAsia"/>
        </w:rPr>
        <w:t>对比学习通过在表征空间中拉近正样本对、推远负样本对来学习具有判别性的特征表示。目前主流的目标函数是归一化温度缩放交叉熵损失</w:t>
      </w:r>
      <w:r>
        <w:rPr>
          <w:vertAlign w:val="superscript"/>
        </w:rPr>
        <w:fldChar w:fldCharType="begin"/>
      </w:r>
      <w:r>
        <w:rPr>
          <w:vertAlign w:val="superscript"/>
        </w:rPr>
        <w:instrText xml:space="preserve"> </w:instrText>
      </w:r>
      <w:r>
        <w:rPr>
          <w:rFonts w:hint="eastAsia"/>
          <w:vertAlign w:val="superscript"/>
        </w:rPr>
        <w:instrText xml:space="preserve">REF _Ref225764307 \r \h</w:instrText>
      </w:r>
      <w:r>
        <w:rPr>
          <w:vertAlign w:val="superscript"/>
        </w:rPr>
        <w:instrText xml:space="preserve">  \* MERGEFORMAT </w:instrText>
      </w:r>
      <w:r>
        <w:rPr>
          <w:vertAlign w:val="superscript"/>
        </w:rPr>
        <w:fldChar w:fldCharType="separate"/>
      </w:r>
      <w:r>
        <w:rPr>
          <w:vertAlign w:val="superscript"/>
        </w:rPr>
        <w:t>[68]</w:t>
      </w:r>
      <w:r>
        <w:rPr>
          <w:vertAlign w:val="superscript"/>
        </w:rPr>
        <w:fldChar w:fldCharType="end"/>
      </w:r>
      <w:r>
        <w:rPr>
          <w:rFonts w:hint="eastAsia"/>
        </w:rPr>
        <w:t>（Normalized Temperature-scaled Cross Entropy Loss, NT-Xent）。对于给定的样本对(i,j)，其标准的NT-Xent损失定义如下：</w:t>
      </w:r>
    </w:p>
    <w:p>
      <w:pPr>
        <w:pStyle w:val="44"/>
        <w:spacing w:before="326" w:after="326"/>
      </w:pPr>
      <w:r>
        <w:tab/>
      </w:r>
      <w:r>
        <w:rPr>
          <w:position w:val="-60"/>
        </w:rPr>
        <w:object>
          <v:shape id="_x0000_i1207" o:spt="75" type="#_x0000_t75" style="height:49.2pt;width:181.8pt;" o:ole="t" filled="f" o:preferrelative="t" stroked="f" coordsize="21600,21600">
            <v:path/>
            <v:fill on="f" focussize="0,0"/>
            <v:stroke on="f" joinstyle="miter"/>
            <v:imagedata r:id="rId408" o:title=""/>
            <o:lock v:ext="edit" aspectratio="t"/>
            <w10:wrap type="none"/>
            <w10:anchorlock/>
          </v:shape>
          <o:OLEObject Type="Embed" ProgID="Equation.DSMT4" ShapeID="_x0000_i1207" DrawAspect="Content" ObjectID="_1468075907" r:id="rId40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r>
        <w:rPr>
          <w:rFonts w:hint="eastAsia"/>
        </w:rPr>
        <w:t>其中，</w:t>
      </w:r>
      <w:r>
        <w:rPr>
          <w:position w:val="-12"/>
        </w:rPr>
        <w:object>
          <v:shape id="_x0000_i1208" o:spt="75" type="#_x0000_t75" style="height:16.8pt;width:13.2pt;" o:ole="t" filled="f" o:preferrelative="t" stroked="f" coordsize="21600,21600">
            <v:path/>
            <v:fill on="f" focussize="0,0"/>
            <v:stroke on="f" joinstyle="miter"/>
            <v:imagedata r:id="rId410" o:title=""/>
            <o:lock v:ext="edit" aspectratio="t"/>
            <w10:wrap type="none"/>
            <w10:anchorlock/>
          </v:shape>
          <o:OLEObject Type="Embed" ProgID="Equation.DSMT4" ShapeID="_x0000_i1208" DrawAspect="Content" ObjectID="_1468075908" r:id="rId409">
            <o:LockedField>false</o:LockedField>
          </o:OLEObject>
        </w:object>
      </w:r>
      <w:r>
        <w:rPr>
          <w:rFonts w:hint="eastAsia"/>
        </w:rPr>
        <w:t>，</w:t>
      </w:r>
      <w:r>
        <w:rPr>
          <w:position w:val="-14"/>
        </w:rPr>
        <w:object>
          <v:shape id="_x0000_i1209" o:spt="75" type="#_x0000_t75" style="height:17.4pt;width:13.2pt;" o:ole="t" filled="f" o:preferrelative="t" stroked="f" coordsize="21600,21600">
            <v:path/>
            <v:fill on="f" focussize="0,0"/>
            <v:stroke on="f" joinstyle="miter"/>
            <v:imagedata r:id="rId412" o:title=""/>
            <o:lock v:ext="edit" aspectratio="t"/>
            <w10:wrap type="none"/>
            <w10:anchorlock/>
          </v:shape>
          <o:OLEObject Type="Embed" ProgID="Equation.DSMT4" ShapeID="_x0000_i1209" DrawAspect="Content" ObjectID="_1468075909" r:id="rId411">
            <o:LockedField>false</o:LockedField>
          </o:OLEObject>
        </w:object>
      </w:r>
      <w:r>
        <w:rPr>
          <w:rFonts w:hint="eastAsia"/>
        </w:rPr>
        <w:t>为归一化后的特征向量，</w:t>
      </w:r>
      <w:r>
        <w:rPr>
          <w:position w:val="-6"/>
        </w:rPr>
        <w:object>
          <v:shape id="_x0000_i1210" o:spt="75" type="#_x0000_t75" style="height:13.2pt;width:22.2pt;" o:ole="t" filled="f" o:preferrelative="t" stroked="f" coordsize="21600,21600">
            <v:path/>
            <v:fill on="f" focussize="0,0"/>
            <v:stroke on="f" joinstyle="miter"/>
            <v:imagedata r:id="rId414" o:title=""/>
            <o:lock v:ext="edit" aspectratio="t"/>
            <w10:wrap type="none"/>
            <w10:anchorlock/>
          </v:shape>
          <o:OLEObject Type="Embed" ProgID="Equation.DSMT4" ShapeID="_x0000_i1210" DrawAspect="Content" ObjectID="_1468075910" r:id="rId413">
            <o:LockedField>false</o:LockedField>
          </o:OLEObject>
        </w:object>
      </w:r>
      <w:r>
        <w:rPr>
          <w:rFonts w:hint="eastAsia"/>
        </w:rPr>
        <w:t>表示余弦相似度，</w:t>
      </w:r>
      <w:r>
        <w:rPr>
          <w:position w:val="-6"/>
        </w:rPr>
        <w:object>
          <v:shape id="_x0000_i1211" o:spt="75" type="#_x0000_t75" style="height:12.6pt;width:9.6pt;" o:ole="t" filled="f" o:preferrelative="t" stroked="f" coordsize="21600,21600">
            <v:path/>
            <v:fill on="f" focussize="0,0"/>
            <v:stroke on="f" joinstyle="miter"/>
            <v:imagedata r:id="rId416" o:title=""/>
            <o:lock v:ext="edit" aspectratio="t"/>
            <w10:wrap type="none"/>
            <w10:anchorlock/>
          </v:shape>
          <o:OLEObject Type="Embed" ProgID="Equation.DSMT4" ShapeID="_x0000_i1211" DrawAspect="Content" ObjectID="_1468075911" r:id="rId415">
            <o:LockedField>false</o:LockedField>
          </o:OLEObject>
        </w:object>
      </w:r>
      <w:r>
        <w:rPr>
          <w:rFonts w:hint="eastAsia"/>
        </w:rPr>
        <w:t>为温度系数，</w:t>
      </w:r>
      <w:r>
        <w:rPr>
          <w:position w:val="-4"/>
        </w:rPr>
        <w:object>
          <v:shape id="_x0000_i1212" o:spt="75" type="#_x0000_t75" style="height:13.2pt;width:13.2pt;" o:ole="t" filled="f" o:preferrelative="t" stroked="f" coordsize="21600,21600">
            <v:path/>
            <v:fill on="f" focussize="0,0"/>
            <v:stroke on="f" joinstyle="miter"/>
            <v:imagedata r:id="rId418" o:title=""/>
            <o:lock v:ext="edit" aspectratio="t"/>
            <w10:wrap type="none"/>
            <w10:anchorlock/>
          </v:shape>
          <o:OLEObject Type="Embed" ProgID="Equation.DSMT4" ShapeID="_x0000_i1212" DrawAspect="Content" ObjectID="_1468075912" r:id="rId417">
            <o:LockedField>false</o:LockedField>
          </o:OLEObject>
        </w:object>
      </w:r>
      <w:r>
        <w:rPr>
          <w:rFonts w:hint="eastAsia"/>
        </w:rPr>
        <w:t>为批次大小，分母项包含了批次内所有的负样本。然而，经典的NT-Xent通常基于双视图设定，如CLIP中的图像–文本。当扩展至本文的四模态场景（Graph, SMILES, Fingerprint, Text）时，若采用全排列的两两对齐策略，将面临计算开销随模态数量呈平方级增长、噪声传播与训练不稳定等问题。在分子表征学习中，分子图直接刻画了原子间的连接拓扑，被认为是最具物理真实性和结构稳定性的模态；相比之下，SMILES序列、分子指纹及文本描述可视为该核心结构的辅助视图。</w:t>
      </w:r>
    </w:p>
    <w:p>
      <w:r>
        <w:rPr>
          <w:rFonts w:hint="eastAsia"/>
        </w:rPr>
        <w:t>基于此，本文采用Graph-centered对齐范式：仅计算分子图与其辅模态间的对齐损失，而不进行辅模态间的冗余对齐。设第</w:t>
      </w:r>
      <m:oMath>
        <m:r>
          <w:rPr>
            <w:rFonts w:ascii="Cambria Math"/>
          </w:rPr>
          <m:t>i</m:t>
        </m:r>
      </m:oMath>
      <w:r>
        <w:rPr>
          <w:rFonts w:hint="eastAsia"/>
        </w:rPr>
        <w:t>个分子样本在模态</w:t>
      </w:r>
      <w:r>
        <w:rPr>
          <w:position w:val="-10"/>
        </w:rPr>
        <w:object>
          <v:shape id="_x0000_i1213" o:spt="75" type="#_x0000_t75" style="height:15.6pt;width:65.4pt;" o:ole="t" filled="f" o:preferrelative="t" stroked="f" coordsize="21600,21600">
            <v:path/>
            <v:fill on="f" focussize="0,0"/>
            <v:stroke on="f" joinstyle="miter"/>
            <v:imagedata r:id="rId420" o:title=""/>
            <o:lock v:ext="edit" aspectratio="t"/>
            <w10:wrap type="none"/>
            <w10:anchorlock/>
          </v:shape>
          <o:OLEObject Type="Embed" ProgID="Equation.DSMT4" ShapeID="_x0000_i1213" DrawAspect="Content" ObjectID="_1468075913" r:id="rId419">
            <o:LockedField>false</o:LockedField>
          </o:OLEObject>
        </w:object>
      </w:r>
      <w:r>
        <w:rPr>
          <w:rFonts w:hint="eastAsia"/>
        </w:rPr>
        <w:t>下的表示为</w:t>
      </w:r>
      <w:r>
        <w:rPr>
          <w:position w:val="-12"/>
        </w:rPr>
        <w:object>
          <v:shape id="_x0000_i1214" o:spt="75" type="#_x0000_t75" style="height:17.4pt;width:22.2pt;" o:ole="t" filled="f" o:preferrelative="t" stroked="f" coordsize="21600,21600">
            <v:path/>
            <v:fill on="f" focussize="0,0"/>
            <v:stroke on="f" joinstyle="miter"/>
            <v:imagedata r:id="rId422" o:title=""/>
            <o:lock v:ext="edit" aspectratio="t"/>
            <w10:wrap type="none"/>
            <w10:anchorlock/>
          </v:shape>
          <o:OLEObject Type="Embed" ProgID="Equation.DSMT4" ShapeID="_x0000_i1214" DrawAspect="Content" ObjectID="_1468075914" r:id="rId421">
            <o:LockedField>false</o:LockedField>
          </o:OLEObject>
        </w:object>
      </w:r>
      <w:r>
        <w:rPr>
          <w:rFonts w:hint="eastAsia"/>
        </w:rPr>
        <w:t>，Graph模态表示为</w:t>
      </w:r>
      <w:r>
        <w:rPr>
          <w:position w:val="-12"/>
        </w:rPr>
        <w:object>
          <v:shape id="_x0000_i1215" o:spt="75" type="#_x0000_t75" style="height:17.4pt;width:22.2pt;" o:ole="t" filled="f" o:preferrelative="t" stroked="f" coordsize="21600,21600">
            <v:path/>
            <v:fill on="f" focussize="0,0"/>
            <v:stroke on="f" joinstyle="miter"/>
            <v:imagedata r:id="rId424" o:title=""/>
            <o:lock v:ext="edit" aspectratio="t"/>
            <w10:wrap type="none"/>
            <w10:anchorlock/>
          </v:shape>
          <o:OLEObject Type="Embed" ProgID="Equation.DSMT4" ShapeID="_x0000_i1215" DrawAspect="Content" ObjectID="_1468075915" r:id="rId423">
            <o:LockedField>false</o:LockedField>
          </o:OLEObject>
        </w:object>
      </w:r>
      <w:r>
        <w:rPr>
          <w:rFonts w:hint="eastAsia"/>
        </w:rPr>
        <w:t>。为了确保对齐的对称性，本文定义双向对比损失</w:t>
      </w:r>
      <w:r>
        <w:rPr>
          <w:position w:val="-14"/>
        </w:rPr>
        <w:object>
          <v:shape id="_x0000_i1216" o:spt="75" type="#_x0000_t75" style="height:17.4pt;width:23.4pt;" o:ole="t" filled="f" o:preferrelative="t" stroked="f" coordsize="21600,21600">
            <v:path/>
            <v:fill on="f" focussize="0,0"/>
            <v:stroke on="f" joinstyle="miter"/>
            <v:imagedata r:id="rId426" o:title=""/>
            <o:lock v:ext="edit" aspectratio="t"/>
            <w10:wrap type="none"/>
            <w10:anchorlock/>
          </v:shape>
          <o:OLEObject Type="Embed" ProgID="Equation.DSMT4" ShapeID="_x0000_i1216" DrawAspect="Content" ObjectID="_1468075916" r:id="rId425">
            <o:LockedField>false</o:LockedField>
          </o:OLEObject>
        </w:object>
      </w:r>
      <w:r>
        <w:rPr>
          <w:rFonts w:hint="eastAsia"/>
        </w:rPr>
        <w:t>为：</w:t>
      </w:r>
    </w:p>
    <w:p>
      <w:pPr>
        <w:pStyle w:val="44"/>
        <w:spacing w:before="326" w:after="326"/>
      </w:pPr>
      <w:r>
        <w:tab/>
      </w:r>
      <w:r>
        <w:rPr>
          <w:position w:val="-24"/>
        </w:rPr>
        <w:object>
          <v:shape id="_x0000_i1217" o:spt="75" type="#_x0000_t75" style="height:30pt;width:114.6pt;" o:ole="t" filled="f" o:preferrelative="t" stroked="f" coordsize="21600,21600">
            <v:path/>
            <v:fill on="f" focussize="0,0"/>
            <v:stroke on="f" joinstyle="miter"/>
            <v:imagedata r:id="rId428" o:title=""/>
            <o:lock v:ext="edit" aspectratio="t"/>
            <w10:wrap type="none"/>
            <w10:anchorlock/>
          </v:shape>
          <o:OLEObject Type="Embed" ProgID="Equation.DSMT4" ShapeID="_x0000_i1217" DrawAspect="Content" ObjectID="_1468075917" r:id="rId42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r>
        <w:fldChar w:fldCharType="end"/>
      </w:r>
    </w:p>
    <w:p>
      <w:r>
        <w:rPr>
          <w:rFonts w:hint="eastAsia"/>
        </w:rPr>
        <w:t>其中，从Graph到模态</w:t>
      </w:r>
      <m:oMath>
        <m:r>
          <w:rPr>
            <w:rFonts w:ascii="Cambria Math"/>
          </w:rPr>
          <m:t>m</m:t>
        </m:r>
      </m:oMath>
      <w:r>
        <w:rPr>
          <w:rFonts w:hint="eastAsia"/>
        </w:rPr>
        <w:t>的单向对比损失定义为：</w:t>
      </w:r>
    </w:p>
    <w:p>
      <w:pPr>
        <w:pStyle w:val="44"/>
        <w:spacing w:before="326" w:after="326"/>
      </w:pPr>
      <w:r>
        <w:tab/>
      </w:r>
      <w:r>
        <w:rPr>
          <w:position w:val="-60"/>
        </w:rPr>
        <w:object>
          <v:shape id="_x0000_i1218" o:spt="75" type="#_x0000_t75" style="height:49.8pt;width:213pt;" o:ole="t" filled="f" o:preferrelative="t" stroked="f" coordsize="21600,21600">
            <v:path/>
            <v:fill on="f" focussize="0,0"/>
            <v:stroke on="f" joinstyle="miter"/>
            <v:imagedata r:id="rId430" o:title=""/>
            <o:lock v:ext="edit" aspectratio="t"/>
            <w10:wrap type="none"/>
            <w10:anchorlock/>
          </v:shape>
          <o:OLEObject Type="Embed" ProgID="Equation.DSMT4" ShapeID="_x0000_i1218" DrawAspect="Content" ObjectID="_1468075918" r:id="rId42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r>
        <w:rPr>
          <w:rFonts w:hint="eastAsia"/>
        </w:rPr>
        <w:t>在联合优化三个对齐任务</w:t>
      </w:r>
      <m:oMath>
        <m:r>
          <m:rPr>
            <m:sty m:val="p"/>
          </m:rPr>
          <w:rPr>
            <w:rFonts w:ascii="Cambria Math"/>
          </w:rPr>
          <m:t>（</m:t>
        </m:r>
        <m:r>
          <w:rPr>
            <w:rFonts w:ascii="Cambria Math"/>
          </w:rPr>
          <m:t>G↔S</m:t>
        </m:r>
        <m:r>
          <m:rPr>
            <m:sty m:val="p"/>
          </m:rPr>
          <w:rPr>
            <w:rFonts w:ascii="Cambria Math"/>
          </w:rPr>
          <m:t>，</m:t>
        </m:r>
        <m:r>
          <w:rPr>
            <w:rFonts w:ascii="Cambria Math"/>
          </w:rPr>
          <m:t>G↔F</m:t>
        </m:r>
        <m:r>
          <m:rPr>
            <m:sty m:val="p"/>
          </m:rPr>
          <w:rPr>
            <w:rFonts w:ascii="Cambria Math"/>
          </w:rPr>
          <m:t>，</m:t>
        </m:r>
        <m:r>
          <w:rPr>
            <w:rFonts w:ascii="Cambria Math"/>
          </w:rPr>
          <m:t>G↔T</m:t>
        </m:r>
        <m:r>
          <m:rPr>
            <m:sty m:val="p"/>
          </m:rPr>
          <w:rPr>
            <w:rFonts w:ascii="Cambria Math"/>
          </w:rPr>
          <m:t>）</m:t>
        </m:r>
      </m:oMath>
      <w:r>
        <w:rPr>
          <w:rFonts w:hint="eastAsia"/>
        </w:rPr>
        <w:t>时，由于各模态的信息熵与噪声水平存在显著差异，采用静态等权重加权（如</w:t>
      </w:r>
      <m:oMath>
        <m:r>
          <w:rPr>
            <w:rFonts w:ascii="Cambria Math"/>
          </w:rPr>
          <m:t>1:1:1</m:t>
        </m:r>
      </m:oMath>
      <w:r>
        <w:rPr>
          <w:rFonts w:hint="eastAsia"/>
        </w:rPr>
        <w:t>）往往难以达到最优收敛状态。特别是文本描述模态，由于LLM生成的自然语言具有更强的语义抽象性，其损失函数的量级与梯度方向可能与其他模态产生剧烈冲突。为此，本文借鉴同方差不确定性理论，通过为每个对齐任务引入可学习的噪声参数</w:t>
      </w:r>
      <w:r>
        <w:rPr>
          <w:position w:val="-12"/>
        </w:rPr>
        <w:object>
          <v:shape id="_x0000_i1219" o:spt="75" type="#_x0000_t75" style="height:16.8pt;width:18pt;" o:ole="t" filled="f" o:preferrelative="t" stroked="f" coordsize="21600,21600">
            <v:path/>
            <v:fill on="f" focussize="0,0"/>
            <v:stroke on="f" joinstyle="miter"/>
            <v:imagedata r:id="rId432" o:title=""/>
            <o:lock v:ext="edit" aspectratio="t"/>
            <w10:wrap type="none"/>
            <w10:anchorlock/>
          </v:shape>
          <o:OLEObject Type="Embed" ProgID="Equation.DSMT4" ShapeID="_x0000_i1219" DrawAspect="Content" ObjectID="_1468075919" r:id="rId431">
            <o:LockedField>false</o:LockedField>
          </o:OLEObject>
        </w:object>
      </w:r>
      <w:r>
        <w:rPr>
          <w:rFonts w:hint="eastAsia"/>
        </w:rPr>
        <w:t>，构建自适应加权损失函数：</w:t>
      </w:r>
    </w:p>
    <w:p>
      <w:pPr>
        <w:pStyle w:val="44"/>
        <w:spacing w:before="326" w:after="326"/>
      </w:pPr>
      <w:r>
        <w:tab/>
      </w:r>
      <w:r>
        <w:rPr>
          <w:position w:val="-32"/>
        </w:rPr>
        <w:object>
          <v:shape id="_x0000_i1220" o:spt="75" type="#_x0000_t75" style="height:38.4pt;width:166.8pt;" o:ole="t" filled="f" o:preferrelative="t" stroked="f" coordsize="21600,21600">
            <v:path/>
            <v:fill on="f" focussize="0,0"/>
            <v:stroke on="f" joinstyle="miter"/>
            <v:imagedata r:id="rId434" o:title=""/>
            <o:lock v:ext="edit" aspectratio="t"/>
            <w10:wrap type="none"/>
            <w10:anchorlock/>
          </v:shape>
          <o:OLEObject Type="Embed" ProgID="Equation.DSMT4" ShapeID="_x0000_i1220" DrawAspect="Content" ObjectID="_1468075920" r:id="rId43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r>
        <w:rPr>
          <w:rFonts w:hint="eastAsia"/>
        </w:rPr>
        <w:t>其中，</w:t>
      </w:r>
      <w:r>
        <w:rPr>
          <w:position w:val="-30"/>
        </w:rPr>
        <w:object>
          <v:shape id="_x0000_i1221" o:spt="75" type="#_x0000_t75" style="height:33pt;width:25.8pt;" o:ole="t" filled="f" o:preferrelative="t" stroked="f" coordsize="21600,21600">
            <v:path/>
            <v:fill on="f" focussize="0,0"/>
            <v:stroke on="f" joinstyle="miter"/>
            <v:imagedata r:id="rId436" o:title=""/>
            <o:lock v:ext="edit" aspectratio="t"/>
            <w10:wrap type="none"/>
            <w10:anchorlock/>
          </v:shape>
          <o:OLEObject Type="Embed" ProgID="Equation.DSMT4" ShapeID="_x0000_i1221" DrawAspect="Content" ObjectID="_1468075921" r:id="rId435">
            <o:LockedField>false</o:LockedField>
          </o:OLEObject>
        </w:object>
      </w:r>
      <w:r>
        <w:rPr>
          <w:rFonts w:hint="eastAsia"/>
        </w:rPr>
        <w:t>为动态权重，当某一模态对齐任务表现出较高的不确定性或存在较大噪声时，模型会自动增大</w:t>
      </w:r>
      <w:r>
        <w:rPr>
          <w:position w:val="-12"/>
        </w:rPr>
        <w:object>
          <v:shape id="_x0000_i1222" o:spt="75" type="#_x0000_t75" style="height:16.8pt;width:18pt;" o:ole="t" filled="f" o:preferrelative="t" stroked="f" coordsize="21600,21600">
            <v:path/>
            <v:fill on="f" focussize="0,0"/>
            <v:stroke on="f" joinstyle="miter"/>
            <v:imagedata r:id="rId438" o:title=""/>
            <o:lock v:ext="edit" aspectratio="t"/>
            <w10:wrap type="none"/>
            <w10:anchorlock/>
          </v:shape>
          <o:OLEObject Type="Embed" ProgID="Equation.DSMT4" ShapeID="_x0000_i1222" DrawAspect="Content" ObjectID="_1468075922" r:id="rId437">
            <o:LockedField>false</o:LockedField>
          </o:OLEObject>
        </w:object>
      </w:r>
      <w:r>
        <w:rPr>
          <w:rFonts w:hint="eastAsia"/>
        </w:rPr>
        <w:t>以降低该任务对总梯度的贡献。</w:t>
      </w:r>
    </w:p>
    <w:p>
      <w:r>
        <w:rPr>
          <w:rFonts w:hint="eastAsia"/>
        </w:rPr>
        <w:t>正则化约束</w:t>
      </w:r>
      <w:r>
        <w:rPr>
          <w:position w:val="-12"/>
        </w:rPr>
        <w:object>
          <v:shape id="_x0000_i1223" o:spt="75" type="#_x0000_t75" style="height:16.8pt;width:33pt;" o:ole="t" filled="f" o:preferrelative="t" stroked="f" coordsize="21600,21600">
            <v:path/>
            <v:fill on="f" focussize="0,0"/>
            <v:stroke on="f" joinstyle="miter"/>
            <v:imagedata r:id="rId440" o:title=""/>
            <o:lock v:ext="edit" aspectratio="t"/>
            <w10:wrap type="none"/>
            <w10:anchorlock/>
          </v:shape>
          <o:OLEObject Type="Embed" ProgID="Equation.DSMT4" ShapeID="_x0000_i1223" DrawAspect="Content" ObjectID="_1468075923" r:id="rId439">
            <o:LockedField>false</o:LockedField>
          </o:OLEObject>
        </w:object>
      </w:r>
      <w:r>
        <w:rPr>
          <w:rFonts w:hint="eastAsia"/>
        </w:rPr>
        <w:t>项作为正则化因子，防止</w:t>
      </w:r>
      <w:r>
        <w:rPr>
          <w:position w:val="-12"/>
        </w:rPr>
        <w:object>
          <v:shape id="_x0000_i1224" o:spt="75" type="#_x0000_t75" style="height:16.8pt;width:18pt;" o:ole="t" filled="f" o:preferrelative="t" stroked="f" coordsize="21600,21600">
            <v:path/>
            <v:fill on="f" focussize="0,0"/>
            <v:stroke on="f" joinstyle="miter"/>
            <v:imagedata r:id="rId438" o:title=""/>
            <o:lock v:ext="edit" aspectratio="t"/>
            <w10:wrap type="none"/>
            <w10:anchorlock/>
          </v:shape>
          <o:OLEObject Type="Embed" ProgID="Equation.DSMT4" ShapeID="_x0000_i1224" DrawAspect="Content" ObjectID="_1468075924" r:id="rId441">
            <o:LockedField>false</o:LockedField>
          </o:OLEObject>
        </w:object>
      </w:r>
      <w:r>
        <w:rPr>
          <w:rFonts w:hint="eastAsia"/>
        </w:rPr>
        <w:t>无限增大导致权重坍塌，使模型在降低噪声影响与维持任务增益之间寻找一个平衡。</w:t>
      </w:r>
    </w:p>
    <w:p>
      <w:r>
        <w:rPr>
          <w:rFonts w:hint="eastAsia"/>
        </w:rPr>
        <w:t>通过这种方式，模型能够在预训练过程中自主识别各模态的可靠性，优先学习确定性较强的结构关联，例如图模态和SMILES模态，并平滑处理复杂语义对齐，例如图模态和文本模态，从而显著提升了多模态表征的稳健性与收敛效率。</w:t>
      </w:r>
    </w:p>
    <w:p>
      <w:pPr>
        <w:pStyle w:val="4"/>
        <w:rPr>
          <w:rFonts w:hint="default"/>
        </w:rPr>
      </w:pPr>
      <w:bookmarkStart w:id="121" w:name="_Toc229423368"/>
      <w:r>
        <w:t>对比模型</w:t>
      </w:r>
      <w:bookmarkEnd w:id="121"/>
    </w:p>
    <w:p>
      <w:pPr>
        <w:rPr>
          <w:vertAlign w:val="superscript"/>
        </w:rPr>
      </w:pPr>
      <w:r>
        <w:rPr>
          <w:rFonts w:hint="eastAsia"/>
        </w:rPr>
        <w:t>MMCL</w:t>
      </w:r>
      <w:r>
        <w:rPr>
          <w:vertAlign w:val="superscript"/>
        </w:rPr>
        <w:fldChar w:fldCharType="begin"/>
      </w:r>
      <w:r>
        <w:rPr>
          <w:vertAlign w:val="superscript"/>
        </w:rPr>
        <w:instrText xml:space="preserve"> </w:instrText>
      </w:r>
      <w:r>
        <w:rPr>
          <w:rFonts w:hint="eastAsia"/>
          <w:vertAlign w:val="superscript"/>
        </w:rPr>
        <w:instrText xml:space="preserve">REF _Ref225762929 \r \h</w:instrText>
      </w:r>
      <w:r>
        <w:rPr>
          <w:vertAlign w:val="superscript"/>
        </w:rPr>
        <w:instrText xml:space="preserve">  \* MERGEFORMAT </w:instrText>
      </w:r>
      <w:r>
        <w:rPr>
          <w:vertAlign w:val="superscript"/>
        </w:rPr>
        <w:fldChar w:fldCharType="separate"/>
      </w:r>
      <w:r>
        <w:rPr>
          <w:vertAlign w:val="superscript"/>
        </w:rPr>
        <w:t>[17]</w:t>
      </w:r>
      <w:r>
        <w:rPr>
          <w:vertAlign w:val="superscript"/>
        </w:rPr>
        <w:fldChar w:fldCharType="end"/>
      </w:r>
      <w:r>
        <w:rPr>
          <w:rFonts w:hint="eastAsia"/>
        </w:rPr>
        <w:t>：</w:t>
      </w:r>
      <w:r>
        <w:t>是一种面向分子表征学习的多模态对比学习框架，其核心目标是实现分子图结构信息与分子序列信息之间的深度协同建模</w:t>
      </w:r>
    </w:p>
    <w:p>
      <w:r>
        <w:rPr>
          <w:rFonts w:hint="eastAsia"/>
        </w:rPr>
        <w:t>MMFRL</w:t>
      </w:r>
      <w:r>
        <w:rPr>
          <w:vertAlign w:val="superscript"/>
        </w:rPr>
        <w:fldChar w:fldCharType="begin"/>
      </w:r>
      <w:r>
        <w:rPr>
          <w:vertAlign w:val="superscript"/>
        </w:rPr>
        <w:instrText xml:space="preserve"> </w:instrText>
      </w:r>
      <w:r>
        <w:rPr>
          <w:rFonts w:hint="eastAsia"/>
          <w:vertAlign w:val="superscript"/>
        </w:rPr>
        <w:instrText xml:space="preserve">REF _Ref225763247 \r \h</w:instrText>
      </w:r>
      <w:r>
        <w:rPr>
          <w:vertAlign w:val="superscript"/>
        </w:rPr>
        <w:instrText xml:space="preserve">  \* MERGEFORMAT </w:instrText>
      </w:r>
      <w:r>
        <w:rPr>
          <w:vertAlign w:val="superscript"/>
        </w:rPr>
        <w:fldChar w:fldCharType="separate"/>
      </w:r>
      <w:r>
        <w:rPr>
          <w:vertAlign w:val="superscript"/>
        </w:rPr>
        <w:t>[35]</w:t>
      </w:r>
      <w:r>
        <w:rPr>
          <w:vertAlign w:val="superscript"/>
        </w:rPr>
        <w:fldChar w:fldCharType="end"/>
      </w:r>
      <w:r>
        <w:rPr>
          <w:rFonts w:hint="eastAsia"/>
        </w:rPr>
        <w:t>：</w:t>
      </w:r>
      <w:r>
        <w:t>是一种面向分子性质预测的多模态学习模型。它的核心思想是不仅要融合分子的多种表示信息，还要进一步挖掘不同分子之间的关系，从而提升模型对分子性质和生物活性的预测能力。</w:t>
      </w:r>
    </w:p>
    <w:p>
      <w:r>
        <w:t>Mol2Vec</w:t>
      </w:r>
      <w:r>
        <w:rPr>
          <w:vertAlign w:val="superscript"/>
        </w:rPr>
        <w:fldChar w:fldCharType="begin"/>
      </w:r>
      <w:r>
        <w:rPr>
          <w:vertAlign w:val="superscript"/>
        </w:rPr>
        <w:instrText xml:space="preserve"> REF _Ref225764327 \r \h  \* MERGEFORMAT </w:instrText>
      </w:r>
      <w:r>
        <w:rPr>
          <w:vertAlign w:val="superscript"/>
        </w:rPr>
        <w:fldChar w:fldCharType="separate"/>
      </w:r>
      <w:r>
        <w:rPr>
          <w:vertAlign w:val="superscript"/>
        </w:rPr>
        <w:t>[69]</w:t>
      </w:r>
      <w:r>
        <w:rPr>
          <w:vertAlign w:val="superscript"/>
        </w:rPr>
        <w:fldChar w:fldCharType="end"/>
      </w:r>
      <w:r>
        <w:t>：受NLP中的Word2Vec启发，该方法将分子结构拆分为若干子结构并将其视为词语。在此基础上，利用Skip-gram架构在规模化分子数据集上进行无监督学习，通过对其内部所有子结构向量进行聚合获得分子整体的向量化描述。</w:t>
      </w:r>
    </w:p>
    <w:p>
      <w:r>
        <w:t>N-Gram</w:t>
      </w:r>
      <w:r>
        <w:rPr>
          <w:vertAlign w:val="superscript"/>
        </w:rPr>
        <w:fldChar w:fldCharType="begin"/>
      </w:r>
      <w:r>
        <w:rPr>
          <w:vertAlign w:val="superscript"/>
        </w:rPr>
        <w:instrText xml:space="preserve"> REF _Ref225764339 \r \h  \* MERGEFORMAT </w:instrText>
      </w:r>
      <w:r>
        <w:rPr>
          <w:vertAlign w:val="superscript"/>
        </w:rPr>
        <w:fldChar w:fldCharType="separate"/>
      </w:r>
      <w:r>
        <w:rPr>
          <w:vertAlign w:val="superscript"/>
        </w:rPr>
        <w:t>[70]</w:t>
      </w:r>
      <w:r>
        <w:rPr>
          <w:vertAlign w:val="superscript"/>
        </w:rPr>
        <w:fldChar w:fldCharType="end"/>
      </w:r>
      <w:r>
        <w:t>：一种基于分子拓扑特征的方法，将分子表示为由连续</w:t>
      </w:r>
      <w:r>
        <w:rPr>
          <w:position w:val="-6"/>
        </w:rPr>
        <w:object>
          <v:shape id="_x0000_i1225" o:spt="75" type="#_x0000_t75" style="height:13.2pt;width:13.2pt;" o:ole="t" filled="f" o:preferrelative="t" stroked="f" coordsize="21600,21600">
            <v:path/>
            <v:fill on="f" focussize="0,0"/>
            <v:stroke on="f" joinstyle="miter"/>
            <v:imagedata r:id="rId443" o:title=""/>
            <o:lock v:ext="edit" aspectratio="t"/>
            <w10:wrap type="none"/>
            <w10:anchorlock/>
          </v:shape>
          <o:OLEObject Type="Embed" ProgID="Equation.DSMT4" ShapeID="_x0000_i1225" DrawAspect="Content" ObjectID="_1468075925" r:id="rId442">
            <o:LockedField>false</o:LockedField>
          </o:OLEObject>
        </w:object>
      </w:r>
      <w:r>
        <w:t>个化学键组成的路径集合。它不需要预先定义复杂的化学特征，能够从结构角度有效刻画分子的局部环境。</w:t>
      </w:r>
    </w:p>
    <w:p>
      <w:r>
        <w:t>GIN</w:t>
      </w:r>
      <w:r>
        <w:rPr>
          <w:vertAlign w:val="superscript"/>
        </w:rPr>
        <w:fldChar w:fldCharType="begin"/>
      </w:r>
      <w:r>
        <w:rPr>
          <w:vertAlign w:val="superscript"/>
        </w:rPr>
        <w:instrText xml:space="preserve"> REF _Ref225764351 \r \h  \* MERGEFORMAT </w:instrText>
      </w:r>
      <w:r>
        <w:rPr>
          <w:vertAlign w:val="superscript"/>
        </w:rPr>
        <w:fldChar w:fldCharType="separate"/>
      </w:r>
      <w:r>
        <w:rPr>
          <w:vertAlign w:val="superscript"/>
        </w:rPr>
        <w:t>[71]</w:t>
      </w:r>
      <w:r>
        <w:rPr>
          <w:vertAlign w:val="superscript"/>
        </w:rPr>
        <w:fldChar w:fldCharType="end"/>
      </w:r>
      <w:r>
        <w:t>：一种极具表达能力的图深度学习模型。其理论基础在于</w:t>
      </w:r>
      <w:r>
        <w:rPr>
          <w:rFonts w:hint="eastAsia"/>
        </w:rPr>
        <w:t>该模型</w:t>
      </w:r>
      <w:r>
        <w:t>能够达到图同构测试的辨别能力上限，通过对节点及其邻居特征的强有力聚合，有效区分不同的分子图结构。</w:t>
      </w:r>
    </w:p>
    <w:p>
      <w:r>
        <w:t>AttentiveFP</w:t>
      </w:r>
      <w:r>
        <w:rPr>
          <w:vertAlign w:val="superscript"/>
        </w:rPr>
        <w:fldChar w:fldCharType="begin"/>
      </w:r>
      <w:r>
        <w:rPr>
          <w:vertAlign w:val="superscript"/>
        </w:rPr>
        <w:instrText xml:space="preserve"> REF _Ref225764008 \r \h  \* MERGEFORMAT </w:instrText>
      </w:r>
      <w:r>
        <w:rPr>
          <w:vertAlign w:val="superscript"/>
        </w:rPr>
        <w:fldChar w:fldCharType="separate"/>
      </w:r>
      <w:r>
        <w:rPr>
          <w:vertAlign w:val="superscript"/>
        </w:rPr>
        <w:t>[62]</w:t>
      </w:r>
      <w:r>
        <w:rPr>
          <w:vertAlign w:val="superscript"/>
        </w:rPr>
        <w:fldChar w:fldCharType="end"/>
      </w:r>
      <w:r>
        <w:rPr>
          <w:rFonts w:hint="eastAsia"/>
        </w:rPr>
        <w:t>：</w:t>
      </w:r>
      <w:r>
        <w:t>一种引入注意力机制的图神经网络模型。该方法通过注意力权重动态调整邻居节点在信息聚合过程中的重要性，使模型能够自动关注对分子性质预测更为关键的原子和化学键，从而提升模型的表达能力和预测性能。</w:t>
      </w:r>
    </w:p>
    <w:p>
      <w:r>
        <w:t>MPNN</w:t>
      </w:r>
      <w:r>
        <w:rPr>
          <w:vertAlign w:val="superscript"/>
        </w:rPr>
        <w:fldChar w:fldCharType="begin"/>
      </w:r>
      <w:r>
        <w:rPr>
          <w:vertAlign w:val="superscript"/>
        </w:rPr>
        <w:instrText xml:space="preserve"> REF _Ref225763447 \r \h  \* MERGEFORMAT </w:instrText>
      </w:r>
      <w:r>
        <w:rPr>
          <w:vertAlign w:val="superscript"/>
        </w:rPr>
        <w:fldChar w:fldCharType="separate"/>
      </w:r>
      <w:r>
        <w:rPr>
          <w:vertAlign w:val="superscript"/>
        </w:rPr>
        <w:t>[45]</w:t>
      </w:r>
      <w:r>
        <w:rPr>
          <w:vertAlign w:val="superscript"/>
        </w:rPr>
        <w:fldChar w:fldCharType="end"/>
      </w:r>
      <w:r>
        <w:t>：一种通用的框架，核心在于将化学键的信息纳入节点表示学习的过程中，通过多轮信息传递更新原子特征。</w:t>
      </w:r>
    </w:p>
    <w:p>
      <w:r>
        <w:t>DMPNN</w:t>
      </w:r>
      <w:r>
        <w:rPr>
          <w:vertAlign w:val="superscript"/>
        </w:rPr>
        <w:fldChar w:fldCharType="begin"/>
      </w:r>
      <w:r>
        <w:rPr>
          <w:vertAlign w:val="superscript"/>
        </w:rPr>
        <w:instrText xml:space="preserve"> REF _Ref225764396 \r \h  \* MERGEFORMAT </w:instrText>
      </w:r>
      <w:r>
        <w:rPr>
          <w:vertAlign w:val="superscript"/>
        </w:rPr>
        <w:fldChar w:fldCharType="separate"/>
      </w:r>
      <w:r>
        <w:rPr>
          <w:vertAlign w:val="superscript"/>
        </w:rPr>
        <w:t>[72]</w:t>
      </w:r>
      <w:r>
        <w:rPr>
          <w:vertAlign w:val="superscript"/>
        </w:rPr>
        <w:fldChar w:fldCharType="end"/>
      </w:r>
      <w:r>
        <w:t>：MPNN的改进版本。它采用了定向信息传递机制，防止信息在传递过程中出现“回流”现象。同时结合了动态池化机制，根据具体任务自适应地聚合关键特征。</w:t>
      </w:r>
    </w:p>
    <w:p>
      <w:r>
        <w:t>CMPNN</w:t>
      </w:r>
      <w:r>
        <w:rPr>
          <w:vertAlign w:val="superscript"/>
        </w:rPr>
        <w:fldChar w:fldCharType="begin"/>
      </w:r>
      <w:r>
        <w:rPr>
          <w:vertAlign w:val="superscript"/>
        </w:rPr>
        <w:instrText xml:space="preserve"> REF _Ref225763909 \r \h  \* MERGEFORMAT </w:instrText>
      </w:r>
      <w:r>
        <w:rPr>
          <w:vertAlign w:val="superscript"/>
        </w:rPr>
        <w:fldChar w:fldCharType="separate"/>
      </w:r>
      <w:r>
        <w:rPr>
          <w:vertAlign w:val="superscript"/>
        </w:rPr>
        <w:t>[58]</w:t>
      </w:r>
      <w:r>
        <w:rPr>
          <w:vertAlign w:val="superscript"/>
        </w:rPr>
        <w:fldChar w:fldCharType="end"/>
      </w:r>
      <w:r>
        <w:rPr>
          <w:rFonts w:hint="eastAsia"/>
        </w:rPr>
        <w:t>：</w:t>
      </w:r>
      <w:r>
        <w:t>这是对传统消息传递神经网络MPNN的重要改进</w:t>
      </w:r>
      <w:r>
        <w:rPr>
          <w:rFonts w:hint="eastAsia"/>
        </w:rPr>
        <w:t>。</w:t>
      </w:r>
      <w:r>
        <w:t>它通过在原子和化学键之间引入显式的通信机制，增强了模型对局部和全局信息的捕捉能力</w:t>
      </w:r>
      <w:r>
        <w:rPr>
          <w:rFonts w:hint="eastAsia"/>
        </w:rPr>
        <w:t>。</w:t>
      </w:r>
    </w:p>
    <w:p>
      <w:r>
        <w:t>GROVER</w:t>
      </w:r>
      <w:r>
        <w:rPr>
          <w:vertAlign w:val="superscript"/>
        </w:rPr>
        <w:fldChar w:fldCharType="begin"/>
      </w:r>
      <w:r>
        <w:rPr>
          <w:vertAlign w:val="superscript"/>
        </w:rPr>
        <w:instrText xml:space="preserve"> REF _Ref225764425 \r \h  \* MERGEFORMAT </w:instrText>
      </w:r>
      <w:r>
        <w:rPr>
          <w:vertAlign w:val="superscript"/>
        </w:rPr>
        <w:fldChar w:fldCharType="separate"/>
      </w:r>
      <w:r>
        <w:rPr>
          <w:vertAlign w:val="superscript"/>
        </w:rPr>
        <w:t>[73]</w:t>
      </w:r>
      <w:r>
        <w:rPr>
          <w:vertAlign w:val="superscript"/>
        </w:rPr>
        <w:fldChar w:fldCharType="end"/>
      </w:r>
      <w:r>
        <w:rPr>
          <w:rFonts w:hint="eastAsia"/>
        </w:rPr>
        <w:t>：</w:t>
      </w:r>
      <w:r>
        <w:t>目前的先进模型之一。它结合了图卷积网络和Transformer的自注意力机制，能够同时提取分子的结构特征和属性特征。通过大规模梯度累积策略和精心设计的自监督任务，</w:t>
      </w:r>
      <w:r>
        <w:rPr>
          <w:rFonts w:hint="eastAsia"/>
        </w:rPr>
        <w:t>该模型</w:t>
      </w:r>
      <w:r>
        <w:t>在大规模数据集上展现了极强的特征提取能力。</w:t>
      </w:r>
    </w:p>
    <w:p>
      <w:r>
        <w:t>SchNet</w:t>
      </w:r>
      <w:r>
        <w:rPr>
          <w:vertAlign w:val="superscript"/>
        </w:rPr>
        <w:fldChar w:fldCharType="begin"/>
      </w:r>
      <w:r>
        <w:rPr>
          <w:vertAlign w:val="superscript"/>
        </w:rPr>
        <w:instrText xml:space="preserve"> REF _Ref225764437 \r \h  \* MERGEFORMAT </w:instrText>
      </w:r>
      <w:r>
        <w:rPr>
          <w:vertAlign w:val="superscript"/>
        </w:rPr>
        <w:fldChar w:fldCharType="separate"/>
      </w:r>
      <w:r>
        <w:rPr>
          <w:vertAlign w:val="superscript"/>
        </w:rPr>
        <w:t>[74]</w:t>
      </w:r>
      <w:r>
        <w:rPr>
          <w:vertAlign w:val="superscript"/>
        </w:rPr>
        <w:fldChar w:fldCharType="end"/>
      </w:r>
      <w:r>
        <w:t>：专门面向量子化学建模的深度学习方法。不同于传统的二维图模型，SchNet重点建模原子的三维空间位置。它通过连续滤波卷积作用于原子间的欧几里得距离，无需人工设计特征即可自动学习分子的电子特性。</w:t>
      </w:r>
    </w:p>
    <w:p>
      <w:r>
        <w:t>GraphMVP</w:t>
      </w:r>
      <w:r>
        <w:rPr>
          <w:vertAlign w:val="superscript"/>
        </w:rPr>
        <w:fldChar w:fldCharType="begin"/>
      </w:r>
      <w:r>
        <w:rPr>
          <w:vertAlign w:val="superscript"/>
        </w:rPr>
        <w:instrText xml:space="preserve"> REF _Ref225763113 \r \h  \* MERGEFORMAT </w:instrText>
      </w:r>
      <w:r>
        <w:rPr>
          <w:vertAlign w:val="superscript"/>
        </w:rPr>
        <w:fldChar w:fldCharType="separate"/>
      </w:r>
      <w:r>
        <w:rPr>
          <w:vertAlign w:val="superscript"/>
        </w:rPr>
        <w:t>[27]</w:t>
      </w:r>
      <w:r>
        <w:rPr>
          <w:vertAlign w:val="superscript"/>
        </w:rPr>
        <w:fldChar w:fldCharType="end"/>
      </w:r>
      <w:r>
        <w:rPr>
          <w:rFonts w:hint="eastAsia"/>
        </w:rPr>
        <w:t>：</w:t>
      </w:r>
      <w:r>
        <w:t>一种先进的图自监督学习模型，旨在通过对分子的2D拓扑图和3D几何构象进行多视图对齐来学习表征。它通过对比学习拉近同一分子的二维和三维表示，使模型具备对分子空间构象的感知能力。</w:t>
      </w:r>
    </w:p>
    <w:p>
      <w:r>
        <w:t>MoleculeST</w:t>
      </w:r>
      <w:r>
        <w:rPr>
          <w:rFonts w:hint="eastAsia"/>
        </w:rPr>
        <w:t>M</w:t>
      </w:r>
      <w:r>
        <w:rPr>
          <w:vertAlign w:val="superscript"/>
        </w:rPr>
        <w:fldChar w:fldCharType="begin"/>
      </w:r>
      <w:r>
        <w:rPr>
          <w:vertAlign w:val="superscript"/>
        </w:rPr>
        <w:instrText xml:space="preserve"> </w:instrText>
      </w:r>
      <w:r>
        <w:rPr>
          <w:rFonts w:hint="eastAsia"/>
          <w:vertAlign w:val="superscript"/>
        </w:rPr>
        <w:instrText xml:space="preserve">REF _Ref225763038 \r \h</w:instrText>
      </w:r>
      <w:r>
        <w:rPr>
          <w:vertAlign w:val="superscript"/>
        </w:rPr>
        <w:instrText xml:space="preserve">  \* MERGEFORMAT </w:instrText>
      </w:r>
      <w:r>
        <w:rPr>
          <w:vertAlign w:val="superscript"/>
        </w:rPr>
        <w:fldChar w:fldCharType="separate"/>
      </w:r>
      <w:r>
        <w:rPr>
          <w:vertAlign w:val="superscript"/>
        </w:rPr>
        <w:t>[22]</w:t>
      </w:r>
      <w:r>
        <w:rPr>
          <w:vertAlign w:val="superscript"/>
        </w:rPr>
        <w:fldChar w:fldCharType="end"/>
      </w:r>
      <w:r>
        <w:rPr>
          <w:rFonts w:hint="eastAsia"/>
        </w:rPr>
        <w:t>：</w:t>
      </w:r>
      <w:r>
        <w:t>这是一种基于语言模型的多模态分子预训练框架。它利用化学文本描述与分子结构之间的配对关系进行预训练，旨在将分子的化学结构映射至与其语义功能一致的向量空间。</w:t>
      </w:r>
    </w:p>
    <w:p>
      <w:r>
        <w:t>MoMu</w:t>
      </w:r>
      <w:r>
        <w:rPr>
          <w:vertAlign w:val="superscript"/>
        </w:rPr>
        <w:fldChar w:fldCharType="begin"/>
      </w:r>
      <w:r>
        <w:rPr>
          <w:vertAlign w:val="superscript"/>
        </w:rPr>
        <w:instrText xml:space="preserve"> REF _Ref225764488 \r \h  \* MERGEFORMAT </w:instrText>
      </w:r>
      <w:r>
        <w:rPr>
          <w:vertAlign w:val="superscript"/>
        </w:rPr>
        <w:fldChar w:fldCharType="separate"/>
      </w:r>
      <w:r>
        <w:rPr>
          <w:vertAlign w:val="superscript"/>
        </w:rPr>
        <w:t>[75]</w:t>
      </w:r>
      <w:r>
        <w:rPr>
          <w:vertAlign w:val="superscript"/>
        </w:rPr>
        <w:fldChar w:fldCharType="end"/>
      </w:r>
      <w:r>
        <w:rPr>
          <w:rFonts w:hint="eastAsia"/>
        </w:rPr>
        <w:t>：</w:t>
      </w:r>
      <w:r>
        <w:t>该模型专注于跨模态的图–文本对齐学习。它通过构建大规模的分子图与对应的化学描述文本对，利用对比学习目标函数使模型能够同时从视觉（图结构）和语义（文本）两个维度理解分子性质。</w:t>
      </w:r>
    </w:p>
    <w:p>
      <w:r>
        <w:t>KV-PLM</w:t>
      </w:r>
      <w:r>
        <w:rPr>
          <w:vertAlign w:val="superscript"/>
        </w:rPr>
        <w:fldChar w:fldCharType="begin"/>
      </w:r>
      <w:r>
        <w:rPr>
          <w:vertAlign w:val="superscript"/>
        </w:rPr>
        <w:instrText xml:space="preserve"> REF _Ref225764510 \r \h  \* MERGEFORMAT </w:instrText>
      </w:r>
      <w:r>
        <w:rPr>
          <w:vertAlign w:val="superscript"/>
        </w:rPr>
        <w:fldChar w:fldCharType="separate"/>
      </w:r>
      <w:r>
        <w:rPr>
          <w:vertAlign w:val="superscript"/>
        </w:rPr>
        <w:t>[76]</w:t>
      </w:r>
      <w:r>
        <w:rPr>
          <w:vertAlign w:val="superscript"/>
        </w:rPr>
        <w:fldChar w:fldCharType="end"/>
      </w:r>
      <w:r>
        <w:rPr>
          <w:rFonts w:hint="eastAsia"/>
        </w:rPr>
        <w:t>：</w:t>
      </w:r>
      <w:r>
        <w:t>一种知识增强的预训练语言模型。它尝试在预训练过程中显式注入分子的理化性质知识或专家规则，以缩短分子的结构信息与下游性质预测任务之间的语义鸿沟</w:t>
      </w:r>
      <w:r>
        <w:rPr>
          <w:rFonts w:hint="eastAsia"/>
        </w:rPr>
        <w:t>。</w:t>
      </w:r>
    </w:p>
    <w:p>
      <w:pPr>
        <w:pStyle w:val="3"/>
      </w:pPr>
      <w:bookmarkStart w:id="122" w:name="_Toc229423369"/>
      <w:commentRangeStart w:id="7"/>
      <w:r>
        <w:rPr>
          <w:rFonts w:hint="eastAsia"/>
        </w:rPr>
        <w:t>实验及结果分析</w:t>
      </w:r>
      <w:commentRangeEnd w:id="7"/>
      <w:bookmarkEnd w:id="122"/>
      <w:r>
        <w:commentReference w:id="7"/>
      </w:r>
    </w:p>
    <w:p>
      <w:pPr>
        <w:pStyle w:val="4"/>
        <w:rPr>
          <w:rFonts w:hint="default"/>
        </w:rPr>
      </w:pPr>
      <w:bookmarkStart w:id="123" w:name="_Toc229423370"/>
      <w:r>
        <w:t>对比实验</w:t>
      </w:r>
      <w:bookmarkEnd w:id="123"/>
    </w:p>
    <w:p>
      <w:r>
        <w:rPr>
          <w:rFonts w:hint="eastAsia"/>
        </w:rPr>
        <w:t>针对MoleculeNet涵盖的9个分子性质预测基准数据集，本文开展了多维度的系统性评估。在数据处理层面，全部遵循MoleculeNet推荐的标准化协议，即采用骨架分割策略，将样本集按8:1:1的比例严格划分为训练集、验证集与测试集，以评估模型在非同源分子结构上的泛化能力。为消除随机性干扰，所有实验均在不同随机种子下重复进行多轮，最终得到各项指标的均值及其标准差。最终结果如</w:t>
      </w:r>
      <w:r>
        <w:fldChar w:fldCharType="begin"/>
      </w:r>
      <w:r>
        <w:instrText xml:space="preserve"> </w:instrText>
      </w:r>
      <w:r>
        <w:rPr>
          <w:rFonts w:hint="eastAsia"/>
        </w:rPr>
        <w:instrText xml:space="preserve">REF _Ref224306331 \h</w:instrText>
      </w:r>
      <w:r>
        <w:instrText xml:space="preserve"> </w:instrText>
      </w:r>
      <w:r>
        <w:fldChar w:fldCharType="separate"/>
      </w:r>
      <w:r>
        <w:rPr>
          <w:rFonts w:hint="eastAsia"/>
        </w:rPr>
        <w:t>表4-</w:t>
      </w:r>
      <w:r>
        <w:t>5</w:t>
      </w:r>
      <w:r>
        <w:fldChar w:fldCharType="end"/>
      </w:r>
      <w:r>
        <w:rPr>
          <w:rFonts w:hint="eastAsia"/>
        </w:rPr>
        <w:t>所示。</w:t>
      </w:r>
    </w:p>
    <w:p>
      <w:pPr>
        <w:pStyle w:val="11"/>
      </w:pPr>
      <w:bookmarkStart w:id="124" w:name="_Ref224306331"/>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5</w:t>
      </w:r>
      <w:r>
        <w:fldChar w:fldCharType="end"/>
      </w:r>
      <w:bookmarkEnd w:id="124"/>
      <w:r>
        <w:rPr>
          <w:rFonts w:hint="eastAsia"/>
        </w:rPr>
        <w:t xml:space="preserve"> KGAMA在MoleculeNet分类任务上对比实验结果</w:t>
      </w:r>
    </w:p>
    <w:tbl>
      <w:tblPr>
        <w:tblStyle w:val="22"/>
        <w:tblW w:w="5000"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741"/>
        <w:gridCol w:w="1318"/>
        <w:gridCol w:w="1319"/>
        <w:gridCol w:w="1319"/>
        <w:gridCol w:w="1319"/>
        <w:gridCol w:w="1319"/>
        <w:gridCol w:w="123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single" w:color="000000" w:sz="12" w:space="0"/>
              <w:left w:val="nil"/>
              <w:bottom w:val="nil"/>
              <w:right w:val="nil"/>
            </w:tcBorders>
            <w:vAlign w:val="bottom"/>
          </w:tcPr>
          <w:p>
            <w:pPr>
              <w:spacing w:line="300" w:lineRule="auto"/>
              <w:ind w:firstLine="0" w:firstLineChars="0"/>
              <w:jc w:val="center"/>
            </w:pPr>
            <w:r>
              <w:rPr>
                <w:rFonts w:hint="eastAsia"/>
              </w:rPr>
              <w:t>Datasets</w:t>
            </w:r>
          </w:p>
        </w:tc>
        <w:tc>
          <w:tcPr>
            <w:tcW w:w="689" w:type="pct"/>
            <w:tcBorders>
              <w:top w:val="single" w:color="000000" w:sz="12" w:space="0"/>
              <w:left w:val="nil"/>
              <w:bottom w:val="nil"/>
              <w:right w:val="nil"/>
            </w:tcBorders>
            <w:vAlign w:val="bottom"/>
          </w:tcPr>
          <w:p>
            <w:pPr>
              <w:spacing w:line="300" w:lineRule="auto"/>
              <w:ind w:firstLine="0" w:firstLineChars="0"/>
              <w:jc w:val="center"/>
            </w:pPr>
            <w:r>
              <w:rPr>
                <w:rFonts w:hint="eastAsia"/>
              </w:rPr>
              <w:t>BACE</w:t>
            </w:r>
          </w:p>
        </w:tc>
        <w:tc>
          <w:tcPr>
            <w:tcW w:w="689" w:type="pct"/>
            <w:tcBorders>
              <w:top w:val="single" w:color="000000" w:sz="12" w:space="0"/>
              <w:left w:val="nil"/>
              <w:bottom w:val="nil"/>
              <w:right w:val="nil"/>
            </w:tcBorders>
            <w:vAlign w:val="bottom"/>
          </w:tcPr>
          <w:p>
            <w:pPr>
              <w:spacing w:line="300" w:lineRule="auto"/>
              <w:ind w:firstLine="0" w:firstLineChars="0"/>
              <w:jc w:val="center"/>
            </w:pPr>
            <w:r>
              <w:rPr>
                <w:rFonts w:hint="eastAsia"/>
              </w:rPr>
              <w:t>BBBP</w:t>
            </w:r>
          </w:p>
        </w:tc>
        <w:tc>
          <w:tcPr>
            <w:tcW w:w="689" w:type="pct"/>
            <w:tcBorders>
              <w:top w:val="single" w:color="000000" w:sz="12" w:space="0"/>
              <w:left w:val="nil"/>
              <w:bottom w:val="nil"/>
              <w:right w:val="nil"/>
            </w:tcBorders>
            <w:vAlign w:val="bottom"/>
          </w:tcPr>
          <w:p>
            <w:pPr>
              <w:spacing w:line="300" w:lineRule="auto"/>
              <w:ind w:firstLine="0" w:firstLineChars="0"/>
              <w:jc w:val="center"/>
            </w:pPr>
            <w:r>
              <w:rPr>
                <w:rFonts w:hint="eastAsia"/>
              </w:rPr>
              <w:t>ClinTox</w:t>
            </w:r>
          </w:p>
        </w:tc>
        <w:tc>
          <w:tcPr>
            <w:tcW w:w="689" w:type="pct"/>
            <w:tcBorders>
              <w:top w:val="single" w:color="000000" w:sz="12" w:space="0"/>
              <w:left w:val="nil"/>
              <w:bottom w:val="nil"/>
              <w:right w:val="nil"/>
            </w:tcBorders>
            <w:vAlign w:val="bottom"/>
          </w:tcPr>
          <w:p>
            <w:pPr>
              <w:spacing w:line="300" w:lineRule="auto"/>
              <w:ind w:firstLine="0" w:firstLineChars="0"/>
              <w:jc w:val="center"/>
            </w:pPr>
            <w:r>
              <w:rPr>
                <w:rFonts w:hint="eastAsia"/>
              </w:rPr>
              <w:t>Tox21</w:t>
            </w:r>
          </w:p>
        </w:tc>
        <w:tc>
          <w:tcPr>
            <w:tcW w:w="689" w:type="pct"/>
            <w:tcBorders>
              <w:top w:val="single" w:color="000000" w:sz="12" w:space="0"/>
              <w:left w:val="nil"/>
              <w:bottom w:val="nil"/>
              <w:right w:val="nil"/>
            </w:tcBorders>
            <w:vAlign w:val="bottom"/>
          </w:tcPr>
          <w:p>
            <w:pPr>
              <w:spacing w:line="300" w:lineRule="auto"/>
              <w:ind w:firstLine="0" w:firstLineChars="0"/>
              <w:jc w:val="center"/>
            </w:pPr>
            <w:r>
              <w:rPr>
                <w:rFonts w:hint="eastAsia"/>
              </w:rPr>
              <w:t>ToxCast</w:t>
            </w:r>
          </w:p>
        </w:tc>
        <w:tc>
          <w:tcPr>
            <w:tcW w:w="645" w:type="pct"/>
            <w:tcBorders>
              <w:top w:val="single" w:color="000000" w:sz="12" w:space="0"/>
              <w:left w:val="nil"/>
              <w:bottom w:val="nil"/>
              <w:right w:val="nil"/>
            </w:tcBorders>
            <w:vAlign w:val="bottom"/>
          </w:tcPr>
          <w:p>
            <w:pPr>
              <w:spacing w:line="300" w:lineRule="auto"/>
              <w:ind w:firstLine="0" w:firstLineChars="0"/>
              <w:jc w:val="center"/>
            </w:pPr>
            <w:r>
              <w:rPr>
                <w:rFonts w:hint="eastAsia"/>
              </w:rPr>
              <w:t>SIDER</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#Molecules</w:t>
            </w:r>
          </w:p>
        </w:tc>
        <w:tc>
          <w:tcPr>
            <w:tcW w:w="689" w:type="pct"/>
            <w:tcBorders>
              <w:top w:val="nil"/>
              <w:left w:val="nil"/>
              <w:bottom w:val="nil"/>
              <w:right w:val="nil"/>
            </w:tcBorders>
            <w:vAlign w:val="bottom"/>
          </w:tcPr>
          <w:p>
            <w:pPr>
              <w:spacing w:line="300" w:lineRule="auto"/>
              <w:ind w:firstLine="0" w:firstLineChars="0"/>
              <w:jc w:val="center"/>
            </w:pPr>
            <w:r>
              <w:rPr>
                <w:rFonts w:hint="eastAsia"/>
              </w:rPr>
              <w:t>1513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2050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1484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7831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8597</w:t>
            </w:r>
          </w:p>
        </w:tc>
        <w:tc>
          <w:tcPr>
            <w:tcW w:w="645" w:type="pct"/>
            <w:tcBorders>
              <w:top w:val="nil"/>
              <w:left w:val="nil"/>
              <w:bottom w:val="nil"/>
              <w:right w:val="nil"/>
            </w:tcBorders>
            <w:vAlign w:val="bottom"/>
          </w:tcPr>
          <w:p>
            <w:pPr>
              <w:spacing w:line="300" w:lineRule="auto"/>
              <w:ind w:firstLine="0" w:firstLineChars="0"/>
              <w:jc w:val="center"/>
            </w:pPr>
            <w:r>
              <w:rPr>
                <w:rFonts w:hint="eastAsia"/>
              </w:rPr>
              <w:t>1427</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single" w:color="000000" w:sz="8" w:space="0"/>
              <w:right w:val="nil"/>
            </w:tcBorders>
            <w:vAlign w:val="bottom"/>
          </w:tcPr>
          <w:p>
            <w:pPr>
              <w:spacing w:line="300" w:lineRule="auto"/>
              <w:ind w:firstLine="0" w:firstLineChars="0"/>
              <w:jc w:val="center"/>
            </w:pPr>
            <w:r>
              <w:rPr>
                <w:rFonts w:hint="eastAsia"/>
              </w:rPr>
              <w:t>#Tasks</w:t>
            </w:r>
          </w:p>
        </w:tc>
        <w:tc>
          <w:tcPr>
            <w:tcW w:w="689" w:type="pct"/>
            <w:tcBorders>
              <w:top w:val="nil"/>
              <w:left w:val="nil"/>
              <w:bottom w:val="single" w:color="000000" w:sz="8" w:space="0"/>
              <w:right w:val="nil"/>
            </w:tcBorders>
            <w:vAlign w:val="bottom"/>
          </w:tcPr>
          <w:p>
            <w:pPr>
              <w:spacing w:line="300" w:lineRule="auto"/>
              <w:ind w:firstLine="0" w:firstLineChars="0"/>
              <w:jc w:val="center"/>
            </w:pPr>
            <w:r>
              <w:rPr>
                <w:rFonts w:hint="eastAsia"/>
              </w:rPr>
              <w:t>1</w:t>
            </w:r>
          </w:p>
        </w:tc>
        <w:tc>
          <w:tcPr>
            <w:tcW w:w="689" w:type="pct"/>
            <w:tcBorders>
              <w:top w:val="nil"/>
              <w:left w:val="nil"/>
              <w:bottom w:val="single" w:color="000000" w:sz="8" w:space="0"/>
              <w:right w:val="nil"/>
            </w:tcBorders>
            <w:vAlign w:val="bottom"/>
          </w:tcPr>
          <w:p>
            <w:pPr>
              <w:spacing w:line="300" w:lineRule="auto"/>
              <w:ind w:firstLine="0" w:firstLineChars="0"/>
              <w:jc w:val="center"/>
            </w:pPr>
            <w:r>
              <w:rPr>
                <w:rFonts w:hint="eastAsia"/>
              </w:rPr>
              <w:t>1</w:t>
            </w:r>
          </w:p>
        </w:tc>
        <w:tc>
          <w:tcPr>
            <w:tcW w:w="689" w:type="pct"/>
            <w:tcBorders>
              <w:top w:val="nil"/>
              <w:left w:val="nil"/>
              <w:bottom w:val="single" w:color="000000" w:sz="8" w:space="0"/>
              <w:right w:val="nil"/>
            </w:tcBorders>
            <w:vAlign w:val="bottom"/>
          </w:tcPr>
          <w:p>
            <w:pPr>
              <w:spacing w:line="300" w:lineRule="auto"/>
              <w:ind w:firstLine="0" w:firstLineChars="0"/>
              <w:jc w:val="center"/>
            </w:pPr>
            <w:r>
              <w:rPr>
                <w:rFonts w:hint="eastAsia"/>
              </w:rPr>
              <w:t>2</w:t>
            </w:r>
          </w:p>
        </w:tc>
        <w:tc>
          <w:tcPr>
            <w:tcW w:w="689" w:type="pct"/>
            <w:tcBorders>
              <w:top w:val="nil"/>
              <w:left w:val="nil"/>
              <w:bottom w:val="single" w:color="000000" w:sz="8" w:space="0"/>
              <w:right w:val="nil"/>
            </w:tcBorders>
            <w:vAlign w:val="bottom"/>
          </w:tcPr>
          <w:p>
            <w:pPr>
              <w:spacing w:line="300" w:lineRule="auto"/>
              <w:ind w:firstLine="0" w:firstLineChars="0"/>
              <w:jc w:val="center"/>
            </w:pPr>
            <w:r>
              <w:rPr>
                <w:rFonts w:hint="eastAsia"/>
              </w:rPr>
              <w:t>12</w:t>
            </w:r>
          </w:p>
        </w:tc>
        <w:tc>
          <w:tcPr>
            <w:tcW w:w="689" w:type="pct"/>
            <w:tcBorders>
              <w:top w:val="nil"/>
              <w:left w:val="nil"/>
              <w:bottom w:val="single" w:color="000000" w:sz="8" w:space="0"/>
              <w:right w:val="nil"/>
            </w:tcBorders>
            <w:vAlign w:val="bottom"/>
          </w:tcPr>
          <w:p>
            <w:pPr>
              <w:spacing w:line="300" w:lineRule="auto"/>
              <w:ind w:firstLine="0" w:firstLineChars="0"/>
              <w:jc w:val="center"/>
            </w:pPr>
            <w:r>
              <w:rPr>
                <w:rFonts w:hint="eastAsia"/>
              </w:rPr>
              <w:t>617</w:t>
            </w:r>
          </w:p>
        </w:tc>
        <w:tc>
          <w:tcPr>
            <w:tcW w:w="645" w:type="pct"/>
            <w:tcBorders>
              <w:top w:val="nil"/>
              <w:left w:val="nil"/>
              <w:bottom w:val="single" w:color="000000" w:sz="8" w:space="0"/>
              <w:right w:val="nil"/>
            </w:tcBorders>
            <w:vAlign w:val="bottom"/>
          </w:tcPr>
          <w:p>
            <w:pPr>
              <w:spacing w:line="300" w:lineRule="auto"/>
              <w:ind w:firstLine="0" w:firstLineChars="0"/>
              <w:jc w:val="center"/>
            </w:pPr>
            <w:r>
              <w:rPr>
                <w:rFonts w:hint="eastAsia"/>
              </w:rPr>
              <w:t>27</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left w:val="nil"/>
              <w:bottom w:val="nil"/>
              <w:right w:val="nil"/>
            </w:tcBorders>
            <w:vAlign w:val="bottom"/>
          </w:tcPr>
          <w:p>
            <w:pPr>
              <w:spacing w:line="300" w:lineRule="auto"/>
              <w:ind w:firstLine="0" w:firstLineChars="0"/>
              <w:jc w:val="center"/>
            </w:pPr>
            <w:r>
              <w:rPr>
                <w:rFonts w:hint="eastAsia"/>
              </w:rPr>
              <w:t>MMCL</w:t>
            </w:r>
          </w:p>
        </w:tc>
        <w:tc>
          <w:tcPr>
            <w:tcW w:w="689" w:type="pct"/>
            <w:tcBorders>
              <w:left w:val="nil"/>
              <w:bottom w:val="nil"/>
              <w:right w:val="nil"/>
            </w:tcBorders>
            <w:vAlign w:val="bottom"/>
          </w:tcPr>
          <w:p>
            <w:pPr>
              <w:spacing w:line="300" w:lineRule="auto"/>
              <w:ind w:firstLine="0" w:firstLineChars="0"/>
              <w:jc w:val="center"/>
            </w:pPr>
            <w:r>
              <w:rPr>
                <w:rFonts w:hint="eastAsia"/>
              </w:rPr>
              <w:t>0.868</w:t>
            </w:r>
            <w:r>
              <w:rPr>
                <w:rFonts w:hint="eastAsia"/>
                <w:vertAlign w:val="subscript"/>
              </w:rPr>
              <w:t>(0.002)</w:t>
            </w:r>
          </w:p>
        </w:tc>
        <w:tc>
          <w:tcPr>
            <w:tcW w:w="689" w:type="pct"/>
            <w:tcBorders>
              <w:left w:val="nil"/>
              <w:bottom w:val="nil"/>
              <w:right w:val="nil"/>
            </w:tcBorders>
            <w:vAlign w:val="bottom"/>
          </w:tcPr>
          <w:p>
            <w:pPr>
              <w:spacing w:line="300" w:lineRule="auto"/>
              <w:ind w:firstLine="0" w:firstLineChars="0"/>
              <w:jc w:val="center"/>
            </w:pPr>
            <w:r>
              <w:rPr>
                <w:rFonts w:hint="eastAsia"/>
              </w:rPr>
              <w:t>0.895</w:t>
            </w:r>
            <w:r>
              <w:rPr>
                <w:rFonts w:hint="eastAsia"/>
                <w:vertAlign w:val="subscript"/>
              </w:rPr>
              <w:t>(0.012)</w:t>
            </w:r>
          </w:p>
        </w:tc>
        <w:tc>
          <w:tcPr>
            <w:tcW w:w="689" w:type="pct"/>
            <w:tcBorders>
              <w:left w:val="nil"/>
              <w:bottom w:val="nil"/>
              <w:right w:val="nil"/>
            </w:tcBorders>
            <w:vAlign w:val="bottom"/>
          </w:tcPr>
          <w:p>
            <w:pPr>
              <w:spacing w:line="300" w:lineRule="auto"/>
              <w:ind w:firstLine="0" w:firstLineChars="0"/>
              <w:jc w:val="center"/>
            </w:pPr>
            <w:r>
              <w:rPr>
                <w:rFonts w:hint="eastAsia"/>
              </w:rPr>
              <w:t>0.921</w:t>
            </w:r>
            <w:r>
              <w:rPr>
                <w:rFonts w:hint="eastAsia"/>
                <w:vertAlign w:val="subscript"/>
              </w:rPr>
              <w:t>(0.031)</w:t>
            </w:r>
          </w:p>
        </w:tc>
        <w:tc>
          <w:tcPr>
            <w:tcW w:w="689" w:type="pct"/>
            <w:tcBorders>
              <w:left w:val="nil"/>
              <w:bottom w:val="nil"/>
              <w:right w:val="nil"/>
            </w:tcBorders>
            <w:vAlign w:val="bottom"/>
          </w:tcPr>
          <w:p>
            <w:pPr>
              <w:spacing w:line="300" w:lineRule="auto"/>
              <w:ind w:firstLine="0" w:firstLineChars="0"/>
              <w:jc w:val="center"/>
            </w:pPr>
            <w:r>
              <w:rPr>
                <w:rFonts w:hint="eastAsia"/>
              </w:rPr>
              <w:t>0.836</w:t>
            </w:r>
            <w:r>
              <w:rPr>
                <w:rFonts w:hint="eastAsia"/>
                <w:vertAlign w:val="subscript"/>
              </w:rPr>
              <w:t>(0.009)</w:t>
            </w:r>
          </w:p>
        </w:tc>
        <w:tc>
          <w:tcPr>
            <w:tcW w:w="689" w:type="pct"/>
            <w:tcBorders>
              <w:left w:val="nil"/>
              <w:bottom w:val="nil"/>
              <w:right w:val="nil"/>
            </w:tcBorders>
            <w:vAlign w:val="bottom"/>
          </w:tcPr>
          <w:p>
            <w:pPr>
              <w:spacing w:line="300" w:lineRule="auto"/>
              <w:ind w:firstLine="0" w:firstLineChars="0"/>
              <w:jc w:val="center"/>
            </w:pPr>
            <w:r>
              <w:rPr>
                <w:rFonts w:hint="eastAsia"/>
              </w:rPr>
              <w:t>0.699</w:t>
            </w:r>
            <w:r>
              <w:rPr>
                <w:rFonts w:hint="eastAsia"/>
                <w:vertAlign w:val="subscript"/>
              </w:rPr>
              <w:t>(0.005)</w:t>
            </w:r>
          </w:p>
        </w:tc>
        <w:tc>
          <w:tcPr>
            <w:tcW w:w="645" w:type="pct"/>
            <w:tcBorders>
              <w:left w:val="nil"/>
              <w:bottom w:val="nil"/>
              <w:right w:val="nil"/>
            </w:tcBorders>
            <w:vAlign w:val="bottom"/>
          </w:tcPr>
          <w:p>
            <w:pPr>
              <w:spacing w:line="300" w:lineRule="auto"/>
              <w:ind w:firstLine="0" w:firstLineChars="0"/>
              <w:jc w:val="center"/>
            </w:pPr>
            <w:r>
              <w:rPr>
                <w:rFonts w:hint="eastAsia"/>
              </w:rPr>
              <w:t>0.660</w:t>
            </w:r>
            <w:r>
              <w:rPr>
                <w:rFonts w:hint="eastAsia"/>
                <w:vertAlign w:val="subscript"/>
              </w:rPr>
              <w:t>(0.023)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MMFRL</w:t>
            </w:r>
          </w:p>
        </w:tc>
        <w:tc>
          <w:tcPr>
            <w:tcW w:w="689" w:type="pct"/>
            <w:tcBorders>
              <w:top w:val="nil"/>
              <w:left w:val="nil"/>
              <w:bottom w:val="nil"/>
              <w:right w:val="nil"/>
            </w:tcBorders>
            <w:vAlign w:val="bottom"/>
          </w:tcPr>
          <w:p>
            <w:pPr>
              <w:spacing w:line="300" w:lineRule="auto"/>
              <w:ind w:firstLine="0" w:firstLineChars="0"/>
              <w:jc w:val="center"/>
            </w:pPr>
            <w:r>
              <w:rPr>
                <w:rFonts w:hint="eastAsia"/>
                <w:u w:val="single"/>
              </w:rPr>
              <w:t>0.869</w:t>
            </w:r>
            <w:r>
              <w:rPr>
                <w:rFonts w:hint="eastAsia"/>
                <w:u w:val="single"/>
                <w:vertAlign w:val="subscript"/>
              </w:rPr>
              <w:t>(0.014)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0.901</w:t>
            </w:r>
            <w:r>
              <w:rPr>
                <w:rFonts w:hint="eastAsia"/>
                <w:vertAlign w:val="subscript"/>
              </w:rPr>
              <w:t>(0.021)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0.924</w:t>
            </w:r>
            <w:r>
              <w:rPr>
                <w:rFonts w:hint="eastAsia"/>
                <w:vertAlign w:val="subscript"/>
              </w:rPr>
              <w:t>(0.021)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0.821</w:t>
            </w:r>
            <w:r>
              <w:rPr>
                <w:rFonts w:hint="eastAsia"/>
                <w:vertAlign w:val="subscript"/>
              </w:rPr>
              <w:t>(0.031)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0.701</w:t>
            </w:r>
            <w:r>
              <w:rPr>
                <w:rFonts w:hint="eastAsia"/>
                <w:vertAlign w:val="subscript"/>
              </w:rPr>
              <w:t>(0.009)</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0.659</w:t>
            </w:r>
            <w:r>
              <w:rPr>
                <w:rFonts w:hint="eastAsia"/>
                <w:vertAlign w:val="subscript"/>
              </w:rPr>
              <w:t>(0.018)</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AttentiveFP</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0.863</w:t>
            </w:r>
            <w:r>
              <w:rPr>
                <w:rFonts w:hint="eastAsia"/>
                <w:vertAlign w:val="subscript"/>
              </w:rPr>
              <w:t>(0.150)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0.908</w:t>
            </w:r>
            <w:r>
              <w:rPr>
                <w:rFonts w:hint="eastAsia"/>
                <w:vertAlign w:val="subscript"/>
              </w:rPr>
              <w:t>(0.050)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0.933</w:t>
            </w:r>
            <w:r>
              <w:rPr>
                <w:rFonts w:hint="eastAsia"/>
                <w:vertAlign w:val="subscript"/>
              </w:rPr>
              <w:t>(0.020)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0.807</w:t>
            </w:r>
            <w:r>
              <w:rPr>
                <w:rFonts w:hint="eastAsia"/>
                <w:vertAlign w:val="subscript"/>
              </w:rPr>
              <w:t>(0.021)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0.637</w:t>
            </w:r>
            <w:r>
              <w:rPr>
                <w:rFonts w:hint="eastAsia"/>
                <w:vertAlign w:val="subscript"/>
              </w:rPr>
              <w:t>(0.103)</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0.605</w:t>
            </w:r>
            <w:r>
              <w:rPr>
                <w:rFonts w:hint="eastAsia"/>
                <w:vertAlign w:val="subscript"/>
              </w:rPr>
              <w:t>(0.061)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Mol2Vec</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0.802</w:t>
            </w:r>
            <w:r>
              <w:rPr>
                <w:rFonts w:hint="eastAsia"/>
                <w:vertAlign w:val="subscript"/>
              </w:rPr>
              <w:t>(0.008)</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0.826</w:t>
            </w:r>
            <w:r>
              <w:rPr>
                <w:rFonts w:hint="eastAsia"/>
                <w:vertAlign w:val="subscript"/>
              </w:rPr>
              <w:t>(0.027)</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0.750</w:t>
            </w:r>
            <w:r>
              <w:rPr>
                <w:rFonts w:hint="eastAsia"/>
                <w:vertAlign w:val="subscript"/>
              </w:rPr>
              <w:t>(0.127)</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0.754</w:t>
            </w:r>
            <w:r>
              <w:rPr>
                <w:rFonts w:hint="eastAsia"/>
                <w:vertAlign w:val="subscript"/>
              </w:rPr>
              <w:t>(0.101)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0.614</w:t>
            </w:r>
            <w:r>
              <w:rPr>
                <w:rFonts w:hint="eastAsia"/>
                <w:vertAlign w:val="subscript"/>
              </w:rPr>
              <w:t>(0.031)</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0.592</w:t>
            </w:r>
            <w:r>
              <w:rPr>
                <w:rFonts w:hint="eastAsia"/>
                <w:vertAlign w:val="subscript"/>
              </w:rPr>
              <w:t>(0.003)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GROVER</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0.810</w:t>
            </w:r>
            <w:r>
              <w:rPr>
                <w:rFonts w:hint="eastAsia"/>
                <w:vertAlign w:val="subscript"/>
              </w:rPr>
              <w:t>(0.044)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0.695</w:t>
            </w:r>
            <w:r>
              <w:rPr>
                <w:rFonts w:hint="eastAsia"/>
                <w:vertAlign w:val="subscript"/>
              </w:rPr>
              <w:t>(0.185)</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0.762</w:t>
            </w:r>
            <w:r>
              <w:rPr>
                <w:rFonts w:hint="eastAsia"/>
                <w:vertAlign w:val="subscript"/>
              </w:rPr>
              <w:t>(0.013)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0.735</w:t>
            </w:r>
            <w:r>
              <w:rPr>
                <w:rFonts w:hint="eastAsia"/>
                <w:vertAlign w:val="subscript"/>
              </w:rPr>
              <w:t>(0.027)</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0.653</w:t>
            </w:r>
            <w:r>
              <w:rPr>
                <w:rFonts w:hint="eastAsia"/>
                <w:vertAlign w:val="subscript"/>
              </w:rPr>
              <w:t>(0.005)</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0.614</w:t>
            </w:r>
            <w:r>
              <w:rPr>
                <w:rFonts w:hint="eastAsia"/>
                <w:vertAlign w:val="subscript"/>
              </w:rPr>
              <w:t>(0.017)</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GraphMVP</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0.812</w:t>
            </w:r>
            <w:r>
              <w:rPr>
                <w:rFonts w:hint="eastAsia"/>
                <w:vertAlign w:val="subscript"/>
              </w:rPr>
              <w:t>(0.009)</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0.724</w:t>
            </w:r>
            <w:r>
              <w:rPr>
                <w:rFonts w:hint="eastAsia"/>
                <w:vertAlign w:val="subscript"/>
              </w:rPr>
              <w:t>(0.016)</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0.791</w:t>
            </w:r>
            <w:r>
              <w:rPr>
                <w:rFonts w:hint="eastAsia"/>
                <w:vertAlign w:val="subscript"/>
              </w:rPr>
              <w:t>(0.028)</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0.759</w:t>
            </w:r>
            <w:r>
              <w:rPr>
                <w:rFonts w:hint="eastAsia"/>
                <w:vertAlign w:val="subscript"/>
              </w:rPr>
              <w:t>(0.005)</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0.631</w:t>
            </w:r>
            <w:r>
              <w:rPr>
                <w:rFonts w:hint="eastAsia"/>
                <w:vertAlign w:val="subscript"/>
              </w:rPr>
              <w:t>(0.114)</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0.639</w:t>
            </w:r>
            <w:r>
              <w:rPr>
                <w:rFonts w:hint="eastAsia"/>
                <w:vertAlign w:val="subscript"/>
              </w:rPr>
              <w:t>(0.012)</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MPNN</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0.815</w:t>
            </w:r>
            <w:r>
              <w:rPr>
                <w:rFonts w:hint="eastAsia"/>
                <w:vertAlign w:val="subscript"/>
              </w:rPr>
              <w:t>(0.043)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0.913</w:t>
            </w:r>
            <w:r>
              <w:rPr>
                <w:rFonts w:hint="eastAsia"/>
                <w:vertAlign w:val="subscript"/>
              </w:rPr>
              <w:t>(0.042)</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0.879</w:t>
            </w:r>
            <w:r>
              <w:rPr>
                <w:rFonts w:hint="eastAsia"/>
                <w:vertAlign w:val="subscript"/>
              </w:rPr>
              <w:t>(0.054)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0.808</w:t>
            </w:r>
            <w:r>
              <w:rPr>
                <w:rFonts w:hint="eastAsia"/>
                <w:vertAlign w:val="subscript"/>
              </w:rPr>
              <w:t>(0.024)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0.691</w:t>
            </w:r>
            <w:r>
              <w:rPr>
                <w:rFonts w:hint="eastAsia"/>
                <w:vertAlign w:val="subscript"/>
              </w:rPr>
              <w:t>(0.018)</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0.595</w:t>
            </w:r>
            <w:r>
              <w:rPr>
                <w:rFonts w:hint="eastAsia"/>
                <w:vertAlign w:val="subscript"/>
              </w:rPr>
              <w:t>(0.031)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DMPNN</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0.823</w:t>
            </w:r>
            <w:r>
              <w:rPr>
                <w:rFonts w:hint="eastAsia"/>
                <w:vertAlign w:val="subscript"/>
              </w:rPr>
              <w:t>(0.038)</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0.919</w:t>
            </w:r>
            <w:r>
              <w:rPr>
                <w:rFonts w:hint="eastAsia"/>
                <w:vertAlign w:val="subscript"/>
              </w:rPr>
              <w:t>(0.048)</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0.897</w:t>
            </w:r>
            <w:r>
              <w:rPr>
                <w:rFonts w:hint="eastAsia"/>
                <w:vertAlign w:val="subscript"/>
              </w:rPr>
              <w:t>(0.041)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0.759</w:t>
            </w:r>
            <w:r>
              <w:rPr>
                <w:rFonts w:hint="eastAsia"/>
                <w:vertAlign w:val="subscript"/>
              </w:rPr>
              <w:t>(0.034)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0.655</w:t>
            </w:r>
            <w:r>
              <w:rPr>
                <w:rFonts w:hint="eastAsia"/>
                <w:vertAlign w:val="subscript"/>
              </w:rPr>
              <w:t>(0.101)</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0.570</w:t>
            </w:r>
            <w:r>
              <w:rPr>
                <w:rFonts w:hint="eastAsia"/>
                <w:vertAlign w:val="subscript"/>
              </w:rPr>
              <w:t>(0.031)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CMPNN</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0.866</w:t>
            </w:r>
            <w:r>
              <w:rPr>
                <w:rFonts w:hint="eastAsia"/>
                <w:vertAlign w:val="subscript"/>
              </w:rPr>
              <w:t>(0.002)</w:t>
            </w:r>
          </w:p>
        </w:tc>
        <w:tc>
          <w:tcPr>
            <w:tcW w:w="689" w:type="pct"/>
            <w:tcBorders>
              <w:top w:val="nil"/>
              <w:left w:val="nil"/>
              <w:bottom w:val="nil"/>
              <w:right w:val="nil"/>
            </w:tcBorders>
            <w:vAlign w:val="bottom"/>
          </w:tcPr>
          <w:p>
            <w:pPr>
              <w:spacing w:line="300" w:lineRule="auto"/>
              <w:ind w:firstLine="0" w:firstLineChars="0"/>
              <w:jc w:val="center"/>
              <w:rPr>
                <w:u w:val="single"/>
              </w:rPr>
            </w:pPr>
            <w:r>
              <w:rPr>
                <w:rFonts w:hint="eastAsia"/>
                <w:u w:val="single"/>
              </w:rPr>
              <w:t>0.927</w:t>
            </w:r>
            <w:r>
              <w:rPr>
                <w:rFonts w:hint="eastAsia"/>
                <w:u w:val="single"/>
                <w:vertAlign w:val="subscript"/>
              </w:rPr>
              <w:t>(0.002)</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0.901</w:t>
            </w:r>
            <w:r>
              <w:rPr>
                <w:rFonts w:hint="eastAsia"/>
                <w:vertAlign w:val="subscript"/>
              </w:rPr>
              <w:t>(0.012)</w:t>
            </w:r>
          </w:p>
        </w:tc>
        <w:tc>
          <w:tcPr>
            <w:tcW w:w="689" w:type="pct"/>
            <w:tcBorders>
              <w:top w:val="nil"/>
              <w:left w:val="nil"/>
              <w:bottom w:val="nil"/>
              <w:right w:val="nil"/>
            </w:tcBorders>
            <w:vAlign w:val="bottom"/>
          </w:tcPr>
          <w:p>
            <w:pPr>
              <w:spacing w:line="300" w:lineRule="auto"/>
              <w:ind w:firstLine="0" w:firstLineChars="0"/>
              <w:jc w:val="center"/>
              <w:rPr>
                <w:u w:val="single"/>
              </w:rPr>
            </w:pPr>
            <w:r>
              <w:rPr>
                <w:rFonts w:hint="eastAsia"/>
                <w:u w:val="single"/>
              </w:rPr>
              <w:t>0.837</w:t>
            </w:r>
            <w:r>
              <w:rPr>
                <w:rFonts w:hint="eastAsia"/>
                <w:u w:val="single"/>
                <w:vertAlign w:val="subscript"/>
              </w:rPr>
              <w:t>(0.016)</w:t>
            </w:r>
          </w:p>
        </w:tc>
        <w:tc>
          <w:tcPr>
            <w:tcW w:w="689" w:type="pct"/>
            <w:tcBorders>
              <w:top w:val="nil"/>
              <w:left w:val="nil"/>
              <w:bottom w:val="nil"/>
              <w:right w:val="nil"/>
            </w:tcBorders>
            <w:vAlign w:val="bottom"/>
          </w:tcPr>
          <w:p>
            <w:pPr>
              <w:spacing w:line="300" w:lineRule="auto"/>
              <w:ind w:firstLine="0" w:firstLineChars="0"/>
              <w:jc w:val="center"/>
              <w:rPr>
                <w:u w:val="single"/>
              </w:rPr>
            </w:pPr>
            <w:r>
              <w:rPr>
                <w:rFonts w:hint="eastAsia"/>
                <w:u w:val="single"/>
              </w:rPr>
              <w:t>0.709</w:t>
            </w:r>
            <w:r>
              <w:rPr>
                <w:rFonts w:hint="eastAsia"/>
                <w:u w:val="single"/>
                <w:vertAlign w:val="subscript"/>
              </w:rPr>
              <w:t>(0.002)</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0.617</w:t>
            </w:r>
            <w:r>
              <w:rPr>
                <w:rFonts w:hint="eastAsia"/>
                <w:vertAlign w:val="subscript"/>
              </w:rPr>
              <w:t>(0.003)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GIN</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0.845</w:t>
            </w:r>
            <w:r>
              <w:rPr>
                <w:rFonts w:hint="eastAsia"/>
                <w:vertAlign w:val="subscript"/>
              </w:rPr>
              <w:t>(0.021)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0.894</w:t>
            </w:r>
            <w:r>
              <w:rPr>
                <w:rFonts w:hint="eastAsia"/>
                <w:vertAlign w:val="subscript"/>
              </w:rPr>
              <w:t>(0.019)</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0.869</w:t>
            </w:r>
            <w:r>
              <w:rPr>
                <w:rFonts w:hint="eastAsia"/>
                <w:vertAlign w:val="subscript"/>
              </w:rPr>
              <w:t>(0.034)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0.811</w:t>
            </w:r>
            <w:r>
              <w:rPr>
                <w:rFonts w:hint="eastAsia"/>
                <w:vertAlign w:val="subscript"/>
              </w:rPr>
              <w:t>(0.002)</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0.703</w:t>
            </w:r>
            <w:r>
              <w:rPr>
                <w:rFonts w:hint="eastAsia"/>
                <w:vertAlign w:val="subscript"/>
              </w:rPr>
              <w:t>(0.004)</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0.591</w:t>
            </w:r>
            <w:r>
              <w:rPr>
                <w:rFonts w:hint="eastAsia"/>
                <w:vertAlign w:val="subscript"/>
              </w:rPr>
              <w:t>(0.016)</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SchNet</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0.751</w:t>
            </w:r>
            <w:r>
              <w:rPr>
                <w:rFonts w:hint="eastAsia"/>
                <w:vertAlign w:val="subscript"/>
              </w:rPr>
              <w:t>(0.033)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0.847</w:t>
            </w:r>
            <w:r>
              <w:rPr>
                <w:rFonts w:hint="eastAsia"/>
                <w:vertAlign w:val="subscript"/>
              </w:rPr>
              <w:t>(0.025)</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0.717</w:t>
            </w:r>
            <w:r>
              <w:rPr>
                <w:rFonts w:hint="eastAsia"/>
                <w:vertAlign w:val="subscript"/>
              </w:rPr>
              <w:t>(0.041)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0.767</w:t>
            </w:r>
            <w:r>
              <w:rPr>
                <w:rFonts w:hint="eastAsia"/>
                <w:vertAlign w:val="subscript"/>
              </w:rPr>
              <w:t>(0.023)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0.679</w:t>
            </w:r>
            <w:r>
              <w:rPr>
                <w:rFonts w:hint="eastAsia"/>
                <w:vertAlign w:val="subscript"/>
              </w:rPr>
              <w:t>(0.021)</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0.545</w:t>
            </w:r>
            <w:r>
              <w:rPr>
                <w:rFonts w:hint="eastAsia"/>
                <w:vertAlign w:val="subscript"/>
              </w:rPr>
              <w:t>(0.038)</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N-Gram</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0.779</w:t>
            </w:r>
            <w:r>
              <w:rPr>
                <w:rFonts w:hint="eastAsia"/>
                <w:vertAlign w:val="subscript"/>
              </w:rPr>
              <w:t>(0.031)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0.912</w:t>
            </w:r>
            <w:r>
              <w:rPr>
                <w:rFonts w:hint="eastAsia"/>
                <w:vertAlign w:val="subscript"/>
              </w:rPr>
              <w:t>(0.004)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0.855</w:t>
            </w:r>
            <w:r>
              <w:rPr>
                <w:rFonts w:hint="eastAsia"/>
                <w:vertAlign w:val="subscript"/>
              </w:rPr>
              <w:t>(0.013)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0.761</w:t>
            </w:r>
            <w:r>
              <w:rPr>
                <w:rFonts w:hint="eastAsia"/>
                <w:vertAlign w:val="subscript"/>
              </w:rPr>
              <w:t>(0.130)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0.659</w:t>
            </w:r>
            <w:r>
              <w:rPr>
                <w:rFonts w:hint="eastAsia"/>
                <w:vertAlign w:val="subscript"/>
              </w:rPr>
              <w:t>(0.133)</w:t>
            </w:r>
          </w:p>
        </w:tc>
        <w:tc>
          <w:tcPr>
            <w:tcW w:w="645" w:type="pct"/>
            <w:tcBorders>
              <w:top w:val="nil"/>
              <w:left w:val="nil"/>
              <w:bottom w:val="nil"/>
              <w:right w:val="nil"/>
            </w:tcBorders>
            <w:vAlign w:val="bottom"/>
          </w:tcPr>
          <w:p>
            <w:pPr>
              <w:spacing w:line="300" w:lineRule="auto"/>
              <w:ind w:firstLine="0" w:firstLineChars="0"/>
              <w:jc w:val="center"/>
              <w:rPr>
                <w:u w:val="single"/>
              </w:rPr>
            </w:pPr>
            <w:r>
              <w:rPr>
                <w:rFonts w:hint="eastAsia"/>
                <w:u w:val="single"/>
              </w:rPr>
              <w:t>0.662</w:t>
            </w:r>
            <w:r>
              <w:rPr>
                <w:rFonts w:hint="eastAsia"/>
                <w:u w:val="single"/>
                <w:vertAlign w:val="subscript"/>
              </w:rPr>
              <w:t>(0.009)</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MoleculeSTM</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0.808</w:t>
            </w:r>
            <w:r>
              <w:rPr>
                <w:rFonts w:hint="eastAsia"/>
                <w:vertAlign w:val="subscript"/>
              </w:rPr>
              <w:t>(0.002)</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0.712</w:t>
            </w:r>
            <w:r>
              <w:rPr>
                <w:rFonts w:hint="eastAsia"/>
                <w:vertAlign w:val="subscript"/>
              </w:rPr>
              <w:t>(0.019)</w:t>
            </w:r>
          </w:p>
        </w:tc>
        <w:tc>
          <w:tcPr>
            <w:tcW w:w="689" w:type="pct"/>
            <w:tcBorders>
              <w:top w:val="nil"/>
              <w:left w:val="nil"/>
              <w:bottom w:val="nil"/>
              <w:right w:val="nil"/>
            </w:tcBorders>
            <w:vAlign w:val="bottom"/>
          </w:tcPr>
          <w:p>
            <w:pPr>
              <w:spacing w:line="300" w:lineRule="auto"/>
              <w:ind w:firstLine="0" w:firstLineChars="0"/>
              <w:jc w:val="center"/>
              <w:rPr>
                <w:u w:val="single"/>
              </w:rPr>
            </w:pPr>
            <w:r>
              <w:rPr>
                <w:rFonts w:hint="eastAsia"/>
                <w:u w:val="single"/>
              </w:rPr>
              <w:t>0.925</w:t>
            </w:r>
            <w:r>
              <w:rPr>
                <w:rFonts w:hint="eastAsia"/>
                <w:u w:val="single"/>
                <w:vertAlign w:val="subscript"/>
              </w:rPr>
              <w:t>(0.011)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0.769</w:t>
            </w:r>
            <w:r>
              <w:rPr>
                <w:rFonts w:hint="eastAsia"/>
                <w:vertAlign w:val="subscript"/>
              </w:rPr>
              <w:t>(0.005)</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0.651</w:t>
            </w:r>
            <w:r>
              <w:rPr>
                <w:rFonts w:hint="eastAsia"/>
                <w:vertAlign w:val="subscript"/>
              </w:rPr>
              <w:t>(0.014)</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0.610</w:t>
            </w:r>
            <w:r>
              <w:rPr>
                <w:rFonts w:hint="eastAsia"/>
                <w:vertAlign w:val="subscript"/>
              </w:rPr>
              <w:t>(0.008)</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MoMu</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0.767</w:t>
            </w:r>
            <w:r>
              <w:rPr>
                <w:rFonts w:hint="eastAsia"/>
                <w:vertAlign w:val="subscript"/>
              </w:rPr>
              <w:t>(0.014)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0.705</w:t>
            </w:r>
            <w:r>
              <w:rPr>
                <w:rFonts w:hint="eastAsia"/>
                <w:vertAlign w:val="subscript"/>
              </w:rPr>
              <w:t>(0.020)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0.799</w:t>
            </w:r>
            <w:r>
              <w:rPr>
                <w:rFonts w:hint="eastAsia"/>
                <w:vertAlign w:val="subscript"/>
              </w:rPr>
              <w:t>(0.041)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0.756</w:t>
            </w:r>
            <w:r>
              <w:rPr>
                <w:rFonts w:hint="eastAsia"/>
                <w:vertAlign w:val="subscript"/>
              </w:rPr>
              <w:t>(0.003)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0.634</w:t>
            </w:r>
            <w:r>
              <w:rPr>
                <w:rFonts w:hint="eastAsia"/>
                <w:vertAlign w:val="subscript"/>
              </w:rPr>
              <w:t>(0.011)</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0.605</w:t>
            </w:r>
            <w:r>
              <w:rPr>
                <w:rFonts w:hint="eastAsia"/>
                <w:vertAlign w:val="subscript"/>
              </w:rPr>
              <w:t>(0.009)</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KV-PLM</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0.785</w:t>
            </w:r>
            <w:r>
              <w:rPr>
                <w:rFonts w:hint="eastAsia"/>
                <w:vertAlign w:val="subscript"/>
              </w:rPr>
              <w:t>(0.027)</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0.731</w:t>
            </w:r>
            <w:r>
              <w:rPr>
                <w:rFonts w:hint="eastAsia"/>
                <w:vertAlign w:val="subscript"/>
              </w:rPr>
              <w:t>(0.054)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0.892</w:t>
            </w:r>
            <w:r>
              <w:rPr>
                <w:rFonts w:hint="eastAsia"/>
                <w:vertAlign w:val="subscript"/>
              </w:rPr>
              <w:t>(0.073)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0.725</w:t>
            </w:r>
            <w:r>
              <w:rPr>
                <w:rFonts w:hint="eastAsia"/>
                <w:vertAlign w:val="subscript"/>
              </w:rPr>
              <w:t>(0.102)</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0.550</w:t>
            </w:r>
            <w:r>
              <w:rPr>
                <w:rFonts w:hint="eastAsia"/>
                <w:vertAlign w:val="subscript"/>
              </w:rPr>
              <w:t>(0.065)</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0.598</w:t>
            </w:r>
            <w:r>
              <w:rPr>
                <w:rFonts w:hint="eastAsia"/>
                <w:vertAlign w:val="subscript"/>
              </w:rPr>
              <w:t>(0.056)</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single" w:color="000000" w:sz="12" w:space="0"/>
              <w:right w:val="nil"/>
            </w:tcBorders>
            <w:vAlign w:val="bottom"/>
          </w:tcPr>
          <w:p>
            <w:pPr>
              <w:spacing w:line="300" w:lineRule="auto"/>
              <w:ind w:firstLine="0" w:firstLineChars="0"/>
              <w:jc w:val="center"/>
            </w:pPr>
            <w:r>
              <w:t>KGAMA</w:t>
            </w:r>
          </w:p>
        </w:tc>
        <w:tc>
          <w:tcPr>
            <w:tcW w:w="689"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0.872</w:t>
            </w:r>
            <w:r>
              <w:rPr>
                <w:rFonts w:hint="eastAsia"/>
                <w:b/>
                <w:bCs/>
                <w:vertAlign w:val="subscript"/>
              </w:rPr>
              <w:t>(0.006)</w:t>
            </w:r>
          </w:p>
        </w:tc>
        <w:tc>
          <w:tcPr>
            <w:tcW w:w="689"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0.930</w:t>
            </w:r>
            <w:r>
              <w:rPr>
                <w:rFonts w:hint="eastAsia"/>
                <w:b/>
                <w:bCs/>
                <w:vertAlign w:val="subscript"/>
              </w:rPr>
              <w:t>(0.002)</w:t>
            </w:r>
          </w:p>
        </w:tc>
        <w:tc>
          <w:tcPr>
            <w:tcW w:w="689"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0.939</w:t>
            </w:r>
            <w:r>
              <w:rPr>
                <w:rFonts w:hint="eastAsia"/>
                <w:b/>
                <w:bCs/>
                <w:vertAlign w:val="subscript"/>
              </w:rPr>
              <w:t>(0.012)</w:t>
            </w:r>
          </w:p>
        </w:tc>
        <w:tc>
          <w:tcPr>
            <w:tcW w:w="689"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0.841</w:t>
            </w:r>
            <w:r>
              <w:rPr>
                <w:rFonts w:hint="eastAsia"/>
                <w:b/>
                <w:bCs/>
                <w:vertAlign w:val="subscript"/>
              </w:rPr>
              <w:t>(0.005)</w:t>
            </w:r>
          </w:p>
        </w:tc>
        <w:tc>
          <w:tcPr>
            <w:tcW w:w="689"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0.712</w:t>
            </w:r>
            <w:r>
              <w:rPr>
                <w:rFonts w:hint="eastAsia"/>
                <w:b/>
                <w:bCs/>
                <w:vertAlign w:val="subscript"/>
              </w:rPr>
              <w:t>(0.011)</w:t>
            </w:r>
          </w:p>
        </w:tc>
        <w:tc>
          <w:tcPr>
            <w:tcW w:w="645"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0.669</w:t>
            </w:r>
            <w:r>
              <w:rPr>
                <w:rFonts w:hint="eastAsia"/>
                <w:b/>
                <w:bCs/>
                <w:vertAlign w:val="subscript"/>
              </w:rPr>
              <w:t>(0.004)</w:t>
            </w:r>
          </w:p>
        </w:tc>
      </w:tr>
    </w:tbl>
    <w:p/>
    <w:p>
      <w:r>
        <w:rPr>
          <w:rFonts w:hint="eastAsia"/>
        </w:rPr>
        <w:t>在BACE与BBBP数据集上，KGAMA模型显著超越了经典的图神经网络模型GIN、AttentiveFP，其中在BACE数据集上分别提高了2.7和0.9个百分点，在BBBP数据集上分别提高了3.6和2.2个百分点。相比于次优的MMFRL模型，KGAMA在这两个数据集上均提高了0.3个百分点。这种优势主要是因为KGAMA使用了Graphormer编码器，其能够对分子全局的拓扑结构进行捕捉，相比于传统的图神经网络，其能够捕捉更加远程的原子依赖关系。在</w:t>
      </w:r>
      <w:r>
        <w:t>ClinTox与SIDER等涉及复杂药理毒理机制的</w:t>
      </w:r>
      <w:r>
        <w:rPr>
          <w:rFonts w:hint="eastAsia"/>
        </w:rPr>
        <w:t>数据集上</w:t>
      </w:r>
      <w:r>
        <w:t>，KGAMA</w:t>
      </w:r>
      <w:r>
        <w:rPr>
          <w:rFonts w:hint="eastAsia"/>
        </w:rPr>
        <w:t>模型相比于</w:t>
      </w:r>
      <w:r>
        <w:t>MoleculeSTM</w:t>
      </w:r>
      <w:r>
        <w:rPr>
          <w:rFonts w:hint="eastAsia"/>
        </w:rPr>
        <w:t>这种采用文本对齐的模型来说，也展现了较为显著的优势，性能分别提高了1.4和5.9个百分点。这个结果证明了本文设计的知识重写模块的有效性。这也说明了在构建分子文本语义表征时，使用高密度、去噪声的高质量文本，是提升下游预测任务性能的重要条件之一。在</w:t>
      </w:r>
      <w:r>
        <w:t>Tox21与ToxCast</w:t>
      </w:r>
      <w:r>
        <w:rPr>
          <w:rFonts w:hint="eastAsia"/>
        </w:rPr>
        <w:t>这种包含了数百个子任务的数据集上，</w:t>
      </w:r>
      <w:r>
        <w:t>KGAMA依然</w:t>
      </w:r>
      <w:r>
        <w:rPr>
          <w:rFonts w:hint="eastAsia"/>
        </w:rPr>
        <w:t>可以保持一定的性能优势，相较于次优模型，最终在结果上分别提高了0.4和0.3个百分点。</w:t>
      </w:r>
      <w:r>
        <w:t>这一结果验证了本</w:t>
      </w:r>
      <w:r>
        <w:rPr>
          <w:rFonts w:hint="eastAsia"/>
        </w:rPr>
        <w:t>文中使用</w:t>
      </w:r>
      <w:r>
        <w:t>的基于同方差不确定性的自适应加权机制能够有效平衡不同任务与模态间的噪声，确保了模型在极端复杂场景下的泛化上限。</w:t>
      </w:r>
    </w:p>
    <w:p>
      <w:pPr>
        <w:pStyle w:val="11"/>
      </w:pPr>
      <w:bookmarkStart w:id="125" w:name="_Ref224306469"/>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6</w:t>
      </w:r>
      <w:r>
        <w:fldChar w:fldCharType="end"/>
      </w:r>
      <w:bookmarkEnd w:id="125"/>
      <w:r>
        <w:rPr>
          <w:rFonts w:hint="eastAsia"/>
        </w:rPr>
        <w:t xml:space="preserve"> KGAMA在MoleculeNet回归任务上对比实验结果</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8"/>
        <w:gridCol w:w="2214"/>
        <w:gridCol w:w="2214"/>
        <w:gridCol w:w="2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single" w:color="auto" w:sz="12" w:space="0"/>
              <w:left w:val="nil"/>
              <w:bottom w:val="nil"/>
              <w:right w:val="nil"/>
            </w:tcBorders>
            <w:vAlign w:val="bottom"/>
          </w:tcPr>
          <w:p>
            <w:pPr>
              <w:spacing w:line="300" w:lineRule="auto"/>
              <w:ind w:firstLine="0" w:firstLineChars="0"/>
              <w:jc w:val="center"/>
            </w:pPr>
            <w:r>
              <w:rPr>
                <w:rFonts w:hint="eastAsia"/>
              </w:rPr>
              <w:t>Datasets</w:t>
            </w:r>
          </w:p>
        </w:tc>
        <w:tc>
          <w:tcPr>
            <w:tcW w:w="1157" w:type="pct"/>
            <w:tcBorders>
              <w:top w:val="single" w:color="auto" w:sz="12" w:space="0"/>
              <w:left w:val="nil"/>
              <w:bottom w:val="nil"/>
              <w:right w:val="nil"/>
            </w:tcBorders>
          </w:tcPr>
          <w:p>
            <w:pPr>
              <w:spacing w:line="300" w:lineRule="auto"/>
              <w:ind w:firstLine="0" w:firstLineChars="0"/>
              <w:jc w:val="center"/>
            </w:pPr>
            <w:r>
              <w:rPr>
                <w:rFonts w:hint="eastAsia"/>
              </w:rPr>
              <w:t>ESOL</w:t>
            </w:r>
          </w:p>
        </w:tc>
        <w:tc>
          <w:tcPr>
            <w:tcW w:w="1157" w:type="pct"/>
            <w:tcBorders>
              <w:top w:val="single" w:color="auto" w:sz="12" w:space="0"/>
              <w:left w:val="nil"/>
              <w:bottom w:val="nil"/>
              <w:right w:val="nil"/>
            </w:tcBorders>
          </w:tcPr>
          <w:p>
            <w:pPr>
              <w:spacing w:line="300" w:lineRule="auto"/>
              <w:ind w:firstLine="0" w:firstLineChars="0"/>
              <w:jc w:val="center"/>
            </w:pPr>
            <w:r>
              <w:rPr>
                <w:rFonts w:hint="eastAsia"/>
              </w:rPr>
              <w:t>FreeSolv</w:t>
            </w:r>
          </w:p>
        </w:tc>
        <w:tc>
          <w:tcPr>
            <w:tcW w:w="1156" w:type="pct"/>
            <w:tcBorders>
              <w:top w:val="single" w:color="auto" w:sz="12" w:space="0"/>
              <w:left w:val="nil"/>
              <w:bottom w:val="nil"/>
              <w:right w:val="nil"/>
            </w:tcBorders>
          </w:tcPr>
          <w:p>
            <w:pPr>
              <w:spacing w:line="300" w:lineRule="auto"/>
              <w:ind w:firstLine="0" w:firstLineChars="0"/>
              <w:jc w:val="center"/>
            </w:pPr>
            <w:r>
              <w:rPr>
                <w:rFonts w:hint="eastAsia"/>
              </w:rPr>
              <w:t>Lipo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 Molecules</w:t>
            </w:r>
          </w:p>
        </w:tc>
        <w:tc>
          <w:tcPr>
            <w:tcW w:w="1157" w:type="pct"/>
            <w:tcBorders>
              <w:top w:val="nil"/>
              <w:left w:val="nil"/>
              <w:bottom w:val="nil"/>
              <w:right w:val="nil"/>
            </w:tcBorders>
          </w:tcPr>
          <w:p>
            <w:pPr>
              <w:spacing w:line="300" w:lineRule="auto"/>
              <w:ind w:firstLine="0" w:firstLineChars="0"/>
              <w:jc w:val="center"/>
            </w:pPr>
            <w:r>
              <w:rPr>
                <w:rFonts w:hint="eastAsia"/>
              </w:rPr>
              <w:t>1128</w:t>
            </w:r>
          </w:p>
        </w:tc>
        <w:tc>
          <w:tcPr>
            <w:tcW w:w="1157" w:type="pct"/>
            <w:tcBorders>
              <w:top w:val="nil"/>
              <w:left w:val="nil"/>
              <w:bottom w:val="nil"/>
              <w:right w:val="nil"/>
            </w:tcBorders>
          </w:tcPr>
          <w:p>
            <w:pPr>
              <w:spacing w:line="300" w:lineRule="auto"/>
              <w:ind w:firstLine="0" w:firstLineChars="0"/>
              <w:jc w:val="center"/>
            </w:pPr>
            <w:r>
              <w:rPr>
                <w:rFonts w:hint="eastAsia"/>
              </w:rPr>
              <w:t>642</w:t>
            </w:r>
          </w:p>
        </w:tc>
        <w:tc>
          <w:tcPr>
            <w:tcW w:w="1156" w:type="pct"/>
            <w:tcBorders>
              <w:top w:val="nil"/>
              <w:left w:val="nil"/>
              <w:bottom w:val="nil"/>
              <w:right w:val="nil"/>
            </w:tcBorders>
          </w:tcPr>
          <w:p>
            <w:pPr>
              <w:spacing w:line="300" w:lineRule="auto"/>
              <w:ind w:firstLine="0" w:firstLineChars="0"/>
              <w:jc w:val="center"/>
            </w:pPr>
            <w:r>
              <w:rPr>
                <w:rFonts w:hint="eastAsia"/>
              </w:rPr>
              <w:t>4200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single" w:color="auto" w:sz="8" w:space="0"/>
              <w:right w:val="nil"/>
            </w:tcBorders>
            <w:vAlign w:val="bottom"/>
          </w:tcPr>
          <w:p>
            <w:pPr>
              <w:spacing w:line="300" w:lineRule="auto"/>
              <w:ind w:firstLine="0" w:firstLineChars="0"/>
              <w:jc w:val="center"/>
            </w:pPr>
            <w:r>
              <w:rPr>
                <w:rFonts w:hint="eastAsia"/>
              </w:rPr>
              <w:t># Tasks</w:t>
            </w:r>
          </w:p>
        </w:tc>
        <w:tc>
          <w:tcPr>
            <w:tcW w:w="1157" w:type="pct"/>
            <w:tcBorders>
              <w:top w:val="nil"/>
              <w:left w:val="nil"/>
              <w:bottom w:val="single" w:color="auto" w:sz="8" w:space="0"/>
              <w:right w:val="nil"/>
            </w:tcBorders>
          </w:tcPr>
          <w:p>
            <w:pPr>
              <w:spacing w:line="300" w:lineRule="auto"/>
              <w:ind w:firstLine="0" w:firstLineChars="0"/>
              <w:jc w:val="center"/>
            </w:pPr>
            <w:r>
              <w:rPr>
                <w:rFonts w:hint="eastAsia"/>
              </w:rPr>
              <w:t>1</w:t>
            </w:r>
          </w:p>
        </w:tc>
        <w:tc>
          <w:tcPr>
            <w:tcW w:w="1157" w:type="pct"/>
            <w:tcBorders>
              <w:top w:val="nil"/>
              <w:left w:val="nil"/>
              <w:bottom w:val="single" w:color="auto" w:sz="8" w:space="0"/>
              <w:right w:val="nil"/>
            </w:tcBorders>
          </w:tcPr>
          <w:p>
            <w:pPr>
              <w:spacing w:line="300" w:lineRule="auto"/>
              <w:ind w:firstLine="0" w:firstLineChars="0"/>
              <w:jc w:val="center"/>
            </w:pPr>
            <w:r>
              <w:rPr>
                <w:rFonts w:hint="eastAsia"/>
              </w:rPr>
              <w:t>1</w:t>
            </w:r>
          </w:p>
        </w:tc>
        <w:tc>
          <w:tcPr>
            <w:tcW w:w="1156" w:type="pct"/>
            <w:tcBorders>
              <w:top w:val="nil"/>
              <w:left w:val="nil"/>
              <w:bottom w:val="single" w:color="auto" w:sz="8" w:space="0"/>
              <w:right w:val="nil"/>
            </w:tcBorders>
          </w:tcPr>
          <w:p>
            <w:pPr>
              <w:spacing w:line="300" w:lineRule="auto"/>
              <w:ind w:firstLine="0" w:firstLineChars="0"/>
              <w:jc w:val="center"/>
            </w:pP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single" w:color="auto" w:sz="8" w:space="0"/>
              <w:left w:val="nil"/>
              <w:bottom w:val="nil"/>
              <w:right w:val="nil"/>
            </w:tcBorders>
            <w:vAlign w:val="bottom"/>
          </w:tcPr>
          <w:p>
            <w:pPr>
              <w:spacing w:line="300" w:lineRule="auto"/>
              <w:ind w:firstLine="0" w:firstLineChars="0"/>
              <w:jc w:val="center"/>
            </w:pPr>
            <w:r>
              <w:rPr>
                <w:rFonts w:hint="eastAsia"/>
              </w:rPr>
              <w:t>MMCL</w:t>
            </w:r>
          </w:p>
        </w:tc>
        <w:tc>
          <w:tcPr>
            <w:tcW w:w="1157" w:type="pct"/>
            <w:tcBorders>
              <w:top w:val="single" w:color="auto" w:sz="8" w:space="0"/>
              <w:left w:val="nil"/>
              <w:bottom w:val="nil"/>
              <w:right w:val="nil"/>
            </w:tcBorders>
            <w:vAlign w:val="center"/>
          </w:tcPr>
          <w:p>
            <w:pPr>
              <w:spacing w:line="300" w:lineRule="auto"/>
              <w:ind w:firstLine="0" w:firstLineChars="0"/>
              <w:jc w:val="center"/>
            </w:pPr>
            <w:r>
              <w:rPr>
                <w:rFonts w:hint="eastAsia"/>
              </w:rPr>
              <w:t>0.865</w:t>
            </w:r>
            <w:r>
              <w:rPr>
                <w:rFonts w:hint="eastAsia"/>
                <w:vertAlign w:val="subscript"/>
              </w:rPr>
              <w:t>(0.045)</w:t>
            </w:r>
          </w:p>
        </w:tc>
        <w:tc>
          <w:tcPr>
            <w:tcW w:w="1157" w:type="pct"/>
            <w:tcBorders>
              <w:top w:val="single" w:color="auto" w:sz="8" w:space="0"/>
              <w:left w:val="nil"/>
              <w:bottom w:val="nil"/>
              <w:right w:val="nil"/>
            </w:tcBorders>
            <w:vAlign w:val="center"/>
          </w:tcPr>
          <w:p>
            <w:pPr>
              <w:spacing w:line="300" w:lineRule="auto"/>
              <w:ind w:firstLine="0" w:firstLineChars="0"/>
              <w:jc w:val="center"/>
            </w:pPr>
            <w:r>
              <w:rPr>
                <w:rFonts w:hint="eastAsia"/>
              </w:rPr>
              <w:t>1.669</w:t>
            </w:r>
            <w:r>
              <w:rPr>
                <w:rFonts w:hint="eastAsia"/>
                <w:vertAlign w:val="subscript"/>
              </w:rPr>
              <w:t>(0.103)</w:t>
            </w:r>
          </w:p>
        </w:tc>
        <w:tc>
          <w:tcPr>
            <w:tcW w:w="1156" w:type="pct"/>
            <w:tcBorders>
              <w:top w:val="single" w:color="auto" w:sz="8" w:space="0"/>
              <w:left w:val="nil"/>
              <w:bottom w:val="nil"/>
              <w:right w:val="nil"/>
            </w:tcBorders>
            <w:vAlign w:val="center"/>
          </w:tcPr>
          <w:p>
            <w:pPr>
              <w:spacing w:line="300" w:lineRule="auto"/>
              <w:ind w:firstLine="0" w:firstLineChars="0"/>
              <w:jc w:val="center"/>
            </w:pPr>
            <w:r>
              <w:rPr>
                <w:rFonts w:hint="eastAsia"/>
              </w:rPr>
              <w:t>0.705</w:t>
            </w:r>
            <w:r>
              <w:rPr>
                <w:rFonts w:hint="eastAsia"/>
                <w:vertAlign w:val="subscript"/>
              </w:rPr>
              <w:t>(0.032)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MMFRL</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0.850</w:t>
            </w:r>
            <w:r>
              <w:rPr>
                <w:rFonts w:hint="eastAsia"/>
                <w:vertAlign w:val="subscript"/>
              </w:rPr>
              <w:t>(0.034)</w:t>
            </w:r>
          </w:p>
        </w:tc>
        <w:tc>
          <w:tcPr>
            <w:tcW w:w="1157" w:type="pct"/>
            <w:tcBorders>
              <w:top w:val="nil"/>
              <w:left w:val="nil"/>
              <w:bottom w:val="nil"/>
              <w:right w:val="nil"/>
            </w:tcBorders>
            <w:vAlign w:val="center"/>
          </w:tcPr>
          <w:p>
            <w:pPr>
              <w:spacing w:line="300" w:lineRule="auto"/>
              <w:ind w:firstLine="0" w:firstLineChars="0"/>
              <w:jc w:val="center"/>
            </w:pPr>
            <w:r>
              <w:rPr>
                <w:rFonts w:hint="eastAsia"/>
                <w:u w:val="single"/>
              </w:rPr>
              <w:t>1.619</w:t>
            </w:r>
            <w:r>
              <w:rPr>
                <w:rFonts w:hint="eastAsia"/>
                <w:u w:val="single"/>
                <w:vertAlign w:val="subscript"/>
              </w:rPr>
              <w:t>(0.202)</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0.663</w:t>
            </w:r>
            <w:r>
              <w:rPr>
                <w:rFonts w:hint="eastAsia"/>
                <w:vertAlign w:val="subscript"/>
              </w:rPr>
              <w:t>(0.042)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AttentiveFP</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0.877</w:t>
            </w:r>
            <w:r>
              <w:rPr>
                <w:rFonts w:hint="eastAsia"/>
                <w:vertAlign w:val="subscript"/>
              </w:rPr>
              <w:t>(0.060)</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2.073</w:t>
            </w:r>
            <w:r>
              <w:rPr>
                <w:rFonts w:hint="eastAsia"/>
                <w:vertAlign w:val="subscript"/>
              </w:rPr>
              <w:t>(0.220)</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0.721</w:t>
            </w:r>
            <w:r>
              <w:rPr>
                <w:rFonts w:hint="eastAsia"/>
                <w:vertAlign w:val="subscript"/>
              </w:rPr>
              <w:t>(0.030)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Mol2Vec</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0.995</w:t>
            </w:r>
            <w:r>
              <w:rPr>
                <w:rFonts w:hint="eastAsia"/>
                <w:vertAlign w:val="subscript"/>
              </w:rPr>
              <w:t>(0.032)</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2.021</w:t>
            </w:r>
            <w:r>
              <w:rPr>
                <w:rFonts w:hint="eastAsia"/>
                <w:vertAlign w:val="subscript"/>
              </w:rPr>
              <w:t>(0.154)</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0.803</w:t>
            </w:r>
            <w:r>
              <w:rPr>
                <w:rFonts w:hint="eastAsia"/>
                <w:vertAlign w:val="subscript"/>
              </w:rPr>
              <w:t>(0.021)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GROVER</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0.921</w:t>
            </w:r>
            <w:r>
              <w:rPr>
                <w:rFonts w:hint="eastAsia"/>
                <w:vertAlign w:val="subscript"/>
              </w:rPr>
              <w:t>(0.087)</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2.026</w:t>
            </w:r>
            <w:r>
              <w:rPr>
                <w:rFonts w:hint="eastAsia"/>
                <w:vertAlign w:val="subscript"/>
              </w:rPr>
              <w:t>(0.127)</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0.676</w:t>
            </w:r>
            <w:r>
              <w:rPr>
                <w:rFonts w:hint="eastAsia"/>
                <w:vertAlign w:val="subscript"/>
              </w:rPr>
              <w:t>(0.022)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GraphMVP</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1.029</w:t>
            </w:r>
            <w:r>
              <w:rPr>
                <w:rFonts w:hint="eastAsia"/>
                <w:vertAlign w:val="subscript"/>
              </w:rPr>
              <w:t>(0.033)</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1.893</w:t>
            </w:r>
            <w:r>
              <w:rPr>
                <w:rFonts w:hint="eastAsia"/>
                <w:vertAlign w:val="subscript"/>
              </w:rPr>
              <w:t>(0.063)</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0.681</w:t>
            </w:r>
            <w:r>
              <w:rPr>
                <w:rFonts w:hint="eastAsia"/>
                <w:vertAlign w:val="subscript"/>
              </w:rPr>
              <w:t>(0.002)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MPNN</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1.167</w:t>
            </w:r>
            <w:r>
              <w:rPr>
                <w:rFonts w:hint="eastAsia"/>
                <w:vertAlign w:val="subscript"/>
              </w:rPr>
              <w:t>(0.430)</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2.185</w:t>
            </w:r>
            <w:r>
              <w:rPr>
                <w:rFonts w:hint="eastAsia"/>
                <w:vertAlign w:val="subscript"/>
              </w:rPr>
              <w:t>(0.952)</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0.672</w:t>
            </w:r>
            <w:r>
              <w:rPr>
                <w:rFonts w:hint="eastAsia"/>
                <w:vertAlign w:val="subscript"/>
              </w:rPr>
              <w:t>(0.051)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DMPNN</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0.972</w:t>
            </w:r>
            <w:r>
              <w:rPr>
                <w:rFonts w:hint="eastAsia"/>
                <w:vertAlign w:val="subscript"/>
              </w:rPr>
              <w:t>(0.097)</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2.170</w:t>
            </w:r>
            <w:r>
              <w:rPr>
                <w:rFonts w:hint="eastAsia"/>
                <w:vertAlign w:val="subscript"/>
              </w:rPr>
              <w:t>(0.536)</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0.662</w:t>
            </w:r>
            <w:r>
              <w:rPr>
                <w:rFonts w:hint="eastAsia"/>
                <w:vertAlign w:val="subscript"/>
              </w:rPr>
              <w:t>(0.051)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CMPNN</w:t>
            </w:r>
          </w:p>
        </w:tc>
        <w:tc>
          <w:tcPr>
            <w:tcW w:w="1157" w:type="pct"/>
            <w:tcBorders>
              <w:top w:val="nil"/>
              <w:left w:val="nil"/>
              <w:bottom w:val="nil"/>
              <w:right w:val="nil"/>
            </w:tcBorders>
            <w:vAlign w:val="center"/>
          </w:tcPr>
          <w:p>
            <w:pPr>
              <w:spacing w:line="300" w:lineRule="auto"/>
              <w:ind w:firstLine="0" w:firstLineChars="0"/>
              <w:jc w:val="center"/>
              <w:rPr>
                <w:u w:val="single"/>
              </w:rPr>
            </w:pPr>
            <w:r>
              <w:rPr>
                <w:rFonts w:hint="eastAsia"/>
                <w:u w:val="single"/>
              </w:rPr>
              <w:t>0.845</w:t>
            </w:r>
            <w:r>
              <w:rPr>
                <w:rFonts w:hint="eastAsia"/>
                <w:u w:val="single"/>
                <w:vertAlign w:val="subscript"/>
              </w:rPr>
              <w:t>(0.039)</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1.833</w:t>
            </w:r>
            <w:r>
              <w:rPr>
                <w:rFonts w:hint="eastAsia"/>
                <w:vertAlign w:val="subscript"/>
              </w:rPr>
              <w:t>(0.581)</w:t>
            </w:r>
          </w:p>
        </w:tc>
        <w:tc>
          <w:tcPr>
            <w:tcW w:w="1156" w:type="pct"/>
            <w:tcBorders>
              <w:top w:val="nil"/>
              <w:left w:val="nil"/>
              <w:bottom w:val="nil"/>
              <w:right w:val="nil"/>
            </w:tcBorders>
            <w:vAlign w:val="center"/>
          </w:tcPr>
          <w:p>
            <w:pPr>
              <w:spacing w:line="300" w:lineRule="auto"/>
              <w:ind w:firstLine="0" w:firstLineChars="0"/>
              <w:jc w:val="center"/>
              <w:rPr>
                <w:u w:val="single"/>
              </w:rPr>
            </w:pPr>
            <w:r>
              <w:rPr>
                <w:rFonts w:hint="eastAsia"/>
                <w:u w:val="single"/>
              </w:rPr>
              <w:t>0.658</w:t>
            </w:r>
            <w:r>
              <w:rPr>
                <w:rFonts w:hint="eastAsia"/>
                <w:u w:val="single"/>
                <w:vertAlign w:val="subscript"/>
              </w:rPr>
              <w:t>(0.029)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GIN</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0.885</w:t>
            </w:r>
            <w:r>
              <w:rPr>
                <w:rFonts w:hint="eastAsia"/>
                <w:vertAlign w:val="subscript"/>
              </w:rPr>
              <w:t>(0.051)</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1.636</w:t>
            </w:r>
            <w:r>
              <w:rPr>
                <w:rFonts w:hint="eastAsia"/>
                <w:vertAlign w:val="subscript"/>
              </w:rPr>
              <w:t>(0.102)</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0.659</w:t>
            </w:r>
            <w:r>
              <w:rPr>
                <w:rFonts w:hint="eastAsia"/>
                <w:vertAlign w:val="subscript"/>
              </w:rPr>
              <w:t>(0.085)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SchNet</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1.045</w:t>
            </w:r>
            <w:r>
              <w:rPr>
                <w:rFonts w:hint="eastAsia"/>
                <w:vertAlign w:val="subscript"/>
              </w:rPr>
              <w:t>(0.064)</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3.215</w:t>
            </w:r>
            <w:r>
              <w:rPr>
                <w:rFonts w:hint="eastAsia"/>
                <w:vertAlign w:val="subscript"/>
              </w:rPr>
              <w:t>(0.355)</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0.909</w:t>
            </w:r>
            <w:r>
              <w:rPr>
                <w:rFonts w:hint="eastAsia"/>
                <w:vertAlign w:val="subscript"/>
              </w:rPr>
              <w:t>(0.098)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N-Gram</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1.074</w:t>
            </w:r>
            <w:r>
              <w:rPr>
                <w:rFonts w:hint="eastAsia"/>
                <w:vertAlign w:val="subscript"/>
              </w:rPr>
              <w:t>(0.112)</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2.688</w:t>
            </w:r>
            <w:r>
              <w:rPr>
                <w:rFonts w:hint="eastAsia"/>
                <w:vertAlign w:val="subscript"/>
              </w:rPr>
              <w:t>(0.251)</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0.812</w:t>
            </w:r>
            <w:r>
              <w:rPr>
                <w:rFonts w:hint="eastAsia"/>
                <w:vertAlign w:val="subscript"/>
              </w:rPr>
              <w:t>(0.031)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MoleculeSTM</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MoMu</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KV-PLM</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1.124</w:t>
            </w:r>
            <w:r>
              <w:rPr>
                <w:rFonts w:hint="eastAsia"/>
                <w:vertAlign w:val="subscript"/>
              </w:rPr>
              <w:t>(0.251)</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2.124</w:t>
            </w:r>
            <w:r>
              <w:rPr>
                <w:rFonts w:hint="eastAsia"/>
                <w:vertAlign w:val="subscript"/>
              </w:rPr>
              <w:t>(0.429)</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0.902</w:t>
            </w:r>
            <w:r>
              <w:rPr>
                <w:rFonts w:hint="eastAsia"/>
                <w:vertAlign w:val="subscript"/>
              </w:rPr>
              <w:t>(0.047)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single" w:color="auto" w:sz="12" w:space="0"/>
              <w:right w:val="nil"/>
            </w:tcBorders>
            <w:vAlign w:val="bottom"/>
          </w:tcPr>
          <w:p>
            <w:pPr>
              <w:spacing w:line="300" w:lineRule="auto"/>
              <w:ind w:firstLine="0" w:firstLineChars="0"/>
              <w:jc w:val="center"/>
            </w:pPr>
            <w:r>
              <w:t>KGAMA</w:t>
            </w:r>
          </w:p>
        </w:tc>
        <w:tc>
          <w:tcPr>
            <w:tcW w:w="1157" w:type="pct"/>
            <w:tcBorders>
              <w:top w:val="nil"/>
              <w:left w:val="nil"/>
              <w:bottom w:val="single" w:color="auto" w:sz="12" w:space="0"/>
              <w:right w:val="nil"/>
            </w:tcBorders>
            <w:vAlign w:val="center"/>
          </w:tcPr>
          <w:p>
            <w:pPr>
              <w:spacing w:line="300" w:lineRule="auto"/>
              <w:ind w:firstLine="0" w:firstLineChars="0"/>
              <w:jc w:val="center"/>
              <w:rPr>
                <w:b/>
                <w:bCs/>
              </w:rPr>
            </w:pPr>
            <w:r>
              <w:rPr>
                <w:rFonts w:hint="eastAsia"/>
                <w:b/>
                <w:bCs/>
              </w:rPr>
              <w:t>0.831</w:t>
            </w:r>
            <w:r>
              <w:rPr>
                <w:rFonts w:hint="eastAsia"/>
                <w:b/>
                <w:bCs/>
                <w:vertAlign w:val="subscript"/>
              </w:rPr>
              <w:t>(0.024)</w:t>
            </w:r>
          </w:p>
        </w:tc>
        <w:tc>
          <w:tcPr>
            <w:tcW w:w="1157" w:type="pct"/>
            <w:tcBorders>
              <w:top w:val="nil"/>
              <w:left w:val="nil"/>
              <w:bottom w:val="single" w:color="auto" w:sz="12" w:space="0"/>
              <w:right w:val="nil"/>
            </w:tcBorders>
            <w:vAlign w:val="center"/>
          </w:tcPr>
          <w:p>
            <w:pPr>
              <w:spacing w:line="300" w:lineRule="auto"/>
              <w:ind w:firstLine="0" w:firstLineChars="0"/>
              <w:jc w:val="center"/>
              <w:rPr>
                <w:b/>
                <w:bCs/>
              </w:rPr>
            </w:pPr>
            <w:r>
              <w:rPr>
                <w:rFonts w:hint="eastAsia"/>
                <w:b/>
                <w:bCs/>
              </w:rPr>
              <w:t>1.512</w:t>
            </w:r>
            <w:r>
              <w:rPr>
                <w:rFonts w:hint="eastAsia"/>
                <w:b/>
                <w:bCs/>
                <w:vertAlign w:val="subscript"/>
              </w:rPr>
              <w:t>(0.233)</w:t>
            </w:r>
          </w:p>
        </w:tc>
        <w:tc>
          <w:tcPr>
            <w:tcW w:w="1156" w:type="pct"/>
            <w:tcBorders>
              <w:top w:val="nil"/>
              <w:left w:val="nil"/>
              <w:bottom w:val="single" w:color="auto" w:sz="12" w:space="0"/>
              <w:right w:val="nil"/>
            </w:tcBorders>
            <w:vAlign w:val="center"/>
          </w:tcPr>
          <w:p>
            <w:pPr>
              <w:spacing w:line="300" w:lineRule="auto"/>
              <w:ind w:firstLine="0" w:firstLineChars="0"/>
              <w:jc w:val="center"/>
              <w:rPr>
                <w:b/>
                <w:bCs/>
              </w:rPr>
            </w:pPr>
            <w:r>
              <w:rPr>
                <w:rFonts w:hint="eastAsia"/>
                <w:b/>
                <w:bCs/>
              </w:rPr>
              <w:t>0.655</w:t>
            </w:r>
            <w:r>
              <w:rPr>
                <w:rFonts w:hint="eastAsia"/>
                <w:b/>
                <w:bCs/>
                <w:vertAlign w:val="subscript"/>
              </w:rPr>
              <w:t>(0.006)</w:t>
            </w:r>
          </w:p>
        </w:tc>
      </w:tr>
    </w:tbl>
    <w:p/>
    <w:p>
      <w:r>
        <w:fldChar w:fldCharType="begin"/>
      </w:r>
      <w:r>
        <w:instrText xml:space="preserve"> REF _Ref224306469 \h </w:instrText>
      </w:r>
      <w:r>
        <w:fldChar w:fldCharType="separate"/>
      </w:r>
      <w:r>
        <w:rPr>
          <w:rFonts w:hint="eastAsia"/>
        </w:rPr>
        <w:t>表4-</w:t>
      </w:r>
      <w:r>
        <w:t>6</w:t>
      </w:r>
      <w:r>
        <w:fldChar w:fldCharType="end"/>
      </w:r>
      <w:r>
        <w:t>进一步展示了模型在ESOL、FreeSolv和Lipo三个回归任务上的均方根误差表现</w:t>
      </w:r>
      <w:r>
        <w:rPr>
          <w:rFonts w:hint="eastAsia"/>
        </w:rPr>
        <w:t>，该</w:t>
      </w:r>
      <w:r>
        <w:t>数值越低越好。在水溶性预测任务ESOL中，KGAMA取得了0.831的极低误差，显著优于CMPNN</w:t>
      </w:r>
      <w:r>
        <w:rPr>
          <w:rFonts w:hint="eastAsia"/>
        </w:rPr>
        <w:t>的</w:t>
      </w:r>
      <w:r>
        <w:t>0.845与AttentiveFP</w:t>
      </w:r>
      <w:r>
        <w:rPr>
          <w:rFonts w:hint="eastAsia"/>
        </w:rPr>
        <w:t>的</w:t>
      </w:r>
      <w:r>
        <w:t>0.877。这表明模型不仅在离散的分类空间中表现优异，在连续的物理化学性质空间中同样具备精准的回归能力。特别是在FreeSolv溶剂化自由能任务上，模型将RMSE降至1.512，相比于次优</w:t>
      </w:r>
      <w:r>
        <w:rPr>
          <w:rFonts w:hint="eastAsia"/>
        </w:rPr>
        <w:t>的基线</w:t>
      </w:r>
      <w:r>
        <w:t>模型</w:t>
      </w:r>
      <w:r>
        <w:rPr>
          <w:rFonts w:hint="eastAsia"/>
        </w:rPr>
        <w:t>MMFRL的</w:t>
      </w:r>
      <w:r>
        <w:t>1.619</w:t>
      </w:r>
      <w:r>
        <w:rPr>
          <w:rFonts w:hint="eastAsia"/>
        </w:rPr>
        <w:t>，预测误差显著降低，</w:t>
      </w:r>
      <w:r>
        <w:t>充分体现了多模态特征融合在刻画分子能量状态方面的优势。值得注意的是，在Lipo亲脂性数据集上，KGAMA达到了0.65</w:t>
      </w:r>
      <w:r>
        <w:rPr>
          <w:rFonts w:hint="eastAsia"/>
        </w:rPr>
        <w:t>5</w:t>
      </w:r>
      <w:r>
        <w:t>的SOTA水平。结合可视化分析可知，这一优异表现很大程度上源于分子指纹模态的引入。</w:t>
      </w:r>
      <w:r>
        <w:rPr>
          <w:rFonts w:hint="eastAsia"/>
        </w:rPr>
        <w:t>分子的</w:t>
      </w:r>
      <w:r>
        <w:t>亲脂性与分子中的特定官能团数量呈线性相关，而基于统计计数的指纹特征</w:t>
      </w:r>
      <w:r>
        <w:rPr>
          <w:rFonts w:hint="eastAsia"/>
        </w:rPr>
        <w:t>，正</w:t>
      </w:r>
      <w:r>
        <w:t>好能</w:t>
      </w:r>
      <w:r>
        <w:rPr>
          <w:rFonts w:hint="eastAsia"/>
        </w:rPr>
        <w:t>比较</w:t>
      </w:r>
      <w:r>
        <w:t>精确</w:t>
      </w:r>
      <w:r>
        <w:rPr>
          <w:rFonts w:hint="eastAsia"/>
        </w:rPr>
        <w:t>地</w:t>
      </w:r>
      <w:r>
        <w:t>捕捉此类信息</w:t>
      </w:r>
      <w:r>
        <w:rPr>
          <w:rFonts w:hint="eastAsia"/>
        </w:rPr>
        <w:t>。</w:t>
      </w:r>
    </w:p>
    <w:p>
      <w:r>
        <w:t>综上所述，无论是面向离散的生物活性分类，还是连续的理化性质回归，KGAMA均凭借其多模态知识增强</w:t>
      </w:r>
      <w:r>
        <w:rPr>
          <w:rFonts w:hint="eastAsia"/>
        </w:rPr>
        <w:t>和</w:t>
      </w:r>
      <w:r>
        <w:t>图中心对比学习的复合架构，展现出了</w:t>
      </w:r>
      <w:r>
        <w:rPr>
          <w:rFonts w:hint="eastAsia"/>
        </w:rPr>
        <w:t>较好的</w:t>
      </w:r>
      <w:r>
        <w:t>综合性能。</w:t>
      </w:r>
    </w:p>
    <w:p>
      <w:pPr>
        <w:pStyle w:val="4"/>
        <w:rPr>
          <w:rFonts w:hint="default"/>
        </w:rPr>
      </w:pPr>
      <w:bookmarkStart w:id="126" w:name="_Toc229423371"/>
      <w:r>
        <w:t>消融实验</w:t>
      </w:r>
      <w:bookmarkEnd w:id="126"/>
    </w:p>
    <w:p>
      <w:r>
        <w:t>为系统</w:t>
      </w:r>
      <w:r>
        <w:rPr>
          <w:rFonts w:hint="eastAsia"/>
        </w:rPr>
        <w:t>分析</w:t>
      </w:r>
      <w:r>
        <w:t>不同输入模态及融合机制对模型最终预测能力的边际贡献，本文基于所提出的KGAMA框架，构建了五种递进式的消融变体。所有变体均在统一的实验配置下进行训练与评测，</w:t>
      </w:r>
      <w:commentRangeStart w:id="8"/>
      <w:r>
        <w:t xml:space="preserve"> </w:t>
      </w:r>
      <w:commentRangeEnd w:id="8"/>
      <w:r>
        <w:commentReference w:id="8"/>
      </w:r>
      <w:r>
        <w:rPr>
          <w:rFonts w:hint="eastAsia"/>
        </w:rPr>
        <w:t>本文以分子图作为语义锚点，逐步引入其他辅助模态，具体变体定义如下：</w:t>
      </w:r>
    </w:p>
    <w:p>
      <w:r>
        <w:rPr>
          <w:rFonts w:hint="eastAsia"/>
        </w:rPr>
        <w:t>w/o ALL：基准模型，仅保留图编码器分支，采用Graphormer提取分子拓扑特征，作为下游任务的单一输入源，用于评估纯图结构视角的预测基线。</w:t>
      </w:r>
    </w:p>
    <w:p>
      <w:r>
        <w:rPr>
          <w:rFonts w:hint="eastAsia"/>
        </w:rPr>
        <w:t>w/o STC：结构增强，在图编码器的基础上引入分子指纹模态，旨在补充图神经网络可能遗漏的全局子结构统计信息。</w:t>
      </w:r>
    </w:p>
    <w:p>
      <w:r>
        <w:rPr>
          <w:rFonts w:hint="eastAsia"/>
        </w:rPr>
        <w:t>w/o TC：序列增强，进一步融合SMILES序列模态，利用Transformer捕获分子的线性化学语法与长程依赖。</w:t>
      </w:r>
    </w:p>
    <w:p>
      <w:r>
        <w:rPr>
          <w:rFonts w:hint="eastAsia"/>
        </w:rPr>
        <w:t>w/o C：静态融合，采用完整的四模态输入，但通过简单的特征拼接方式进行融合，用于评估多模态信息的原始叠加效应。</w:t>
      </w:r>
    </w:p>
    <w:p>
      <w:r>
        <w:rPr>
          <w:rFonts w:hint="eastAsia"/>
        </w:rPr>
        <w:t>KGAMA：完整模型，本文提出的最终形态，即在四模态基础上引入交叉注意力机制，实现特征的动态自适应融合。</w:t>
      </w:r>
    </w:p>
    <w:p>
      <w:pPr>
        <w:pStyle w:val="11"/>
      </w:pPr>
      <w:bookmarkStart w:id="127" w:name="_Ref225431955"/>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7</w:t>
      </w:r>
      <w:r>
        <w:fldChar w:fldCharType="end"/>
      </w:r>
      <w:bookmarkEnd w:id="127"/>
      <w:r>
        <w:rPr>
          <w:rFonts w:hint="eastAsia"/>
        </w:rPr>
        <w:t xml:space="preserve"> KGAMA在MoleculeNet基准组上分类任务消融实验结果</w:t>
      </w:r>
    </w:p>
    <w:tbl>
      <w:tblPr>
        <w:tblStyle w:val="22"/>
        <w:tblW w:w="927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668"/>
        <w:gridCol w:w="1254"/>
        <w:gridCol w:w="1242"/>
        <w:gridCol w:w="1285"/>
        <w:gridCol w:w="1299"/>
        <w:gridCol w:w="1235"/>
        <w:gridCol w:w="1292"/>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top w:val="single" w:color="000000" w:sz="12" w:space="0"/>
              <w:left w:val="nil"/>
              <w:bottom w:val="nil"/>
              <w:right w:val="nil"/>
            </w:tcBorders>
            <w:vAlign w:val="bottom"/>
          </w:tcPr>
          <w:p>
            <w:pPr>
              <w:spacing w:line="300" w:lineRule="auto"/>
              <w:ind w:firstLine="0" w:firstLineChars="0"/>
              <w:jc w:val="center"/>
            </w:pPr>
            <w:r>
              <w:rPr>
                <w:rFonts w:hint="eastAsia"/>
              </w:rPr>
              <w:t>Datasets</w:t>
            </w:r>
          </w:p>
        </w:tc>
        <w:tc>
          <w:tcPr>
            <w:tcW w:w="1254" w:type="dxa"/>
            <w:tcBorders>
              <w:top w:val="single" w:color="000000" w:sz="12" w:space="0"/>
              <w:left w:val="nil"/>
              <w:bottom w:val="nil"/>
              <w:right w:val="nil"/>
            </w:tcBorders>
            <w:vAlign w:val="bottom"/>
          </w:tcPr>
          <w:p>
            <w:pPr>
              <w:spacing w:line="300" w:lineRule="auto"/>
              <w:ind w:firstLine="0" w:firstLineChars="0"/>
              <w:jc w:val="center"/>
            </w:pPr>
            <w:r>
              <w:rPr>
                <w:rFonts w:hint="eastAsia"/>
              </w:rPr>
              <w:t>BACE</w:t>
            </w:r>
          </w:p>
        </w:tc>
        <w:tc>
          <w:tcPr>
            <w:tcW w:w="1242" w:type="dxa"/>
            <w:tcBorders>
              <w:top w:val="single" w:color="000000" w:sz="12" w:space="0"/>
              <w:left w:val="nil"/>
              <w:bottom w:val="nil"/>
              <w:right w:val="nil"/>
            </w:tcBorders>
            <w:vAlign w:val="bottom"/>
          </w:tcPr>
          <w:p>
            <w:pPr>
              <w:spacing w:line="300" w:lineRule="auto"/>
              <w:ind w:firstLine="0" w:firstLineChars="0"/>
              <w:jc w:val="center"/>
            </w:pPr>
            <w:r>
              <w:rPr>
                <w:rFonts w:hint="eastAsia"/>
              </w:rPr>
              <w:t>BBBP</w:t>
            </w:r>
          </w:p>
        </w:tc>
        <w:tc>
          <w:tcPr>
            <w:tcW w:w="1285" w:type="dxa"/>
            <w:tcBorders>
              <w:top w:val="single" w:color="000000" w:sz="12" w:space="0"/>
              <w:left w:val="nil"/>
              <w:bottom w:val="nil"/>
              <w:right w:val="nil"/>
            </w:tcBorders>
            <w:vAlign w:val="bottom"/>
          </w:tcPr>
          <w:p>
            <w:pPr>
              <w:spacing w:line="300" w:lineRule="auto"/>
              <w:ind w:firstLine="0" w:firstLineChars="0"/>
              <w:jc w:val="center"/>
            </w:pPr>
            <w:r>
              <w:rPr>
                <w:rFonts w:hint="eastAsia"/>
              </w:rPr>
              <w:t>ClinTox</w:t>
            </w:r>
          </w:p>
        </w:tc>
        <w:tc>
          <w:tcPr>
            <w:tcW w:w="1299" w:type="dxa"/>
            <w:tcBorders>
              <w:top w:val="single" w:color="000000" w:sz="12" w:space="0"/>
              <w:left w:val="nil"/>
              <w:bottom w:val="nil"/>
              <w:right w:val="nil"/>
            </w:tcBorders>
            <w:vAlign w:val="bottom"/>
          </w:tcPr>
          <w:p>
            <w:pPr>
              <w:spacing w:line="300" w:lineRule="auto"/>
              <w:ind w:firstLine="0" w:firstLineChars="0"/>
              <w:jc w:val="center"/>
            </w:pPr>
            <w:r>
              <w:rPr>
                <w:rFonts w:hint="eastAsia"/>
              </w:rPr>
              <w:t>Tox21</w:t>
            </w:r>
          </w:p>
        </w:tc>
        <w:tc>
          <w:tcPr>
            <w:tcW w:w="1235" w:type="dxa"/>
            <w:tcBorders>
              <w:top w:val="single" w:color="000000" w:sz="12" w:space="0"/>
              <w:left w:val="nil"/>
              <w:bottom w:val="nil"/>
              <w:right w:val="nil"/>
            </w:tcBorders>
            <w:vAlign w:val="bottom"/>
          </w:tcPr>
          <w:p>
            <w:pPr>
              <w:spacing w:line="300" w:lineRule="auto"/>
              <w:ind w:firstLine="0" w:firstLineChars="0"/>
              <w:jc w:val="center"/>
            </w:pPr>
            <w:r>
              <w:rPr>
                <w:rFonts w:hint="eastAsia"/>
              </w:rPr>
              <w:t>ToxCast</w:t>
            </w:r>
          </w:p>
        </w:tc>
        <w:tc>
          <w:tcPr>
            <w:tcW w:w="1292" w:type="dxa"/>
            <w:tcBorders>
              <w:top w:val="single" w:color="000000" w:sz="12" w:space="0"/>
              <w:left w:val="nil"/>
              <w:bottom w:val="nil"/>
              <w:right w:val="nil"/>
            </w:tcBorders>
            <w:vAlign w:val="bottom"/>
          </w:tcPr>
          <w:p>
            <w:pPr>
              <w:spacing w:line="300" w:lineRule="auto"/>
              <w:ind w:firstLine="0" w:firstLineChars="0"/>
              <w:jc w:val="center"/>
            </w:pPr>
            <w:r>
              <w:rPr>
                <w:rFonts w:hint="eastAsia"/>
              </w:rPr>
              <w:t>SIDER</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left w:val="nil"/>
              <w:bottom w:val="nil"/>
              <w:right w:val="nil"/>
            </w:tcBorders>
            <w:vAlign w:val="bottom"/>
          </w:tcPr>
          <w:p>
            <w:pPr>
              <w:spacing w:line="300" w:lineRule="auto"/>
              <w:ind w:firstLine="0" w:firstLineChars="0"/>
              <w:jc w:val="center"/>
            </w:pPr>
            <w:r>
              <w:rPr>
                <w:rFonts w:hint="eastAsia"/>
              </w:rPr>
              <w:t>w/o ALL</w:t>
            </w:r>
          </w:p>
        </w:tc>
        <w:tc>
          <w:tcPr>
            <w:tcW w:w="1254" w:type="dxa"/>
            <w:tcBorders>
              <w:left w:val="nil"/>
              <w:bottom w:val="nil"/>
              <w:right w:val="nil"/>
            </w:tcBorders>
            <w:vAlign w:val="bottom"/>
          </w:tcPr>
          <w:p>
            <w:pPr>
              <w:spacing w:line="300" w:lineRule="auto"/>
              <w:ind w:firstLine="0" w:firstLineChars="0"/>
              <w:jc w:val="center"/>
            </w:pPr>
            <w:r>
              <w:rPr>
                <w:rFonts w:hint="eastAsia"/>
              </w:rPr>
              <w:t>0.825</w:t>
            </w:r>
            <w:r>
              <w:rPr>
                <w:rFonts w:hint="eastAsia"/>
                <w:vertAlign w:val="subscript"/>
              </w:rPr>
              <w:t>(0.150)</w:t>
            </w:r>
          </w:p>
        </w:tc>
        <w:tc>
          <w:tcPr>
            <w:tcW w:w="1242" w:type="dxa"/>
            <w:tcBorders>
              <w:left w:val="nil"/>
              <w:bottom w:val="nil"/>
              <w:right w:val="nil"/>
            </w:tcBorders>
            <w:vAlign w:val="bottom"/>
          </w:tcPr>
          <w:p>
            <w:pPr>
              <w:spacing w:line="300" w:lineRule="auto"/>
              <w:ind w:firstLine="0" w:firstLineChars="0"/>
              <w:jc w:val="center"/>
            </w:pPr>
            <w:r>
              <w:rPr>
                <w:rFonts w:hint="eastAsia"/>
              </w:rPr>
              <w:t>0.898</w:t>
            </w:r>
            <w:r>
              <w:rPr>
                <w:rFonts w:hint="eastAsia"/>
                <w:vertAlign w:val="subscript"/>
              </w:rPr>
              <w:t>(0.050)</w:t>
            </w:r>
          </w:p>
        </w:tc>
        <w:tc>
          <w:tcPr>
            <w:tcW w:w="1285" w:type="dxa"/>
            <w:tcBorders>
              <w:left w:val="nil"/>
              <w:bottom w:val="nil"/>
              <w:right w:val="nil"/>
            </w:tcBorders>
            <w:vAlign w:val="bottom"/>
          </w:tcPr>
          <w:p>
            <w:pPr>
              <w:spacing w:line="300" w:lineRule="auto"/>
              <w:ind w:firstLine="0" w:firstLineChars="0"/>
              <w:jc w:val="center"/>
            </w:pPr>
            <w:r>
              <w:rPr>
                <w:rFonts w:hint="eastAsia"/>
              </w:rPr>
              <w:t>0.805</w:t>
            </w:r>
            <w:r>
              <w:rPr>
                <w:rFonts w:hint="eastAsia"/>
                <w:vertAlign w:val="subscript"/>
              </w:rPr>
              <w:t>(0.020)</w:t>
            </w:r>
          </w:p>
        </w:tc>
        <w:tc>
          <w:tcPr>
            <w:tcW w:w="1299" w:type="dxa"/>
            <w:tcBorders>
              <w:left w:val="nil"/>
              <w:bottom w:val="nil"/>
              <w:right w:val="nil"/>
            </w:tcBorders>
            <w:vAlign w:val="bottom"/>
          </w:tcPr>
          <w:p>
            <w:pPr>
              <w:spacing w:line="300" w:lineRule="auto"/>
              <w:ind w:firstLine="0" w:firstLineChars="0"/>
              <w:jc w:val="center"/>
            </w:pPr>
            <w:r>
              <w:rPr>
                <w:rFonts w:hint="eastAsia"/>
              </w:rPr>
              <w:t>0.771</w:t>
            </w:r>
            <w:r>
              <w:rPr>
                <w:rFonts w:hint="eastAsia"/>
                <w:vertAlign w:val="subscript"/>
              </w:rPr>
              <w:t>(0.021)</w:t>
            </w:r>
          </w:p>
        </w:tc>
        <w:tc>
          <w:tcPr>
            <w:tcW w:w="1235" w:type="dxa"/>
            <w:tcBorders>
              <w:left w:val="nil"/>
              <w:bottom w:val="nil"/>
              <w:right w:val="nil"/>
            </w:tcBorders>
            <w:vAlign w:val="bottom"/>
          </w:tcPr>
          <w:p>
            <w:pPr>
              <w:spacing w:line="300" w:lineRule="auto"/>
              <w:ind w:firstLine="0" w:firstLineChars="0"/>
              <w:jc w:val="center"/>
            </w:pPr>
            <w:r>
              <w:rPr>
                <w:rFonts w:hint="eastAsia"/>
              </w:rPr>
              <w:t>0.695</w:t>
            </w:r>
            <w:r>
              <w:rPr>
                <w:rFonts w:hint="eastAsia"/>
                <w:vertAlign w:val="subscript"/>
              </w:rPr>
              <w:t>(0.103)</w:t>
            </w:r>
          </w:p>
        </w:tc>
        <w:tc>
          <w:tcPr>
            <w:tcW w:w="1292" w:type="dxa"/>
            <w:tcBorders>
              <w:left w:val="nil"/>
              <w:bottom w:val="nil"/>
              <w:right w:val="nil"/>
            </w:tcBorders>
            <w:vAlign w:val="bottom"/>
          </w:tcPr>
          <w:p>
            <w:pPr>
              <w:spacing w:line="300" w:lineRule="auto"/>
              <w:ind w:firstLine="0" w:firstLineChars="0"/>
              <w:jc w:val="center"/>
            </w:pPr>
            <w:r>
              <w:rPr>
                <w:rFonts w:hint="eastAsia"/>
              </w:rPr>
              <w:t>0.638</w:t>
            </w:r>
            <w:r>
              <w:rPr>
                <w:rFonts w:hint="eastAsia"/>
                <w:vertAlign w:val="subscript"/>
              </w:rPr>
              <w:t>(0.061)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top w:val="nil"/>
              <w:left w:val="nil"/>
              <w:bottom w:val="nil"/>
              <w:right w:val="nil"/>
            </w:tcBorders>
            <w:vAlign w:val="bottom"/>
          </w:tcPr>
          <w:p>
            <w:pPr>
              <w:spacing w:line="300" w:lineRule="auto"/>
              <w:ind w:firstLine="0" w:firstLineChars="0"/>
              <w:jc w:val="center"/>
            </w:pPr>
            <w:r>
              <w:rPr>
                <w:rFonts w:hint="eastAsia"/>
              </w:rPr>
              <w:t>w/o STC</w:t>
            </w:r>
          </w:p>
        </w:tc>
        <w:tc>
          <w:tcPr>
            <w:tcW w:w="1254" w:type="dxa"/>
            <w:tcBorders>
              <w:top w:val="nil"/>
              <w:left w:val="nil"/>
              <w:bottom w:val="nil"/>
              <w:right w:val="nil"/>
            </w:tcBorders>
            <w:vAlign w:val="bottom"/>
          </w:tcPr>
          <w:p>
            <w:pPr>
              <w:spacing w:line="300" w:lineRule="auto"/>
              <w:ind w:firstLine="0" w:firstLineChars="0"/>
              <w:jc w:val="center"/>
            </w:pPr>
            <w:r>
              <w:rPr>
                <w:rFonts w:hint="eastAsia"/>
              </w:rPr>
              <w:t>0.842</w:t>
            </w:r>
            <w:r>
              <w:rPr>
                <w:rFonts w:hint="eastAsia"/>
                <w:vertAlign w:val="subscript"/>
              </w:rPr>
              <w:t>(0.008)</w:t>
            </w:r>
          </w:p>
        </w:tc>
        <w:tc>
          <w:tcPr>
            <w:tcW w:w="1242" w:type="dxa"/>
            <w:tcBorders>
              <w:top w:val="nil"/>
              <w:left w:val="nil"/>
              <w:bottom w:val="nil"/>
              <w:right w:val="nil"/>
            </w:tcBorders>
            <w:vAlign w:val="bottom"/>
          </w:tcPr>
          <w:p>
            <w:pPr>
              <w:spacing w:line="300" w:lineRule="auto"/>
              <w:ind w:firstLine="0" w:firstLineChars="0"/>
              <w:jc w:val="center"/>
            </w:pPr>
            <w:r>
              <w:rPr>
                <w:rFonts w:hint="eastAsia"/>
              </w:rPr>
              <w:t>0.912</w:t>
            </w:r>
            <w:r>
              <w:rPr>
                <w:rFonts w:hint="eastAsia"/>
                <w:vertAlign w:val="subscript"/>
              </w:rPr>
              <w:t>(0.027)</w:t>
            </w:r>
          </w:p>
        </w:tc>
        <w:tc>
          <w:tcPr>
            <w:tcW w:w="1285" w:type="dxa"/>
            <w:tcBorders>
              <w:top w:val="nil"/>
              <w:left w:val="nil"/>
              <w:bottom w:val="nil"/>
              <w:right w:val="nil"/>
            </w:tcBorders>
            <w:vAlign w:val="bottom"/>
          </w:tcPr>
          <w:p>
            <w:pPr>
              <w:spacing w:line="300" w:lineRule="auto"/>
              <w:ind w:firstLine="0" w:firstLineChars="0"/>
              <w:jc w:val="center"/>
            </w:pPr>
            <w:r>
              <w:rPr>
                <w:rFonts w:hint="eastAsia"/>
              </w:rPr>
              <w:t>0.845</w:t>
            </w:r>
            <w:r>
              <w:rPr>
                <w:rFonts w:hint="eastAsia"/>
                <w:vertAlign w:val="subscript"/>
              </w:rPr>
              <w:t>(0.127)</w:t>
            </w:r>
          </w:p>
        </w:tc>
        <w:tc>
          <w:tcPr>
            <w:tcW w:w="1299" w:type="dxa"/>
            <w:tcBorders>
              <w:top w:val="nil"/>
              <w:left w:val="nil"/>
              <w:bottom w:val="nil"/>
              <w:right w:val="nil"/>
            </w:tcBorders>
            <w:vAlign w:val="bottom"/>
          </w:tcPr>
          <w:p>
            <w:pPr>
              <w:spacing w:line="300" w:lineRule="auto"/>
              <w:ind w:firstLine="0" w:firstLineChars="0"/>
              <w:jc w:val="center"/>
            </w:pPr>
            <w:r>
              <w:rPr>
                <w:rFonts w:hint="eastAsia"/>
              </w:rPr>
              <w:t>0.795</w:t>
            </w:r>
            <w:r>
              <w:rPr>
                <w:rFonts w:hint="eastAsia"/>
                <w:vertAlign w:val="subscript"/>
              </w:rPr>
              <w:t>(0.101)</w:t>
            </w:r>
          </w:p>
        </w:tc>
        <w:tc>
          <w:tcPr>
            <w:tcW w:w="1235" w:type="dxa"/>
            <w:tcBorders>
              <w:top w:val="nil"/>
              <w:left w:val="nil"/>
              <w:bottom w:val="nil"/>
              <w:right w:val="nil"/>
            </w:tcBorders>
            <w:vAlign w:val="bottom"/>
          </w:tcPr>
          <w:p>
            <w:pPr>
              <w:spacing w:line="300" w:lineRule="auto"/>
              <w:ind w:firstLine="0" w:firstLineChars="0"/>
              <w:jc w:val="center"/>
            </w:pPr>
            <w:r>
              <w:rPr>
                <w:rFonts w:hint="eastAsia"/>
              </w:rPr>
              <w:t>0.701</w:t>
            </w:r>
            <w:r>
              <w:rPr>
                <w:rFonts w:hint="eastAsia"/>
                <w:vertAlign w:val="subscript"/>
              </w:rPr>
              <w:t>(0.031)</w:t>
            </w:r>
          </w:p>
        </w:tc>
        <w:tc>
          <w:tcPr>
            <w:tcW w:w="1292" w:type="dxa"/>
            <w:tcBorders>
              <w:top w:val="nil"/>
              <w:left w:val="nil"/>
              <w:bottom w:val="nil"/>
              <w:right w:val="nil"/>
            </w:tcBorders>
            <w:vAlign w:val="bottom"/>
          </w:tcPr>
          <w:p>
            <w:pPr>
              <w:spacing w:line="300" w:lineRule="auto"/>
              <w:ind w:firstLine="0" w:firstLineChars="0"/>
              <w:jc w:val="center"/>
            </w:pPr>
            <w:r>
              <w:rPr>
                <w:rFonts w:hint="eastAsia"/>
              </w:rPr>
              <w:t>0.645</w:t>
            </w:r>
            <w:r>
              <w:rPr>
                <w:rFonts w:hint="eastAsia"/>
                <w:vertAlign w:val="subscript"/>
              </w:rPr>
              <w:t>(0.003)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top w:val="nil"/>
              <w:left w:val="nil"/>
              <w:bottom w:val="nil"/>
              <w:right w:val="nil"/>
            </w:tcBorders>
            <w:vAlign w:val="bottom"/>
          </w:tcPr>
          <w:p>
            <w:pPr>
              <w:spacing w:line="300" w:lineRule="auto"/>
              <w:ind w:firstLine="0" w:firstLineChars="0"/>
              <w:jc w:val="center"/>
            </w:pPr>
            <w:r>
              <w:rPr>
                <w:rFonts w:hint="eastAsia"/>
              </w:rPr>
              <w:t>w/o TC</w:t>
            </w:r>
          </w:p>
        </w:tc>
        <w:tc>
          <w:tcPr>
            <w:tcW w:w="1254" w:type="dxa"/>
            <w:tcBorders>
              <w:top w:val="nil"/>
              <w:left w:val="nil"/>
              <w:bottom w:val="nil"/>
              <w:right w:val="nil"/>
            </w:tcBorders>
            <w:vAlign w:val="bottom"/>
          </w:tcPr>
          <w:p>
            <w:pPr>
              <w:spacing w:line="300" w:lineRule="auto"/>
              <w:ind w:firstLine="0" w:firstLineChars="0"/>
              <w:jc w:val="center"/>
            </w:pPr>
            <w:r>
              <w:rPr>
                <w:rFonts w:hint="eastAsia"/>
              </w:rPr>
              <w:t>0.855</w:t>
            </w:r>
            <w:r>
              <w:rPr>
                <w:rFonts w:hint="eastAsia"/>
                <w:vertAlign w:val="subscript"/>
              </w:rPr>
              <w:t>(0.044)</w:t>
            </w:r>
          </w:p>
        </w:tc>
        <w:tc>
          <w:tcPr>
            <w:tcW w:w="1242" w:type="dxa"/>
            <w:tcBorders>
              <w:top w:val="nil"/>
              <w:left w:val="nil"/>
              <w:bottom w:val="nil"/>
              <w:right w:val="nil"/>
            </w:tcBorders>
            <w:vAlign w:val="bottom"/>
          </w:tcPr>
          <w:p>
            <w:pPr>
              <w:spacing w:line="300" w:lineRule="auto"/>
              <w:ind w:firstLine="0" w:firstLineChars="0"/>
              <w:jc w:val="center"/>
            </w:pPr>
            <w:r>
              <w:rPr>
                <w:rFonts w:hint="eastAsia"/>
              </w:rPr>
              <w:t>0.915</w:t>
            </w:r>
            <w:r>
              <w:rPr>
                <w:rFonts w:hint="eastAsia"/>
                <w:vertAlign w:val="subscript"/>
              </w:rPr>
              <w:t>(0.185)</w:t>
            </w:r>
          </w:p>
        </w:tc>
        <w:tc>
          <w:tcPr>
            <w:tcW w:w="1285" w:type="dxa"/>
            <w:tcBorders>
              <w:top w:val="nil"/>
              <w:left w:val="nil"/>
              <w:bottom w:val="nil"/>
              <w:right w:val="nil"/>
            </w:tcBorders>
            <w:vAlign w:val="bottom"/>
          </w:tcPr>
          <w:p>
            <w:pPr>
              <w:spacing w:line="300" w:lineRule="auto"/>
              <w:ind w:firstLine="0" w:firstLineChars="0"/>
              <w:jc w:val="center"/>
            </w:pPr>
            <w:r>
              <w:rPr>
                <w:rFonts w:hint="eastAsia"/>
              </w:rPr>
              <w:t>0.885</w:t>
            </w:r>
            <w:r>
              <w:rPr>
                <w:rFonts w:hint="eastAsia"/>
                <w:vertAlign w:val="subscript"/>
              </w:rPr>
              <w:t>(0.013)</w:t>
            </w:r>
          </w:p>
        </w:tc>
        <w:tc>
          <w:tcPr>
            <w:tcW w:w="1299" w:type="dxa"/>
            <w:tcBorders>
              <w:top w:val="nil"/>
              <w:left w:val="nil"/>
              <w:bottom w:val="nil"/>
              <w:right w:val="nil"/>
            </w:tcBorders>
            <w:vAlign w:val="bottom"/>
          </w:tcPr>
          <w:p>
            <w:pPr>
              <w:spacing w:line="300" w:lineRule="auto"/>
              <w:ind w:firstLine="0" w:firstLineChars="0"/>
              <w:jc w:val="center"/>
            </w:pPr>
            <w:r>
              <w:rPr>
                <w:rFonts w:hint="eastAsia"/>
              </w:rPr>
              <w:t>0.822</w:t>
            </w:r>
            <w:r>
              <w:rPr>
                <w:rFonts w:hint="eastAsia"/>
                <w:vertAlign w:val="subscript"/>
              </w:rPr>
              <w:t>(0.027)</w:t>
            </w:r>
          </w:p>
        </w:tc>
        <w:tc>
          <w:tcPr>
            <w:tcW w:w="1235" w:type="dxa"/>
            <w:tcBorders>
              <w:top w:val="nil"/>
              <w:left w:val="nil"/>
              <w:bottom w:val="nil"/>
              <w:right w:val="nil"/>
            </w:tcBorders>
            <w:vAlign w:val="bottom"/>
          </w:tcPr>
          <w:p>
            <w:pPr>
              <w:spacing w:line="300" w:lineRule="auto"/>
              <w:ind w:firstLine="0" w:firstLineChars="0"/>
              <w:jc w:val="center"/>
            </w:pPr>
            <w:r>
              <w:rPr>
                <w:rFonts w:hint="eastAsia"/>
              </w:rPr>
              <w:t>0.706</w:t>
            </w:r>
            <w:r>
              <w:rPr>
                <w:rFonts w:hint="eastAsia"/>
                <w:vertAlign w:val="subscript"/>
              </w:rPr>
              <w:t>(0.005)</w:t>
            </w:r>
          </w:p>
        </w:tc>
        <w:tc>
          <w:tcPr>
            <w:tcW w:w="1292" w:type="dxa"/>
            <w:tcBorders>
              <w:top w:val="nil"/>
              <w:left w:val="nil"/>
              <w:bottom w:val="nil"/>
              <w:right w:val="nil"/>
            </w:tcBorders>
            <w:vAlign w:val="bottom"/>
          </w:tcPr>
          <w:p>
            <w:pPr>
              <w:spacing w:line="300" w:lineRule="auto"/>
              <w:ind w:firstLine="0" w:firstLineChars="0"/>
              <w:jc w:val="center"/>
            </w:pPr>
            <w:r>
              <w:rPr>
                <w:rFonts w:hint="eastAsia"/>
              </w:rPr>
              <w:t>0.655</w:t>
            </w:r>
            <w:r>
              <w:rPr>
                <w:rFonts w:hint="eastAsia"/>
                <w:vertAlign w:val="subscript"/>
              </w:rPr>
              <w:t>(0.017)</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top w:val="nil"/>
              <w:left w:val="nil"/>
              <w:bottom w:val="nil"/>
              <w:right w:val="nil"/>
            </w:tcBorders>
            <w:vAlign w:val="bottom"/>
          </w:tcPr>
          <w:p>
            <w:pPr>
              <w:spacing w:line="300" w:lineRule="auto"/>
              <w:ind w:firstLine="0" w:firstLineChars="0"/>
              <w:jc w:val="center"/>
            </w:pPr>
            <w:r>
              <w:rPr>
                <w:rFonts w:hint="eastAsia"/>
              </w:rPr>
              <w:t>w/o C</w:t>
            </w:r>
          </w:p>
        </w:tc>
        <w:tc>
          <w:tcPr>
            <w:tcW w:w="1254" w:type="dxa"/>
            <w:tcBorders>
              <w:top w:val="nil"/>
              <w:left w:val="nil"/>
              <w:bottom w:val="nil"/>
              <w:right w:val="nil"/>
            </w:tcBorders>
            <w:vAlign w:val="bottom"/>
          </w:tcPr>
          <w:p>
            <w:pPr>
              <w:spacing w:line="300" w:lineRule="auto"/>
              <w:ind w:firstLine="0" w:firstLineChars="0"/>
              <w:jc w:val="center"/>
            </w:pPr>
            <w:r>
              <w:rPr>
                <w:rFonts w:hint="eastAsia"/>
              </w:rPr>
              <w:t>0.862</w:t>
            </w:r>
            <w:r>
              <w:rPr>
                <w:rFonts w:hint="eastAsia"/>
                <w:vertAlign w:val="subscript"/>
              </w:rPr>
              <w:t>(0.009)</w:t>
            </w:r>
          </w:p>
        </w:tc>
        <w:tc>
          <w:tcPr>
            <w:tcW w:w="1242" w:type="dxa"/>
            <w:tcBorders>
              <w:top w:val="nil"/>
              <w:left w:val="nil"/>
              <w:bottom w:val="nil"/>
              <w:right w:val="nil"/>
            </w:tcBorders>
            <w:vAlign w:val="bottom"/>
          </w:tcPr>
          <w:p>
            <w:pPr>
              <w:spacing w:line="300" w:lineRule="auto"/>
              <w:ind w:firstLine="0" w:firstLineChars="0"/>
              <w:jc w:val="center"/>
            </w:pPr>
            <w:r>
              <w:rPr>
                <w:rFonts w:hint="eastAsia"/>
              </w:rPr>
              <w:t>0.922</w:t>
            </w:r>
            <w:r>
              <w:rPr>
                <w:rFonts w:hint="eastAsia"/>
                <w:vertAlign w:val="subscript"/>
              </w:rPr>
              <w:t>(0.016)</w:t>
            </w:r>
          </w:p>
        </w:tc>
        <w:tc>
          <w:tcPr>
            <w:tcW w:w="1285" w:type="dxa"/>
            <w:tcBorders>
              <w:top w:val="nil"/>
              <w:left w:val="nil"/>
              <w:bottom w:val="nil"/>
              <w:right w:val="nil"/>
            </w:tcBorders>
            <w:vAlign w:val="bottom"/>
          </w:tcPr>
          <w:p>
            <w:pPr>
              <w:spacing w:line="300" w:lineRule="auto"/>
              <w:ind w:firstLine="0" w:firstLineChars="0"/>
              <w:jc w:val="center"/>
            </w:pPr>
            <w:r>
              <w:rPr>
                <w:rFonts w:hint="eastAsia"/>
              </w:rPr>
              <w:t>0.915</w:t>
            </w:r>
            <w:r>
              <w:rPr>
                <w:rFonts w:hint="eastAsia"/>
                <w:vertAlign w:val="subscript"/>
              </w:rPr>
              <w:t>(0.028)</w:t>
            </w:r>
          </w:p>
        </w:tc>
        <w:tc>
          <w:tcPr>
            <w:tcW w:w="1299" w:type="dxa"/>
            <w:tcBorders>
              <w:top w:val="nil"/>
              <w:left w:val="nil"/>
              <w:bottom w:val="nil"/>
              <w:right w:val="nil"/>
            </w:tcBorders>
            <w:vAlign w:val="bottom"/>
          </w:tcPr>
          <w:p>
            <w:pPr>
              <w:spacing w:line="300" w:lineRule="auto"/>
              <w:ind w:firstLine="0" w:firstLineChars="0"/>
              <w:jc w:val="center"/>
            </w:pPr>
            <w:r>
              <w:rPr>
                <w:rFonts w:hint="eastAsia"/>
              </w:rPr>
              <w:t>0.835</w:t>
            </w:r>
            <w:r>
              <w:rPr>
                <w:rFonts w:hint="eastAsia"/>
                <w:vertAlign w:val="subscript"/>
              </w:rPr>
              <w:t>(0.005)</w:t>
            </w:r>
          </w:p>
        </w:tc>
        <w:tc>
          <w:tcPr>
            <w:tcW w:w="1235" w:type="dxa"/>
            <w:tcBorders>
              <w:top w:val="nil"/>
              <w:left w:val="nil"/>
              <w:bottom w:val="nil"/>
              <w:right w:val="nil"/>
            </w:tcBorders>
            <w:vAlign w:val="bottom"/>
          </w:tcPr>
          <w:p>
            <w:pPr>
              <w:spacing w:line="300" w:lineRule="auto"/>
              <w:ind w:firstLine="0" w:firstLineChars="0"/>
              <w:jc w:val="center"/>
            </w:pPr>
            <w:r>
              <w:rPr>
                <w:rFonts w:hint="eastAsia"/>
              </w:rPr>
              <w:t>0.709</w:t>
            </w:r>
            <w:r>
              <w:rPr>
                <w:rFonts w:hint="eastAsia"/>
                <w:vertAlign w:val="subscript"/>
              </w:rPr>
              <w:t>(0.114)</w:t>
            </w:r>
          </w:p>
        </w:tc>
        <w:tc>
          <w:tcPr>
            <w:tcW w:w="1292" w:type="dxa"/>
            <w:tcBorders>
              <w:top w:val="nil"/>
              <w:left w:val="nil"/>
              <w:bottom w:val="nil"/>
              <w:right w:val="nil"/>
            </w:tcBorders>
            <w:vAlign w:val="bottom"/>
          </w:tcPr>
          <w:p>
            <w:pPr>
              <w:spacing w:line="300" w:lineRule="auto"/>
              <w:ind w:firstLine="0" w:firstLineChars="0"/>
              <w:jc w:val="center"/>
            </w:pPr>
            <w:r>
              <w:rPr>
                <w:rFonts w:hint="eastAsia"/>
              </w:rPr>
              <w:t>0.661</w:t>
            </w:r>
            <w:r>
              <w:rPr>
                <w:rFonts w:hint="eastAsia"/>
                <w:vertAlign w:val="subscript"/>
              </w:rPr>
              <w:t>(0.012)</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top w:val="nil"/>
              <w:left w:val="nil"/>
              <w:bottom w:val="single" w:color="auto" w:sz="12" w:space="0"/>
              <w:right w:val="nil"/>
            </w:tcBorders>
            <w:vAlign w:val="bottom"/>
          </w:tcPr>
          <w:p>
            <w:pPr>
              <w:spacing w:line="300" w:lineRule="auto"/>
              <w:ind w:firstLine="0" w:firstLineChars="0"/>
              <w:jc w:val="center"/>
            </w:pPr>
            <w:r>
              <w:rPr>
                <w:rFonts w:hint="eastAsia"/>
              </w:rPr>
              <w:t>KGAMA</w:t>
            </w:r>
          </w:p>
        </w:tc>
        <w:tc>
          <w:tcPr>
            <w:tcW w:w="1254"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0.872</w:t>
            </w:r>
            <w:r>
              <w:rPr>
                <w:rFonts w:hint="eastAsia"/>
                <w:b/>
                <w:bCs/>
                <w:vertAlign w:val="subscript"/>
              </w:rPr>
              <w:t>(0.006)</w:t>
            </w:r>
          </w:p>
        </w:tc>
        <w:tc>
          <w:tcPr>
            <w:tcW w:w="1242"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0.930</w:t>
            </w:r>
            <w:r>
              <w:rPr>
                <w:rFonts w:hint="eastAsia"/>
                <w:b/>
                <w:bCs/>
                <w:vertAlign w:val="subscript"/>
              </w:rPr>
              <w:t>(0.002)</w:t>
            </w:r>
          </w:p>
        </w:tc>
        <w:tc>
          <w:tcPr>
            <w:tcW w:w="1285"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0.939</w:t>
            </w:r>
            <w:r>
              <w:rPr>
                <w:rFonts w:hint="eastAsia"/>
                <w:b/>
                <w:bCs/>
                <w:vertAlign w:val="subscript"/>
              </w:rPr>
              <w:t>(0.012)</w:t>
            </w:r>
          </w:p>
        </w:tc>
        <w:tc>
          <w:tcPr>
            <w:tcW w:w="1299"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0.841</w:t>
            </w:r>
            <w:r>
              <w:rPr>
                <w:rFonts w:hint="eastAsia"/>
                <w:b/>
                <w:bCs/>
                <w:vertAlign w:val="subscript"/>
              </w:rPr>
              <w:t>(0.005)</w:t>
            </w:r>
          </w:p>
        </w:tc>
        <w:tc>
          <w:tcPr>
            <w:tcW w:w="1235"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0.712</w:t>
            </w:r>
            <w:r>
              <w:rPr>
                <w:rFonts w:hint="eastAsia"/>
                <w:b/>
                <w:bCs/>
                <w:vertAlign w:val="subscript"/>
              </w:rPr>
              <w:t>(0.011)</w:t>
            </w:r>
          </w:p>
        </w:tc>
        <w:tc>
          <w:tcPr>
            <w:tcW w:w="1292"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0.669</w:t>
            </w:r>
            <w:r>
              <w:rPr>
                <w:rFonts w:hint="eastAsia"/>
                <w:b/>
                <w:bCs/>
                <w:vertAlign w:val="subscript"/>
              </w:rPr>
              <w:t>(0.004)</w:t>
            </w:r>
          </w:p>
        </w:tc>
      </w:tr>
    </w:tbl>
    <w:p>
      <w:pPr>
        <w:ind w:firstLine="0" w:firstLineChars="0"/>
      </w:pPr>
    </w:p>
    <w:p>
      <w:pPr>
        <w:ind w:firstLine="0" w:firstLineChars="0"/>
        <w:jc w:val="center"/>
      </w:pPr>
      <w:r>
        <w:drawing>
          <wp:inline distT="0" distB="0" distL="0" distR="0">
            <wp:extent cx="5247005" cy="2159000"/>
            <wp:effectExtent l="0" t="0" r="0" b="0"/>
            <wp:docPr id="20952416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41658" name="图片 7"/>
                    <pic:cNvPicPr>
                      <a:picLocks noChangeAspect="1"/>
                    </pic:cNvPicPr>
                  </pic:nvPicPr>
                  <pic:blipFill>
                    <a:blip r:embed="rId444"/>
                    <a:stretch>
                      <a:fillRect/>
                    </a:stretch>
                  </pic:blipFill>
                  <pic:spPr>
                    <a:xfrm>
                      <a:off x="0" y="0"/>
                      <a:ext cx="5272520" cy="2169547"/>
                    </a:xfrm>
                    <a:prstGeom prst="rect">
                      <a:avLst/>
                    </a:prstGeom>
                  </pic:spPr>
                </pic:pic>
              </a:graphicData>
            </a:graphic>
          </wp:inline>
        </w:drawing>
      </w:r>
    </w:p>
    <w:p>
      <w:pPr>
        <w:pStyle w:val="11"/>
      </w:pPr>
      <w:bookmarkStart w:id="128" w:name="_Ref224810710"/>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4</w:t>
      </w:r>
      <w:r>
        <w:fldChar w:fldCharType="end"/>
      </w:r>
      <w:bookmarkEnd w:id="128"/>
      <w:r>
        <w:rPr>
          <w:rFonts w:hint="eastAsia"/>
        </w:rPr>
        <w:t xml:space="preserve"> KGAMA在MoleculeNet基准组上分类任务消融实验结果</w:t>
      </w:r>
    </w:p>
    <w:p>
      <w:r>
        <w:rPr>
          <w:rFonts w:hint="eastAsia"/>
        </w:rPr>
        <w:t>五种变体模型在</w:t>
      </w:r>
      <w:r>
        <w:t>MoleculeNet六个分类数据集</w:t>
      </w:r>
      <w:r>
        <w:rPr>
          <w:rFonts w:hint="eastAsia"/>
        </w:rPr>
        <w:t>的消融实验结果如</w:t>
      </w:r>
      <w:r>
        <w:fldChar w:fldCharType="begin"/>
      </w:r>
      <w:r>
        <w:instrText xml:space="preserve"> </w:instrText>
      </w:r>
      <w:r>
        <w:rPr>
          <w:rFonts w:hint="eastAsia"/>
        </w:rPr>
        <w:instrText xml:space="preserve">REF _Ref225431955 \h</w:instrText>
      </w:r>
      <w:r>
        <w:instrText xml:space="preserve"> </w:instrText>
      </w:r>
      <w:r>
        <w:fldChar w:fldCharType="separate"/>
      </w:r>
      <w:r>
        <w:rPr>
          <w:rFonts w:hint="eastAsia"/>
        </w:rPr>
        <w:t>表4-</w:t>
      </w:r>
      <w:r>
        <w:t>7</w:t>
      </w:r>
      <w:r>
        <w:fldChar w:fldCharType="end"/>
      </w:r>
      <w:r>
        <w:rPr>
          <w:rFonts w:hint="eastAsia"/>
        </w:rPr>
        <w:t>、</w:t>
      </w:r>
      <w:r>
        <w:fldChar w:fldCharType="begin"/>
      </w:r>
      <w:r>
        <w:instrText xml:space="preserve"> </w:instrText>
      </w:r>
      <w:r>
        <w:rPr>
          <w:rFonts w:hint="eastAsia"/>
        </w:rPr>
        <w:instrText xml:space="preserve">REF _Ref224810710 \h</w:instrText>
      </w:r>
      <w:r>
        <w:instrText xml:space="preserve"> </w:instrText>
      </w:r>
      <w:r>
        <w:fldChar w:fldCharType="separate"/>
      </w:r>
      <w:r>
        <w:rPr>
          <w:rFonts w:hint="eastAsia"/>
        </w:rPr>
        <w:t>图4-</w:t>
      </w:r>
      <w:r>
        <w:t>4</w:t>
      </w:r>
      <w:r>
        <w:fldChar w:fldCharType="end"/>
      </w:r>
      <w:r>
        <w:rPr>
          <w:rFonts w:hint="eastAsia"/>
        </w:rPr>
        <w:t>所示。从整体来看，KGAMA模型在六个数据集上均取得了最优的成绩，这一结果表明了本文提出的各个模块均能够对模型的性能产生积极的作用，且多模态数据的多视角互补使得模型可以在预测任务中取得较好的成绩。进一步来看，随着各个单模块的加入，性能逐步的递增，但是各个模块的贡献程度也存在差异。其中，w/o STC变体由于加入了分子指纹，相比于</w:t>
      </w:r>
      <w:r>
        <w:t>w/o ALL变体</w:t>
      </w:r>
      <w:r>
        <w:rPr>
          <w:rFonts w:hint="eastAsia"/>
        </w:rPr>
        <w:t>，性能得到了显著的提升。其中在ClinTox任务上AUROC从0.805大幅提升至0.845。w/o C是各消融变体模型中最接近完整模型的配置，但在六个数据集上仍全部落后于KGAMA，例如在ClinTox上KGAMA从0.915提升到0.939，在BBBP上KGAMA从0.922提升到0.930，在SIDER上KGAMA从0.661提升到0.669。这进一步说明，虽然某些模块单独移除后性能下降相对有限，但其与其他模块联合时仍能带来稳定增益。</w:t>
      </w:r>
    </w:p>
    <w:p>
      <w:pPr>
        <w:pStyle w:val="11"/>
      </w:pPr>
      <w:bookmarkStart w:id="129" w:name="_Ref225431978"/>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8</w:t>
      </w:r>
      <w:r>
        <w:fldChar w:fldCharType="end"/>
      </w:r>
      <w:bookmarkEnd w:id="129"/>
      <w:r>
        <w:rPr>
          <w:rFonts w:hint="eastAsia"/>
        </w:rPr>
        <w:t xml:space="preserve"> KGAMA在MoleculeNet基准组上回归任务消融实验结果</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2442"/>
        <w:gridCol w:w="2442"/>
        <w:gridCol w:w="24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single" w:color="auto" w:sz="12" w:space="0"/>
              <w:left w:val="nil"/>
              <w:bottom w:val="nil"/>
              <w:right w:val="nil"/>
            </w:tcBorders>
            <w:vAlign w:val="bottom"/>
          </w:tcPr>
          <w:p>
            <w:pPr>
              <w:spacing w:line="300" w:lineRule="auto"/>
              <w:ind w:firstLine="0" w:firstLineChars="0"/>
              <w:jc w:val="center"/>
            </w:pPr>
            <w:r>
              <w:rPr>
                <w:rFonts w:hint="eastAsia"/>
              </w:rPr>
              <w:t>Datasets</w:t>
            </w:r>
          </w:p>
        </w:tc>
        <w:tc>
          <w:tcPr>
            <w:tcW w:w="1276" w:type="pct"/>
            <w:tcBorders>
              <w:top w:val="single" w:color="auto" w:sz="12" w:space="0"/>
              <w:left w:val="nil"/>
              <w:bottom w:val="nil"/>
              <w:right w:val="nil"/>
            </w:tcBorders>
          </w:tcPr>
          <w:p>
            <w:pPr>
              <w:spacing w:line="300" w:lineRule="auto"/>
              <w:ind w:firstLine="0" w:firstLineChars="0"/>
              <w:jc w:val="center"/>
            </w:pPr>
            <w:r>
              <w:rPr>
                <w:rFonts w:hint="eastAsia"/>
              </w:rPr>
              <w:t>ESOL</w:t>
            </w:r>
          </w:p>
        </w:tc>
        <w:tc>
          <w:tcPr>
            <w:tcW w:w="1276" w:type="pct"/>
            <w:tcBorders>
              <w:top w:val="single" w:color="auto" w:sz="12" w:space="0"/>
              <w:left w:val="nil"/>
              <w:bottom w:val="nil"/>
              <w:right w:val="nil"/>
            </w:tcBorders>
          </w:tcPr>
          <w:p>
            <w:pPr>
              <w:spacing w:line="300" w:lineRule="auto"/>
              <w:ind w:firstLine="0" w:firstLineChars="0"/>
              <w:jc w:val="center"/>
            </w:pPr>
            <w:r>
              <w:t>FreeSolv</w:t>
            </w:r>
          </w:p>
        </w:tc>
        <w:tc>
          <w:tcPr>
            <w:tcW w:w="1276" w:type="pct"/>
            <w:tcBorders>
              <w:top w:val="single" w:color="auto" w:sz="12" w:space="0"/>
              <w:left w:val="nil"/>
              <w:bottom w:val="nil"/>
              <w:right w:val="nil"/>
            </w:tcBorders>
          </w:tcPr>
          <w:p>
            <w:pPr>
              <w:spacing w:line="300" w:lineRule="auto"/>
              <w:ind w:firstLine="0" w:firstLineChars="0"/>
              <w:jc w:val="center"/>
            </w:pPr>
            <w:r>
              <w:rPr>
                <w:rFonts w:hint="eastAsia"/>
              </w:rPr>
              <w:t>Lipo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single" w:color="auto" w:sz="8" w:space="0"/>
              <w:left w:val="nil"/>
              <w:bottom w:val="nil"/>
              <w:right w:val="nil"/>
            </w:tcBorders>
            <w:vAlign w:val="bottom"/>
          </w:tcPr>
          <w:p>
            <w:pPr>
              <w:spacing w:line="300" w:lineRule="auto"/>
              <w:ind w:firstLine="0" w:firstLineChars="0"/>
              <w:jc w:val="center"/>
            </w:pPr>
            <w:r>
              <w:rPr>
                <w:rFonts w:hint="eastAsia"/>
              </w:rPr>
              <w:t>w/o ALL</w:t>
            </w:r>
          </w:p>
        </w:tc>
        <w:tc>
          <w:tcPr>
            <w:tcW w:w="1276" w:type="pct"/>
            <w:tcBorders>
              <w:top w:val="single" w:color="auto" w:sz="8" w:space="0"/>
              <w:left w:val="nil"/>
              <w:bottom w:val="nil"/>
              <w:right w:val="nil"/>
            </w:tcBorders>
          </w:tcPr>
          <w:p>
            <w:pPr>
              <w:spacing w:line="300" w:lineRule="auto"/>
              <w:ind w:firstLine="0" w:firstLineChars="0"/>
              <w:jc w:val="center"/>
            </w:pPr>
            <w:r>
              <w:t>1.521</w:t>
            </w:r>
            <w:r>
              <w:rPr>
                <w:vertAlign w:val="subscript"/>
              </w:rPr>
              <w:t>(0.220)</w:t>
            </w:r>
          </w:p>
        </w:tc>
        <w:tc>
          <w:tcPr>
            <w:tcW w:w="1276" w:type="pct"/>
            <w:tcBorders>
              <w:top w:val="single" w:color="auto" w:sz="8" w:space="0"/>
              <w:left w:val="nil"/>
              <w:bottom w:val="nil"/>
              <w:right w:val="nil"/>
            </w:tcBorders>
            <w:vAlign w:val="center"/>
          </w:tcPr>
          <w:p>
            <w:pPr>
              <w:spacing w:line="300" w:lineRule="auto"/>
              <w:ind w:firstLine="0" w:firstLineChars="0"/>
              <w:jc w:val="center"/>
            </w:pPr>
            <w:r>
              <w:rPr>
                <w:rFonts w:hint="eastAsia"/>
              </w:rPr>
              <w:t>2.102</w:t>
            </w:r>
            <w:r>
              <w:rPr>
                <w:rFonts w:hint="eastAsia"/>
                <w:vertAlign w:val="subscript"/>
              </w:rPr>
              <w:t>(0.060)</w:t>
            </w:r>
          </w:p>
        </w:tc>
        <w:tc>
          <w:tcPr>
            <w:tcW w:w="1276" w:type="pct"/>
            <w:tcBorders>
              <w:top w:val="single" w:color="auto" w:sz="8" w:space="0"/>
              <w:left w:val="nil"/>
              <w:bottom w:val="nil"/>
              <w:right w:val="nil"/>
            </w:tcBorders>
            <w:vAlign w:val="center"/>
          </w:tcPr>
          <w:p>
            <w:pPr>
              <w:spacing w:line="300" w:lineRule="auto"/>
              <w:ind w:firstLine="0" w:firstLineChars="0"/>
              <w:jc w:val="center"/>
            </w:pPr>
            <w:r>
              <w:rPr>
                <w:rFonts w:hint="eastAsia"/>
              </w:rPr>
              <w:t>1.244</w:t>
            </w:r>
            <w:r>
              <w:rPr>
                <w:rFonts w:hint="eastAsia"/>
                <w:vertAlign w:val="subscript"/>
              </w:rPr>
              <w:t>(0.030)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nil"/>
              <w:left w:val="nil"/>
              <w:bottom w:val="nil"/>
              <w:right w:val="nil"/>
            </w:tcBorders>
            <w:vAlign w:val="bottom"/>
          </w:tcPr>
          <w:p>
            <w:pPr>
              <w:spacing w:line="300" w:lineRule="auto"/>
              <w:ind w:firstLine="0" w:firstLineChars="0"/>
              <w:jc w:val="center"/>
            </w:pPr>
            <w:r>
              <w:rPr>
                <w:rFonts w:hint="eastAsia"/>
              </w:rPr>
              <w:t>w/o STC</w:t>
            </w:r>
          </w:p>
        </w:tc>
        <w:tc>
          <w:tcPr>
            <w:tcW w:w="1276" w:type="pct"/>
            <w:tcBorders>
              <w:top w:val="nil"/>
              <w:left w:val="nil"/>
              <w:bottom w:val="nil"/>
              <w:right w:val="nil"/>
            </w:tcBorders>
          </w:tcPr>
          <w:p>
            <w:pPr>
              <w:spacing w:line="300" w:lineRule="auto"/>
              <w:ind w:firstLine="0" w:firstLineChars="0"/>
              <w:jc w:val="center"/>
            </w:pPr>
            <w:r>
              <w:t>1.476</w:t>
            </w:r>
            <w:r>
              <w:rPr>
                <w:vertAlign w:val="subscript"/>
              </w:rPr>
              <w:t>(0.154)</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1.855</w:t>
            </w:r>
            <w:r>
              <w:rPr>
                <w:rFonts w:hint="eastAsia"/>
                <w:vertAlign w:val="subscript"/>
              </w:rPr>
              <w:t>(0.032)</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0.966</w:t>
            </w:r>
            <w:r>
              <w:rPr>
                <w:rFonts w:hint="eastAsia"/>
                <w:vertAlign w:val="subscript"/>
              </w:rPr>
              <w:t>(0.021)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nil"/>
              <w:left w:val="nil"/>
              <w:bottom w:val="nil"/>
              <w:right w:val="nil"/>
            </w:tcBorders>
            <w:vAlign w:val="bottom"/>
          </w:tcPr>
          <w:p>
            <w:pPr>
              <w:spacing w:line="300" w:lineRule="auto"/>
              <w:ind w:firstLine="0" w:firstLineChars="0"/>
              <w:jc w:val="center"/>
            </w:pPr>
            <w:r>
              <w:rPr>
                <w:rFonts w:hint="eastAsia"/>
              </w:rPr>
              <w:t>w/o TC</w:t>
            </w:r>
          </w:p>
        </w:tc>
        <w:tc>
          <w:tcPr>
            <w:tcW w:w="1276" w:type="pct"/>
            <w:tcBorders>
              <w:top w:val="nil"/>
              <w:left w:val="nil"/>
              <w:bottom w:val="nil"/>
              <w:right w:val="nil"/>
            </w:tcBorders>
          </w:tcPr>
          <w:p>
            <w:pPr>
              <w:spacing w:line="300" w:lineRule="auto"/>
              <w:ind w:firstLine="0" w:firstLineChars="0"/>
              <w:jc w:val="center"/>
            </w:pPr>
            <w:r>
              <w:t>1.226</w:t>
            </w:r>
            <w:r>
              <w:rPr>
                <w:vertAlign w:val="subscript"/>
              </w:rPr>
              <w:t>(0.127)</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1.805</w:t>
            </w:r>
            <w:r>
              <w:rPr>
                <w:rFonts w:hint="eastAsia"/>
                <w:vertAlign w:val="subscript"/>
              </w:rPr>
              <w:t>(0.087)</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0.853</w:t>
            </w:r>
            <w:r>
              <w:rPr>
                <w:rFonts w:hint="eastAsia"/>
                <w:vertAlign w:val="subscript"/>
              </w:rPr>
              <w:t>(0.022)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nil"/>
              <w:left w:val="nil"/>
              <w:bottom w:val="nil"/>
              <w:right w:val="nil"/>
            </w:tcBorders>
            <w:vAlign w:val="bottom"/>
          </w:tcPr>
          <w:p>
            <w:pPr>
              <w:spacing w:line="300" w:lineRule="auto"/>
              <w:ind w:firstLine="0" w:firstLineChars="0"/>
              <w:jc w:val="center"/>
            </w:pPr>
            <w:r>
              <w:rPr>
                <w:rFonts w:hint="eastAsia"/>
              </w:rPr>
              <w:t>w/o C</w:t>
            </w:r>
          </w:p>
        </w:tc>
        <w:tc>
          <w:tcPr>
            <w:tcW w:w="1276" w:type="pct"/>
            <w:tcBorders>
              <w:top w:val="nil"/>
              <w:left w:val="nil"/>
              <w:bottom w:val="nil"/>
              <w:right w:val="nil"/>
            </w:tcBorders>
          </w:tcPr>
          <w:p>
            <w:pPr>
              <w:spacing w:line="300" w:lineRule="auto"/>
              <w:ind w:firstLine="0" w:firstLineChars="0"/>
              <w:jc w:val="center"/>
            </w:pPr>
            <w:r>
              <w:t>1.001</w:t>
            </w:r>
            <w:r>
              <w:rPr>
                <w:vertAlign w:val="subscript"/>
              </w:rPr>
              <w:t>(0.063)</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1.725</w:t>
            </w:r>
            <w:r>
              <w:rPr>
                <w:rFonts w:hint="eastAsia"/>
                <w:vertAlign w:val="subscript"/>
              </w:rPr>
              <w:t>(0.033)</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0.789</w:t>
            </w:r>
            <w:r>
              <w:rPr>
                <w:rFonts w:hint="eastAsia"/>
                <w:vertAlign w:val="subscript"/>
              </w:rPr>
              <w:t>(0.002)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nil"/>
              <w:left w:val="nil"/>
              <w:bottom w:val="single" w:color="auto" w:sz="12" w:space="0"/>
              <w:right w:val="nil"/>
            </w:tcBorders>
            <w:vAlign w:val="bottom"/>
          </w:tcPr>
          <w:p>
            <w:pPr>
              <w:spacing w:line="300" w:lineRule="auto"/>
              <w:ind w:firstLine="0" w:firstLineChars="0"/>
              <w:jc w:val="center"/>
            </w:pPr>
            <w:r>
              <w:rPr>
                <w:rFonts w:hint="eastAsia"/>
              </w:rPr>
              <w:t>KGAMA</w:t>
            </w:r>
          </w:p>
        </w:tc>
        <w:tc>
          <w:tcPr>
            <w:tcW w:w="1276" w:type="pct"/>
            <w:tcBorders>
              <w:top w:val="nil"/>
              <w:left w:val="nil"/>
              <w:bottom w:val="single" w:color="auto" w:sz="12" w:space="0"/>
              <w:right w:val="nil"/>
            </w:tcBorders>
          </w:tcPr>
          <w:p>
            <w:pPr>
              <w:spacing w:line="300" w:lineRule="auto"/>
              <w:ind w:firstLine="0" w:firstLineChars="0"/>
              <w:jc w:val="center"/>
              <w:rPr>
                <w:b/>
                <w:bCs/>
              </w:rPr>
            </w:pPr>
            <w:r>
              <w:rPr>
                <w:b/>
                <w:bCs/>
              </w:rPr>
              <w:t>0.831</w:t>
            </w:r>
            <w:r>
              <w:rPr>
                <w:b/>
                <w:bCs/>
                <w:vertAlign w:val="subscript"/>
              </w:rPr>
              <w:t>(0.</w:t>
            </w:r>
            <w:r>
              <w:rPr>
                <w:rFonts w:hint="eastAsia"/>
                <w:b/>
                <w:bCs/>
                <w:vertAlign w:val="subscript"/>
              </w:rPr>
              <w:t>0</w:t>
            </w:r>
            <w:r>
              <w:rPr>
                <w:b/>
                <w:bCs/>
                <w:vertAlign w:val="subscript"/>
              </w:rPr>
              <w:t>2</w:t>
            </w:r>
            <w:r>
              <w:rPr>
                <w:rFonts w:hint="eastAsia"/>
                <w:b/>
                <w:bCs/>
                <w:vertAlign w:val="subscript"/>
              </w:rPr>
              <w:t>4</w:t>
            </w:r>
            <w:r>
              <w:rPr>
                <w:b/>
                <w:bCs/>
                <w:vertAlign w:val="subscript"/>
              </w:rPr>
              <w:t>)</w:t>
            </w:r>
          </w:p>
        </w:tc>
        <w:tc>
          <w:tcPr>
            <w:tcW w:w="1276" w:type="pct"/>
            <w:tcBorders>
              <w:top w:val="nil"/>
              <w:left w:val="nil"/>
              <w:bottom w:val="single" w:color="auto" w:sz="12" w:space="0"/>
              <w:right w:val="nil"/>
            </w:tcBorders>
            <w:vAlign w:val="center"/>
          </w:tcPr>
          <w:p>
            <w:pPr>
              <w:spacing w:line="300" w:lineRule="auto"/>
              <w:ind w:firstLine="0" w:firstLineChars="0"/>
              <w:jc w:val="center"/>
              <w:rPr>
                <w:b/>
                <w:bCs/>
              </w:rPr>
            </w:pPr>
            <w:r>
              <w:rPr>
                <w:rFonts w:hint="eastAsia"/>
                <w:b/>
                <w:bCs/>
              </w:rPr>
              <w:t>1.512</w:t>
            </w:r>
            <w:r>
              <w:rPr>
                <w:rFonts w:hint="eastAsia"/>
                <w:b/>
                <w:bCs/>
                <w:vertAlign w:val="subscript"/>
              </w:rPr>
              <w:t>(0.233)</w:t>
            </w:r>
          </w:p>
        </w:tc>
        <w:tc>
          <w:tcPr>
            <w:tcW w:w="1276" w:type="pct"/>
            <w:tcBorders>
              <w:top w:val="nil"/>
              <w:left w:val="nil"/>
              <w:bottom w:val="single" w:color="auto" w:sz="12" w:space="0"/>
              <w:right w:val="nil"/>
            </w:tcBorders>
            <w:vAlign w:val="center"/>
          </w:tcPr>
          <w:p>
            <w:pPr>
              <w:spacing w:line="300" w:lineRule="auto"/>
              <w:ind w:firstLine="0" w:firstLineChars="0"/>
              <w:jc w:val="center"/>
              <w:rPr>
                <w:b/>
                <w:bCs/>
              </w:rPr>
            </w:pPr>
            <w:r>
              <w:rPr>
                <w:rFonts w:hint="eastAsia"/>
                <w:b/>
                <w:bCs/>
              </w:rPr>
              <w:t>0.655</w:t>
            </w:r>
            <w:r>
              <w:rPr>
                <w:rFonts w:hint="eastAsia"/>
                <w:b/>
                <w:bCs/>
                <w:vertAlign w:val="subscript"/>
              </w:rPr>
              <w:t>(0.006)</w:t>
            </w:r>
          </w:p>
        </w:tc>
      </w:tr>
    </w:tbl>
    <w:p>
      <w:pPr>
        <w:ind w:firstLine="0" w:firstLineChars="0"/>
      </w:pPr>
    </w:p>
    <w:p>
      <w:pPr>
        <w:ind w:firstLine="0" w:firstLineChars="0"/>
        <w:jc w:val="center"/>
      </w:pPr>
      <w:r>
        <w:drawing>
          <wp:inline distT="0" distB="0" distL="0" distR="0">
            <wp:extent cx="3837305" cy="2378710"/>
            <wp:effectExtent l="0" t="0" r="0" b="2540"/>
            <wp:docPr id="8310364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6486" name="图片 8"/>
                    <pic:cNvPicPr>
                      <a:picLocks noChangeAspect="1"/>
                    </pic:cNvPicPr>
                  </pic:nvPicPr>
                  <pic:blipFill>
                    <a:blip r:embed="rId445"/>
                    <a:stretch>
                      <a:fillRect/>
                    </a:stretch>
                  </pic:blipFill>
                  <pic:spPr>
                    <a:xfrm>
                      <a:off x="0" y="0"/>
                      <a:ext cx="3854827" cy="2389383"/>
                    </a:xfrm>
                    <a:prstGeom prst="rect">
                      <a:avLst/>
                    </a:prstGeom>
                  </pic:spPr>
                </pic:pic>
              </a:graphicData>
            </a:graphic>
          </wp:inline>
        </w:drawing>
      </w:r>
    </w:p>
    <w:p>
      <w:pPr>
        <w:pStyle w:val="11"/>
      </w:pPr>
      <w:bookmarkStart w:id="130" w:name="_Ref224824044"/>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5</w:t>
      </w:r>
      <w:r>
        <w:fldChar w:fldCharType="end"/>
      </w:r>
      <w:bookmarkEnd w:id="130"/>
      <w:r>
        <w:rPr>
          <w:rFonts w:hint="eastAsia"/>
        </w:rPr>
        <w:t xml:space="preserve"> KGAMA在MoleculeNet基准组上回归任务消融实验结果</w:t>
      </w:r>
    </w:p>
    <w:p>
      <w:r>
        <w:rPr>
          <w:rFonts w:hint="eastAsia"/>
        </w:rPr>
        <w:t>为了验证在回归数据集上KGAMA的有效性，本文也在MoleculeNet基准组上的ESOL、FreeSolv和Lipophilicity三个数据集上进行了消融实验。实验结果如</w:t>
      </w:r>
      <w:r>
        <w:fldChar w:fldCharType="begin"/>
      </w:r>
      <w:r>
        <w:instrText xml:space="preserve"> </w:instrText>
      </w:r>
      <w:r>
        <w:rPr>
          <w:rFonts w:hint="eastAsia"/>
        </w:rPr>
        <w:instrText xml:space="preserve">REF _Ref225431978 \h</w:instrText>
      </w:r>
      <w:r>
        <w:instrText xml:space="preserve"> </w:instrText>
      </w:r>
      <w:r>
        <w:fldChar w:fldCharType="separate"/>
      </w:r>
      <w:r>
        <w:rPr>
          <w:rFonts w:hint="eastAsia"/>
        </w:rPr>
        <w:t>表4-</w:t>
      </w:r>
      <w:r>
        <w:t>8</w:t>
      </w:r>
      <w:r>
        <w:fldChar w:fldCharType="end"/>
      </w:r>
      <w:r>
        <w:rPr>
          <w:rFonts w:hint="eastAsia"/>
        </w:rPr>
        <w:t>和</w:t>
      </w:r>
      <w:r>
        <w:fldChar w:fldCharType="begin"/>
      </w:r>
      <w:r>
        <w:instrText xml:space="preserve"> </w:instrText>
      </w:r>
      <w:r>
        <w:rPr>
          <w:rFonts w:hint="eastAsia"/>
        </w:rPr>
        <w:instrText xml:space="preserve">REF _Ref224824044 \h</w:instrText>
      </w:r>
      <w:r>
        <w:instrText xml:space="preserve"> </w:instrText>
      </w:r>
      <w:r>
        <w:fldChar w:fldCharType="separate"/>
      </w:r>
      <w:r>
        <w:rPr>
          <w:rFonts w:hint="eastAsia"/>
        </w:rPr>
        <w:t>图4-</w:t>
      </w:r>
      <w:r>
        <w:t>5</w:t>
      </w:r>
      <w:r>
        <w:fldChar w:fldCharType="end"/>
      </w:r>
      <w:r>
        <w:rPr>
          <w:rFonts w:hint="eastAsia"/>
        </w:rPr>
        <w:t>所示。从整体来看，KGAMA在三个数据集上均取得了最低的RMSE，分别为0.831、1.512和0.656，优于所有的消融变体模型。随着模块的逐步加入，模型的性能也是逐步的提高，当全部模块被移除的时候，性能最差，如在ESOL数据集上w/o ALL的RMSE是1.521，相比完整模型的0.831高出0.690。w/o STC相较于完整模型仍存在较明显差距，在ESOL、FreeSolv和Lipo三个数据集上的RMSE分别为1.476、1.855和0.966。这说明移除该模块后，模型对分子性质的连续值建模能力受到明显影响。相比之下，w/o TC的结果有所改善，RMSE分别下降到1.226、1.805和0.853，表明该部分模块的引入在特征表征与信息交互中发挥了重要作用。</w:t>
      </w:r>
    </w:p>
    <w:p>
      <w:r>
        <w:rPr>
          <w:rFonts w:hint="eastAsia"/>
        </w:rPr>
        <w:t>对比引入完整四模态输入但采用静态拼接的w/o C与本文提出的完整模型KGAMA，可以观察到交叉注意力机制的决定性作用。在FreeSolv任务上，KGAMA的RMSE从1.725进一步降低至1.512。上述差距说明简单的特征拼接方法本质上默认分子的各模态数据对所有任务具有同等重要性，无法有效处理多模态间的语义冲突与信息冗余。相比之下，交叉注意力机制能够根据具体预测任务的性质动态调配模态贡献权重。以ClinTox任务为例，该任务对专家文本知识高度依赖，完整模型能够自适应地识别这一特性并给予文本模态更大的权重，从而提取隐含在文本信息中的毒理学因果关联，实现多模态信息的深度协同而非简单叠加。</w:t>
      </w:r>
    </w:p>
    <w:p>
      <w:r>
        <w:rPr>
          <w:rFonts w:hint="eastAsia"/>
        </w:rPr>
        <w:t>进一步地，本文绘制了九个数据集的预测值和实验值之间的相关性散点图，如</w:t>
      </w:r>
      <w:r>
        <w:fldChar w:fldCharType="begin"/>
      </w:r>
      <w:r>
        <w:instrText xml:space="preserve"> </w:instrText>
      </w:r>
      <w:r>
        <w:rPr>
          <w:rFonts w:hint="eastAsia"/>
        </w:rPr>
        <w:instrText xml:space="preserve">REF _Ref224667680 \h</w:instrText>
      </w:r>
      <w:r>
        <w:instrText xml:space="preserve"> </w:instrText>
      </w:r>
      <w:r>
        <w:fldChar w:fldCharType="separate"/>
      </w:r>
      <w:r>
        <w:rPr>
          <w:rFonts w:hint="eastAsia"/>
        </w:rPr>
        <w:t>图4-</w:t>
      </w:r>
      <w:r>
        <w:t>6</w:t>
      </w:r>
      <w:r>
        <w:fldChar w:fldCharType="end"/>
      </w:r>
      <w:r>
        <w:rPr>
          <w:rFonts w:hint="eastAsia"/>
        </w:rPr>
        <w:t>所示，可以清楚地看到KGAMA的回归曲线结果比其变体更加接近标准灰色基线，进一步证明了我们架构中各个模块的重要性。</w:t>
      </w:r>
    </w:p>
    <w:p/>
    <w:p>
      <w:pPr>
        <w:ind w:firstLine="0" w:firstLineChars="0"/>
        <w:jc w:val="center"/>
      </w:pPr>
      <w:r>
        <w:rPr>
          <w:rFonts w:hint="eastAsia"/>
        </w:rPr>
        <w:drawing>
          <wp:inline distT="0" distB="0" distL="0" distR="0">
            <wp:extent cx="5546725" cy="5559425"/>
            <wp:effectExtent l="0" t="0" r="0" b="3175"/>
            <wp:docPr id="2038634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4281" name="图片 2"/>
                    <pic:cNvPicPr>
                      <a:picLocks noChangeAspect="1"/>
                    </pic:cNvPicPr>
                  </pic:nvPicPr>
                  <pic:blipFill>
                    <a:blip r:embed="rId446"/>
                    <a:stretch>
                      <a:fillRect/>
                    </a:stretch>
                  </pic:blipFill>
                  <pic:spPr>
                    <a:xfrm>
                      <a:off x="0" y="0"/>
                      <a:ext cx="5566586" cy="5579678"/>
                    </a:xfrm>
                    <a:prstGeom prst="rect">
                      <a:avLst/>
                    </a:prstGeom>
                  </pic:spPr>
                </pic:pic>
              </a:graphicData>
            </a:graphic>
          </wp:inline>
        </w:drawing>
      </w:r>
    </w:p>
    <w:p>
      <w:pPr>
        <w:pStyle w:val="11"/>
      </w:pPr>
      <w:bookmarkStart w:id="131" w:name="_Ref224667680"/>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6</w:t>
      </w:r>
      <w:r>
        <w:fldChar w:fldCharType="end"/>
      </w:r>
      <w:bookmarkEnd w:id="131"/>
      <w:r>
        <w:rPr>
          <w:rFonts w:hint="eastAsia"/>
        </w:rPr>
        <w:t xml:space="preserve"> KGAMA及其变体散点结果</w:t>
      </w:r>
    </w:p>
    <w:p>
      <w:pPr>
        <w:pStyle w:val="4"/>
        <w:rPr>
          <w:rFonts w:hint="default"/>
        </w:rPr>
      </w:pPr>
      <w:bookmarkStart w:id="132" w:name="_Toc229423372"/>
      <w:r>
        <w:t>可视化分析</w:t>
      </w:r>
      <w:bookmarkEnd w:id="132"/>
    </w:p>
    <w:p>
      <w:r>
        <w:rPr>
          <w:rFonts w:hint="eastAsia"/>
        </w:rPr>
        <w:t>为了进一步解释不同模态对特定分子性质预测任务的贡献，本文分析了KGAMA模型学习的注意力权重矩阵，如</w:t>
      </w:r>
      <w:r>
        <w:fldChar w:fldCharType="begin"/>
      </w:r>
      <w:r>
        <w:instrText xml:space="preserve"> </w:instrText>
      </w:r>
      <w:r>
        <w:rPr>
          <w:rFonts w:hint="eastAsia"/>
        </w:rPr>
        <w:instrText xml:space="preserve">REF _Ref226491221 \h</w:instrText>
      </w:r>
      <w:r>
        <w:instrText xml:space="preserve"> </w:instrText>
      </w:r>
      <w:r>
        <w:fldChar w:fldCharType="separate"/>
      </w:r>
      <w:r>
        <w:rPr>
          <w:rFonts w:hint="eastAsia"/>
        </w:rPr>
        <w:t>图4-</w:t>
      </w:r>
      <w:r>
        <w:t>7</w:t>
      </w:r>
      <w:r>
        <w:fldChar w:fldCharType="end"/>
      </w:r>
      <w:r>
        <w:rPr>
          <w:rFonts w:hint="eastAsia"/>
        </w:rPr>
        <w:t>所示。图中横轴代表不同的分子性质预测任务，纵轴代表四种输入模态，颜色的深浅直观反映了该模态在特定任务中的重要性贡献度，即权重值越大，颜色越深。根据权重图可以看出，在物理性质任务中结构模态起主导作用。具体地说，在预测分子的物理化学性质时，模型表现出对拓扑结构的高度依赖。在FreeSolv和ESOL任务中，Graph模态的权重分别高达0.40和0.39，显著高于其他模态。这与化学直觉高度一致。分子的溶解能力和能量状态主要由其分子骨架的拓扑连接及原子间的空间排布决定。本文所使用的Graphormer图神经网络提取的显式结构特征在此类任务中提供了核心的判别依据，起到了语义锚点的作用。值得注意的是，在Lipo任务中，Fingerprint获得了最高的权重0.38，甚至超过了Graph。这是因为亲脂性与分子中特定的疏水和亲水官能团数量呈强线性相关，而基于统计计数的分子指纹恰好擅长捕获此类特征。</w:t>
      </w:r>
    </w:p>
    <w:p/>
    <w:p>
      <w:pPr>
        <w:keepNext/>
        <w:ind w:firstLine="0" w:firstLineChars="0"/>
        <w:jc w:val="center"/>
      </w:pPr>
      <w:r>
        <w:drawing>
          <wp:inline distT="0" distB="0" distL="114300" distR="114300">
            <wp:extent cx="4684395" cy="2102485"/>
            <wp:effectExtent l="0" t="0" r="1905" b="0"/>
            <wp:docPr id="1872770607" name="图片 187277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70607" name="图片 1872770607"/>
                    <pic:cNvPicPr>
                      <a:picLocks noChangeAspect="1"/>
                    </pic:cNvPicPr>
                  </pic:nvPicPr>
                  <pic:blipFill>
                    <a:blip r:embed="rId447"/>
                    <a:stretch>
                      <a:fillRect/>
                    </a:stretch>
                  </pic:blipFill>
                  <pic:spPr>
                    <a:xfrm>
                      <a:off x="0" y="0"/>
                      <a:ext cx="4684495" cy="2102834"/>
                    </a:xfrm>
                    <a:prstGeom prst="rect">
                      <a:avLst/>
                    </a:prstGeom>
                  </pic:spPr>
                </pic:pic>
              </a:graphicData>
            </a:graphic>
          </wp:inline>
        </w:drawing>
      </w:r>
    </w:p>
    <w:p>
      <w:pPr>
        <w:pStyle w:val="11"/>
      </w:pPr>
      <w:bookmarkStart w:id="133" w:name="_Ref226491221"/>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7</w:t>
      </w:r>
      <w:r>
        <w:fldChar w:fldCharType="end"/>
      </w:r>
      <w:bookmarkEnd w:id="133"/>
      <w:r>
        <w:rPr>
          <w:rFonts w:hint="eastAsia"/>
        </w:rPr>
        <w:t xml:space="preserve"> 不同分子模态在各下游任务中的注意力权重分布</w:t>
      </w:r>
    </w:p>
    <w:p>
      <w:r>
        <w:rPr>
          <w:rFonts w:hint="eastAsia"/>
        </w:rPr>
        <w:t>另一方面，权重图中也体现了知识增强在生物药理任务中的突破，与物理任务形成鲜明对比的是，在涉及复杂生物相互作用的任务中，模型自动学会了依赖专家知识。在Sider、ClinTox和Tox21任务中，文本模态的权重出现了显著跃升，分别为0.38、0.36和0.32。这是因为副作用和毒性往往难以仅从分子结构中直接推断，但通常在文献或专家描述中有明确的记录。此时，经过LLM重写并注入了11项理化性质的文本模态成为了关键的信息源。模型给予文本模态高权重，证明了本文提出的知识增强策略成功地将非结构化的药理知识转化为了可被模型利用的特征，弥补了单结构视角的盲区。</w:t>
      </w:r>
    </w:p>
    <w:p>
      <w:r>
        <w:rPr>
          <w:rFonts w:hint="eastAsia"/>
        </w:rPr>
        <w:t>最后，模态权重图体现了序列模态的稳健补充作用，SMILES模态在所有9个任务中的权重分布呈现出高度的稳定性，维持在0.18-0.24的区间内。作为分子的线性化表征，SMILES虽然在某些特定任务上不如Graph直观或Text深刻，但它提供了一种独特的序列视角，能够捕获图网络可能遗漏的长程依赖信息。这种平稳输出的特性使其成为了多模态融合中的稳定器，确保模型在任何任务中都不会因单一模态的缺失或噪声而失效。</w:t>
      </w:r>
    </w:p>
    <w:p>
      <w:pPr>
        <w:pStyle w:val="4"/>
        <w:rPr>
          <w:rFonts w:hint="default"/>
        </w:rPr>
      </w:pPr>
      <w:bookmarkStart w:id="134" w:name="_Toc229423373"/>
      <w:r>
        <w:t>参数敏感实验</w:t>
      </w:r>
      <w:bookmarkEnd w:id="134"/>
    </w:p>
    <w:p>
      <w:r>
        <w:t>为了</w:t>
      </w:r>
      <w:r>
        <w:rPr>
          <w:rFonts w:hint="eastAsia"/>
        </w:rPr>
        <w:t>评估</w:t>
      </w:r>
      <w:r>
        <w:t>模型在</w:t>
      </w:r>
      <w:r>
        <w:rPr>
          <w:rFonts w:hint="eastAsia"/>
        </w:rPr>
        <w:t>核心</w:t>
      </w:r>
      <w:r>
        <w:t>超参数</w:t>
      </w:r>
      <w:r>
        <w:rPr>
          <w:rFonts w:hint="eastAsia"/>
        </w:rPr>
        <w:t>不同</w:t>
      </w:r>
      <w:r>
        <w:t>设置下的</w:t>
      </w:r>
      <w:r>
        <w:rPr>
          <w:rFonts w:hint="eastAsia"/>
        </w:rPr>
        <w:t>性能影响</w:t>
      </w:r>
      <w:r>
        <w:t>，本</w:t>
      </w:r>
      <w:r>
        <w:rPr>
          <w:rFonts w:hint="eastAsia"/>
        </w:rPr>
        <w:t>小</w:t>
      </w:r>
      <w:r>
        <w:t>节选取了对比损失函数中的温度系数</w:t>
      </w:r>
      <m:oMath>
        <m:r>
          <w:rPr>
            <w:rFonts w:ascii="Cambria Math"/>
          </w:rPr>
          <m:t>τ</m:t>
        </m:r>
      </m:oMath>
      <w:r>
        <w:t>进行敏感性实验。实验在ClinTox和BBBP两个代表性数据集上进行，其他训练参数保持不变。温度系数</w:t>
      </w:r>
      <m:oMath>
        <m:r>
          <w:rPr>
            <w:rFonts w:ascii="Cambria Math"/>
          </w:rPr>
          <m:t>τ</m:t>
        </m:r>
      </m:oMath>
      <w:r>
        <w:t>在NT-Xent损失函数中起着调节负样本梯度的关键作用。</w:t>
      </w:r>
      <w:r>
        <w:fldChar w:fldCharType="begin"/>
      </w:r>
      <w:r>
        <w:instrText xml:space="preserve"> REF _Ref226665645 \h </w:instrText>
      </w:r>
      <w:r>
        <w:fldChar w:fldCharType="separate"/>
      </w:r>
      <w:r>
        <w:rPr>
          <w:rFonts w:hint="eastAsia"/>
        </w:rPr>
        <w:t>图4-</w:t>
      </w:r>
      <w:r>
        <w:t>8</w:t>
      </w:r>
      <w:r>
        <w:fldChar w:fldCharType="end"/>
      </w:r>
      <w:r>
        <w:t>展示了模型性能随</w:t>
      </w:r>
      <m:oMath>
        <m:r>
          <w:rPr>
            <w:rFonts w:ascii="Cambria Math"/>
          </w:rPr>
          <m:t>τ</m:t>
        </m:r>
      </m:oMath>
      <w:r>
        <w:t>值的变化曲线</w:t>
      </w:r>
      <w:r>
        <w:rPr>
          <w:rFonts w:hint="eastAsia"/>
        </w:rPr>
        <w:t>。</w:t>
      </w:r>
    </w:p>
    <w:p/>
    <w:p>
      <w:pPr>
        <w:keepNext/>
        <w:ind w:firstLine="0" w:firstLineChars="0"/>
        <w:jc w:val="center"/>
      </w:pPr>
      <w:r>
        <w:drawing>
          <wp:inline distT="0" distB="0" distL="0" distR="0">
            <wp:extent cx="5274310" cy="3261360"/>
            <wp:effectExtent l="0" t="0" r="2540" b="0"/>
            <wp:docPr id="1850907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7797" name="图片 1"/>
                    <pic:cNvPicPr>
                      <a:picLocks noChangeAspect="1"/>
                    </pic:cNvPicPr>
                  </pic:nvPicPr>
                  <pic:blipFill>
                    <a:blip r:embed="rId448"/>
                    <a:stretch>
                      <a:fillRect/>
                    </a:stretch>
                  </pic:blipFill>
                  <pic:spPr>
                    <a:xfrm>
                      <a:off x="0" y="0"/>
                      <a:ext cx="5274310" cy="3261978"/>
                    </a:xfrm>
                    <a:prstGeom prst="rect">
                      <a:avLst/>
                    </a:prstGeom>
                  </pic:spPr>
                </pic:pic>
              </a:graphicData>
            </a:graphic>
          </wp:inline>
        </w:drawing>
      </w:r>
    </w:p>
    <w:p>
      <w:pPr>
        <w:pStyle w:val="11"/>
      </w:pPr>
      <w:bookmarkStart w:id="209" w:name="_GoBack"/>
      <w:bookmarkStart w:id="135" w:name="_Ref226665645"/>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8</w:t>
      </w:r>
      <w:r>
        <w:fldChar w:fldCharType="end"/>
      </w:r>
      <w:bookmarkEnd w:id="135"/>
      <w:r>
        <w:rPr>
          <w:rFonts w:hint="eastAsia"/>
        </w:rPr>
        <w:t xml:space="preserve"> 温度系数</w:t>
      </w:r>
      <m:oMath>
        <m:r>
          <m:rPr>
            <m:sty m:val="p"/>
          </m:rPr>
          <w:rPr>
            <w:rFonts w:ascii="Cambria Math" w:hAnsi="Cambria Math"/>
          </w:rPr>
          <m:t>τ</m:t>
        </m:r>
      </m:oMath>
      <w:r>
        <w:rPr>
          <w:rFonts w:hint="eastAsia"/>
        </w:rPr>
        <w:t>对模型预测性能的影响</w:t>
      </w:r>
    </w:p>
    <w:bookmarkEnd w:id="209"/>
    <w:p>
      <w:r>
        <w:rPr>
          <w:rFonts w:hint="eastAsia"/>
        </w:rPr>
        <w:t>图中展示了五种不同的温度系数，分别是0.05、0.1、0.2、0.5、1.0。</w:t>
      </w:r>
      <w:r>
        <w:t>从图中可以观察到明显的</w:t>
      </w:r>
      <w:r>
        <w:rPr>
          <w:rFonts w:hint="eastAsia"/>
        </w:rPr>
        <w:t>先增高后降低的</w:t>
      </w:r>
      <w:r>
        <w:t>趋势，具体分析如下：过小的</w:t>
      </w:r>
      <m:oMath>
        <m:r>
          <w:rPr>
            <w:rFonts w:ascii="Cambria Math"/>
          </w:rPr>
          <m:t>τ</m:t>
        </m:r>
      </m:oMath>
      <w:r>
        <w:rPr>
          <w:rFonts w:hint="eastAsia"/>
        </w:rPr>
        <w:t>，如</w:t>
      </w:r>
      <w:r>
        <w:t>0.05</w:t>
      </w:r>
      <w:r>
        <w:rPr>
          <w:rFonts w:hint="eastAsia"/>
        </w:rPr>
        <w:t>，</w:t>
      </w:r>
      <w:r>
        <w:t>Softmax分布变得极度尖锐，模型过度关注少量极其困难的负样本。这虽然能提供强梯度的监督信号，但容易引入潜在的假阴性样本噪声，导致优化过程不稳定，模型</w:t>
      </w:r>
      <w:r>
        <w:rPr>
          <w:rFonts w:hint="eastAsia"/>
        </w:rPr>
        <w:t>的</w:t>
      </w:r>
      <w:r>
        <w:t>性能</w:t>
      </w:r>
      <w:r>
        <w:rPr>
          <w:rFonts w:hint="eastAsia"/>
        </w:rPr>
        <w:t>显然不是很高</w:t>
      </w:r>
      <w:r>
        <w:t>。随着温度系数增大，分布趋于平滑，模型对不同负样本的区分能力减弱。当</w:t>
      </w:r>
      <m:oMath>
        <m:r>
          <w:rPr>
            <w:rFonts w:ascii="Cambria Math"/>
          </w:rPr>
          <m:t>τ</m:t>
        </m:r>
      </m:oMath>
      <w:r>
        <w:rPr>
          <w:rFonts w:hint="eastAsia"/>
        </w:rPr>
        <w:t>过大</w:t>
      </w:r>
      <w:r>
        <w:t>时，</w:t>
      </w:r>
      <w:r>
        <w:rPr>
          <w:rFonts w:hint="eastAsia"/>
        </w:rPr>
        <w:t>如1.0，</w:t>
      </w:r>
      <w:r>
        <w:t>模型实际上是在同等程度地惩罚所有非匹配样本，失去了挖掘难样本的能力，导致特征空间的判别性降低，性能随之衰减。最优区间</w:t>
      </w:r>
      <w:r>
        <w:rPr>
          <w:rFonts w:hint="eastAsia"/>
        </w:rPr>
        <w:t>是</w:t>
      </w:r>
      <w:r>
        <w:t>0.1</w:t>
      </w:r>
      <w:r>
        <w:rPr>
          <w:rFonts w:hint="eastAsia"/>
        </w:rPr>
        <w:t>左右。</w:t>
      </w:r>
      <w:r>
        <w:t>实验结果表明，当</w:t>
      </w:r>
      <m:oMath>
        <m:r>
          <w:rPr>
            <w:rFonts w:ascii="Cambria Math"/>
          </w:rPr>
          <m:t>τ</m:t>
        </m:r>
      </m:oMath>
      <w:r>
        <w:t>设定在0.1时，模型取得了最佳的预测性能。在此区间内，模型在挖掘难样本与保持训练稳定性之间达到了平衡，能够学习到既具有区分度又具备泛化能力的分子表征。因此，本</w:t>
      </w:r>
      <w:r>
        <w:rPr>
          <w:rFonts w:hint="eastAsia"/>
        </w:rPr>
        <w:t>文</w:t>
      </w:r>
      <w:r>
        <w:t>在所有后续实验中均将</w:t>
      </w:r>
      <m:oMath>
        <m:r>
          <w:rPr>
            <w:rFonts w:ascii="Cambria Math"/>
          </w:rPr>
          <m:t>τ</m:t>
        </m:r>
      </m:oMath>
      <w:r>
        <w:t>默认设置为0.1。</w:t>
      </w:r>
    </w:p>
    <w:p>
      <w:pPr>
        <w:pStyle w:val="3"/>
      </w:pPr>
      <w:bookmarkStart w:id="136" w:name="_Toc229423374"/>
      <w:r>
        <w:rPr>
          <w:rFonts w:hint="eastAsia"/>
        </w:rPr>
        <w:t>本章小结</w:t>
      </w:r>
      <w:bookmarkEnd w:id="136"/>
    </w:p>
    <w:p>
      <w:r>
        <w:t>本章阐述了一种基于图对齐与知识增强的多模态分子性质预测框架。该框架联合建模</w:t>
      </w:r>
      <w:r>
        <w:rPr>
          <w:rFonts w:hint="eastAsia"/>
        </w:rPr>
        <w:t>了</w:t>
      </w:r>
      <w:r>
        <w:t>分子图、SMILES序列、分子指纹和自然语言文本四种模态信息，并在文本构建阶段引入知识重写策略，将原始</w:t>
      </w:r>
      <w:r>
        <w:rPr>
          <w:rFonts w:hint="eastAsia"/>
        </w:rPr>
        <w:t>分子专家</w:t>
      </w:r>
      <w:r>
        <w:t>描述与由RDKit计算得到的理化属性进行融合，以提高文本模态的可用性。在表示学习阶段，本文采用以分子图为中心的对比学习预训练策略，并结合基于同方差不确定性的自适应加权机制，以减轻不同模态噪声差异对联合训练的影响。</w:t>
      </w:r>
    </w:p>
    <w:p>
      <w:r>
        <w:t>为了验证所提方法的有效性，本文在MoleculeNet的9个基准数据集上进行了实验评估。对比实验结果表明，KGAMA在多个分类任务和回归任务上取得了较好的预测结果；消融实验进一步说明了不同输入模态和交叉注意力融合模块对模型性能的贡献；参数敏感性分析则验证了模型在</w:t>
      </w:r>
      <w:r>
        <w:rPr>
          <w:rFonts w:hint="eastAsia"/>
        </w:rPr>
        <w:t>不同</w:t>
      </w:r>
      <w:r>
        <w:t>超参数设置下具有较稳定的表现。</w:t>
      </w:r>
    </w:p>
    <w:p>
      <w:r>
        <w:t>总体来看，本章提出的KGAMA框架在多模态分子性质预测任务中表现出较好的综合性能，也说明了知识增强与图中心对齐策略在提升分子表征质量方面具有积极作用。</w:t>
      </w:r>
    </w:p>
    <w:p/>
    <w:p>
      <w:pPr>
        <w:sectPr>
          <w:headerReference r:id="rId22" w:type="default"/>
          <w:headerReference r:id="rId23" w:type="even"/>
          <w:pgSz w:w="11906" w:h="16838"/>
          <w:pgMar w:top="1418" w:right="1134" w:bottom="1134" w:left="1418" w:header="851" w:footer="851" w:gutter="0"/>
          <w:cols w:space="425" w:num="1"/>
          <w:docGrid w:type="lines" w:linePitch="326" w:charSpace="0"/>
        </w:sectPr>
      </w:pPr>
    </w:p>
    <w:p>
      <w:pPr>
        <w:pStyle w:val="2"/>
      </w:pPr>
      <w:bookmarkStart w:id="137" w:name="_Toc229423375"/>
      <w:r>
        <w:rPr>
          <w:rFonts w:hint="eastAsia"/>
        </w:rPr>
        <w:t>总结与展望</w:t>
      </w:r>
      <w:bookmarkEnd w:id="137"/>
    </w:p>
    <w:p>
      <w:pPr>
        <w:pStyle w:val="3"/>
      </w:pPr>
      <w:bookmarkStart w:id="138" w:name="_Toc229423376"/>
      <w:r>
        <w:rPr>
          <w:rFonts w:hint="eastAsia"/>
        </w:rPr>
        <w:t>工作总结</w:t>
      </w:r>
      <w:bookmarkEnd w:id="138"/>
    </w:p>
    <w:p>
      <w:r>
        <w:rPr>
          <w:rFonts w:hint="eastAsia"/>
        </w:rPr>
        <w:t>分子性质预测旨在建立分子结构与其理化属性、生化性质的映射关系，</w:t>
      </w:r>
      <w:r>
        <w:t>是药物发现早期筛选</w:t>
      </w:r>
      <w:r>
        <w:rPr>
          <w:rFonts w:hint="eastAsia"/>
        </w:rPr>
        <w:t>过程</w:t>
      </w:r>
      <w:r>
        <w:t>中的重要研究内容。</w:t>
      </w:r>
      <w:r>
        <w:rPr>
          <w:rFonts w:hint="eastAsia"/>
        </w:rPr>
        <w:t>近年来，深度学习技术与人工智能技术推动了该方向的发展，但现有方法仍存在一些不足：一方面，单一模态表征难以充分刻画分子的复杂结构信息，传统图神经网络在长程依赖建模和原子化学键交互方面也存在一定局限；另一方面，虽然大语言模型和多模态学习为分子性质预测提供了新的思路，但在复杂ADMET任务中，模型的解释能力、文本模态质量以及多模态对齐的稳定性仍有待提升。围绕以上问题，本文从</w:t>
      </w:r>
      <w:r>
        <w:t>思维链增强的预测建模和知识增强的多模态对齐两个方面开展研究，主要完成了以下两项工作。</w:t>
      </w:r>
    </w:p>
    <w:p>
      <w:r>
        <w:rPr>
          <w:rFonts w:hint="eastAsia"/>
        </w:rPr>
        <w:t>第一，提</w:t>
      </w:r>
      <w:r>
        <w:t>出了基于思维链增强与通信式图交互的分子性质预测框架CoT-CMP。</w:t>
      </w:r>
      <w:r>
        <w:rPr>
          <w:rFonts w:hint="eastAsia"/>
        </w:rPr>
        <w:t>针对大模型直接用于分子性质预测时推理过程不透明、</w:t>
      </w:r>
      <w:r>
        <w:t>图神经网络对分子局部结构关系建模不足的问题，本文构建了一个图文双塔预测框架。在文本端，引入LLaMA-3.1大语言模型，并结合LoRA微调和思维链提示工程，生成包含结构识别、理化属性分析和性质推断过程的文本表示，以增强模型</w:t>
      </w:r>
      <w:r>
        <w:rPr>
          <w:rFonts w:hint="eastAsia"/>
        </w:rPr>
        <w:t>在</w:t>
      </w:r>
      <w:r>
        <w:t>预测过程</w:t>
      </w:r>
      <w:r>
        <w:rPr>
          <w:rFonts w:hint="eastAsia"/>
        </w:rPr>
        <w:t>中</w:t>
      </w:r>
      <w:r>
        <w:t>的表达能力。在图结构端，采用通信式消息传递图神经网络CMPNN，对原子特征和化学键信息进行联合建模，以提升模型对分子结构关系的表征能力。在此基础上，进一步利用交叉注意力机制实现图特征与文本特征的融合。实验结果表明，CoT-CMP在TDC平台多个ADMET基准数据集上取得了较好的预测结果，消融实验和可视化分析也说明了文本增强、LoRA微调和跨模态融合模块在该框架中的有效性。</w:t>
      </w:r>
    </w:p>
    <w:p>
      <w:r>
        <w:rPr>
          <w:rFonts w:hint="eastAsia"/>
        </w:rPr>
        <w:t>第二，提出了基于知识增强与图对齐的多模态分子性质预测框架KGAMA。针对公共医学文本中噪声较多、文本有效信息密度低以及多模态对齐过程中可能出现优化不平衡的问题，本文构建了包含分子图、SMILES序列、分子指纹和自然语言文本在内的四模态表征体系。在数据构建方面，设计了面向分子文本的知识重写流程，利用大语言模型对PubChem原始描述进行清洗，并结合RDKit计算得到的分子关键理化指标，对文本内容进行补充和约束，从而提高文本模态的可用性。在表示学习方面，本文采用以分子图为中心的对比学习策略，并引入基于同方差不确定性的自适应加权机制，以增强不同模态之间对齐的稳定性。实验结果表明，KGAMA在MoleculeNet的9个基准数据集上具有较好的综合表现，相关消融实验进一步验证了知识增强和图中心对齐策略的有效性。</w:t>
      </w:r>
    </w:p>
    <w:p>
      <w:pPr>
        <w:pStyle w:val="3"/>
      </w:pPr>
      <w:bookmarkStart w:id="139" w:name="_Toc229423377"/>
      <w:r>
        <w:rPr>
          <w:rFonts w:hint="eastAsia"/>
        </w:rPr>
        <w:t>工作展望</w:t>
      </w:r>
      <w:bookmarkEnd w:id="139"/>
    </w:p>
    <w:p>
      <w:r>
        <w:t>尽管本文在多模态分子性质预测方面进行了探索，并取得了一定结果，但受限于数据规模、计算资源和模型</w:t>
      </w:r>
      <w:r>
        <w:rPr>
          <w:rFonts w:hint="eastAsia"/>
        </w:rPr>
        <w:t>结构设计</w:t>
      </w:r>
      <w:r>
        <w:t>，仍有一些问题值得进一步研究。未来可以从以下几个方面继续展开。</w:t>
      </w:r>
    </w:p>
    <w:p>
      <w:r>
        <w:rPr>
          <w:rFonts w:hint="eastAsia"/>
        </w:rPr>
        <w:t>（</w:t>
      </w:r>
      <w:r>
        <w:t>1</w:t>
      </w:r>
      <w:r>
        <w:rPr>
          <w:rFonts w:hint="eastAsia"/>
        </w:rPr>
        <w:t>）</w:t>
      </w:r>
      <w:r>
        <w:t>引入三维几何构象信息，提升分子空间结构建模能力。</w:t>
      </w:r>
    </w:p>
    <w:p>
      <w:r>
        <w:t>本文当前的分子表示主要基于一维序列和二维拓扑结构，而分子的许多理化性质和</w:t>
      </w:r>
      <w:r>
        <w:rPr>
          <w:rFonts w:hint="eastAsia"/>
        </w:rPr>
        <w:t>生化性质</w:t>
      </w:r>
      <w:r>
        <w:t>与其三维构象</w:t>
      </w:r>
      <w:r>
        <w:rPr>
          <w:rFonts w:hint="eastAsia"/>
        </w:rPr>
        <w:t>也</w:t>
      </w:r>
      <w:r>
        <w:t>密切相关。未来可进一步引入原子坐标、键角和二面角等几何信息，并结合SE(3)等变神经网络或三维分子Transformer等方法，构建融合1D、2D、3D信息的分子表征框架，以增强模型对空间结构特征的刻画能力。</w:t>
      </w:r>
    </w:p>
    <w:p>
      <w:r>
        <w:rPr>
          <w:rFonts w:hint="eastAsia"/>
        </w:rPr>
        <w:t>（</w:t>
      </w:r>
      <w:r>
        <w:t>2</w:t>
      </w:r>
      <w:r>
        <w:rPr>
          <w:rFonts w:hint="eastAsia"/>
        </w:rPr>
        <w:t>）</w:t>
      </w:r>
      <w:r>
        <w:t>扩展多模态预训练数据规模，提升模型泛化能力。</w:t>
      </w:r>
    </w:p>
    <w:p>
      <w:r>
        <w:t>本文在KGAMA框架中构建了约22万规模的多模态预训练数据集，验证了知识重写与图中心对齐策略的可行性。但相较于实际药物发现中庞大的化学空间，这一规模仍然有限。未来可在更大范围内构建高质量分子文本配对数据，进一步扩展预训练语料规模，并探索更大规模多模态预训练对下游性质预测任务的促进作用。</w:t>
      </w:r>
    </w:p>
    <w:p>
      <w:pPr>
        <w:ind w:firstLine="0" w:firstLineChars="0"/>
      </w:pPr>
    </w:p>
    <w:p>
      <w:pPr>
        <w:ind w:firstLine="0" w:firstLineChars="0"/>
        <w:sectPr>
          <w:headerReference r:id="rId24" w:type="default"/>
          <w:headerReference r:id="rId25" w:type="even"/>
          <w:pgSz w:w="11906" w:h="16838"/>
          <w:pgMar w:top="1418" w:right="1134" w:bottom="1134" w:left="1418" w:header="851" w:footer="851" w:gutter="0"/>
          <w:cols w:space="425" w:num="1"/>
          <w:docGrid w:type="lines" w:linePitch="326" w:charSpace="0"/>
        </w:sectPr>
      </w:pPr>
    </w:p>
    <w:p>
      <w:pPr>
        <w:pStyle w:val="2"/>
        <w:numPr>
          <w:ilvl w:val="0"/>
          <w:numId w:val="0"/>
        </w:numPr>
      </w:pPr>
      <w:bookmarkStart w:id="140" w:name="_Toc229423378"/>
      <w:r>
        <w:rPr>
          <w:rFonts w:hint="eastAsia"/>
        </w:rPr>
        <w:t>参考文献</w:t>
      </w:r>
      <w:bookmarkEnd w:id="140"/>
    </w:p>
    <w:p>
      <w:pPr>
        <w:pStyle w:val="38"/>
      </w:pPr>
      <w:bookmarkStart w:id="141" w:name="_Ref225723236"/>
      <w:r>
        <w:t>Rácz A, Mihalovits L M, Beckers M, et al. The changing landscape of medicinal chemistry optimization[J]. Nature Reviews Drug Discovery, 2025, 24(11): 870-887.</w:t>
      </w:r>
      <w:bookmarkEnd w:id="141"/>
    </w:p>
    <w:p>
      <w:pPr>
        <w:pStyle w:val="38"/>
      </w:pPr>
      <w:bookmarkStart w:id="142" w:name="_Ref225723285"/>
      <w:r>
        <w:t>Al Khzem A H, Wali S M. Drug Repurposing as an Effective Drug Discovery Strategy: A Critical Review[J]. Drug Design, Development and Therapy, 2025: 12019-12034.</w:t>
      </w:r>
      <w:bookmarkEnd w:id="142"/>
    </w:p>
    <w:p>
      <w:pPr>
        <w:pStyle w:val="38"/>
      </w:pPr>
      <w:bookmarkStart w:id="143" w:name="_Ref225723287"/>
      <w:r>
        <w:t>Mulcahy, A., Rennane, S., Schwam, D., et al. Use of Clinical Trial Characteristics to Estimate Costs of New Drug Development[J]. JAMA Network Open, 2025, 8(1): e2453275.</w:t>
      </w:r>
      <w:bookmarkEnd w:id="143"/>
    </w:p>
    <w:p>
      <w:pPr>
        <w:pStyle w:val="38"/>
      </w:pPr>
      <w:bookmarkStart w:id="144" w:name="_Ref225723321"/>
      <w:r>
        <w:t>McNutt A T, Adduri A K, Ellington C N, et al. Scaling structure aware virtual screening to billions of molecules with sprint[J]. ArXiv, 2025: arXiv: 2411.15418 v2.</w:t>
      </w:r>
      <w:bookmarkEnd w:id="144"/>
    </w:p>
    <w:p>
      <w:pPr>
        <w:pStyle w:val="38"/>
      </w:pPr>
      <w:r>
        <w:t>Nguyen V T D, Pham P, Hy T S. Enabling multi-target drug discovery through latent evolutionary optimization and synthesis-aware prioritization (EVOSYNTH)[J]. Communications Chemistry, 2026, 9: 133.</w:t>
      </w:r>
    </w:p>
    <w:p>
      <w:pPr>
        <w:pStyle w:val="38"/>
      </w:pPr>
      <w:bookmarkStart w:id="145" w:name="_Ref225723560"/>
      <w:r>
        <w:t>Dueñas M E, Peltier‐Heap R E, Leveridge M, et al. Advances in high‐throughput mass spectrometry in drug discovery[J]. EMBO Molecular Medicine, 2023, 15(1): EMMM202114850.</w:t>
      </w:r>
      <w:bookmarkEnd w:id="145"/>
    </w:p>
    <w:p>
      <w:pPr>
        <w:pStyle w:val="38"/>
      </w:pPr>
      <w:bookmarkStart w:id="146" w:name="_Ref225723576"/>
      <w:r>
        <w:t>Zhou Y, Chen J, Cheng J, et al. Quantum-machine-assisted drug discovery[J]. npj Drug Discovery, 2026, 3(1): 1.</w:t>
      </w:r>
      <w:bookmarkEnd w:id="146"/>
    </w:p>
    <w:p>
      <w:pPr>
        <w:pStyle w:val="38"/>
      </w:pPr>
      <w:r>
        <w:t>Panapitiya G, Gao P, Maupin C M, et al. FragNet: A graph neural network for molecular property prediction with four levels of interpretability[EB/OL]. arXiv:2410.12156, 2024.</w:t>
      </w:r>
    </w:p>
    <w:p>
      <w:pPr>
        <w:pStyle w:val="38"/>
      </w:pPr>
      <w:bookmarkStart w:id="147" w:name="_Ref225723610"/>
      <w:r>
        <w:t>Petersen K H, Schmidt M N. Design and Evaluation of a Geometric Algebra-Based Graph Neural Network for Molecular Property Prediction[C]//Northern Lights Deep Learning Conference 2026. 2026.</w:t>
      </w:r>
      <w:bookmarkEnd w:id="147"/>
    </w:p>
    <w:p>
      <w:pPr>
        <w:pStyle w:val="38"/>
      </w:pPr>
      <w:bookmarkStart w:id="148" w:name="_Ref225723620"/>
      <w:r>
        <w:t>Zhou R, Zhang Y, He K, et al. Add-GNN: A Dual-Representation Fusion Molecular Property Prediction Based on Graph Neural Networks with Additive Attention[J]. Symmetry, 2025, 17(6): 873.</w:t>
      </w:r>
      <w:bookmarkEnd w:id="148"/>
    </w:p>
    <w:p>
      <w:pPr>
        <w:pStyle w:val="38"/>
      </w:pPr>
      <w:bookmarkStart w:id="149" w:name="_Ref225762664"/>
      <w:r>
        <w:t>Ma H, Bian Y, Rong Y, et al. Cross-dependent graph neural networks for molecular property prediction[J]. Bioinformatics, 2022, 38(7): 2003-2009.</w:t>
      </w:r>
      <w:bookmarkEnd w:id="149"/>
    </w:p>
    <w:p>
      <w:pPr>
        <w:pStyle w:val="38"/>
      </w:pPr>
      <w:bookmarkStart w:id="150" w:name="_Ref225762811"/>
      <w:r>
        <w:t>Li L, Zhang Y, Wang G, et al. Kolmogorov–Arnold graph neural networks for molecular property prediction[J]. Nature Machine Intelligence, 2025, 7(8): 1346-1354.</w:t>
      </w:r>
      <w:bookmarkEnd w:id="150"/>
    </w:p>
    <w:p>
      <w:pPr>
        <w:pStyle w:val="38"/>
      </w:pPr>
      <w:bookmarkStart w:id="151" w:name="_Ref225762834"/>
      <w:r>
        <w:t>Wang S, Guo Y, Wang Y, et al. Smiles-bert: large scale unsupervised pre-training for molecular property prediction[C]//Proceedings of the 10th ACM international conference on bioinformatics, computational biology and health informatics. 2019: 429-436.</w:t>
      </w:r>
      <w:bookmarkEnd w:id="151"/>
    </w:p>
    <w:p>
      <w:pPr>
        <w:pStyle w:val="38"/>
      </w:pPr>
      <w:bookmarkStart w:id="152" w:name="_Ref227150721"/>
      <w:bookmarkStart w:id="153" w:name="_Ref225762894"/>
      <w:r>
        <w:t>Li H, Cao H, Peng S, et al. Agentic reinforcement learning empowers next-generation chemical language models for molecular design and synthesis[J]. arXiv preprint arXiv:2601.17687, 2026.</w:t>
      </w:r>
      <w:bookmarkEnd w:id="152"/>
    </w:p>
    <w:p>
      <w:pPr>
        <w:pStyle w:val="38"/>
      </w:pPr>
      <w:bookmarkStart w:id="154" w:name="_Ref227150808"/>
      <w:r>
        <w:t>Abdel-Aty H, Gould I R. Large-scale distributed training of transformers for chemical fingerprinting[J]. Journal of chemical information and modeling, 2022, 62(20): 4852-4862.</w:t>
      </w:r>
      <w:bookmarkEnd w:id="153"/>
      <w:bookmarkEnd w:id="154"/>
    </w:p>
    <w:p>
      <w:pPr>
        <w:pStyle w:val="38"/>
      </w:pPr>
      <w:bookmarkStart w:id="155" w:name="_Ref225762912"/>
      <w:r>
        <w:t>Tang W, Li M, Zhan Y, et al. Adaptively multi-modal contrastive fusion network for molecular properties prediction[J]. Engineering Applications of Artificial Intelligence, 2025, 152: 110782.</w:t>
      </w:r>
      <w:bookmarkEnd w:id="155"/>
    </w:p>
    <w:p>
      <w:pPr>
        <w:pStyle w:val="38"/>
      </w:pPr>
      <w:r>
        <w:t>Gao M, Zhu F. MMCL: A multi-modal contrastive learning framework for molecular property prediction[J]. IEEE Transactions on Computational Biology and Bioinformatics, 2026.</w:t>
      </w:r>
      <w:r>
        <w:commentReference w:id="9"/>
      </w:r>
    </w:p>
    <w:p>
      <w:pPr>
        <w:pStyle w:val="38"/>
      </w:pPr>
      <w:r>
        <w:t>Zhang Y, Liu W, Zhao H, et al. MolGramTreeNet: A multimodal molecular property prediction model via grammar tree-constrained molecular representation[J]. iScience, 2026, 29(3): 114928.</w:t>
      </w:r>
    </w:p>
    <w:p>
      <w:pPr>
        <w:pStyle w:val="38"/>
      </w:pPr>
      <w:r>
        <w:t>Zhou J, Zhao Q, Shu P, Tang X, Wang J. GSST: Multimodal Graph-SMILES fusion with soft SMILES tokens for molecular property prediction[J]. IEEE Journal of Biomedical and Health Informatics, 2025.</w:t>
      </w:r>
      <w:r>
        <w:commentReference w:id="10"/>
      </w:r>
    </w:p>
    <w:p>
      <w:pPr>
        <w:pStyle w:val="38"/>
      </w:pPr>
      <w:bookmarkStart w:id="156" w:name="_Ref225762982"/>
      <w:r>
        <w:t>Rollins Z A, Cheng A C, Metwally E. MolPROP: molecular property prediction with multimodal language and graph fusion[J]. Journal of Cheminformatics, 2024, 16(1): 56.</w:t>
      </w:r>
      <w:bookmarkEnd w:id="156"/>
    </w:p>
    <w:p>
      <w:pPr>
        <w:pStyle w:val="38"/>
      </w:pPr>
      <w:bookmarkStart w:id="157" w:name="_Ref225763023"/>
      <w:r>
        <w:rPr>
          <w:rFonts w:hint="eastAsia"/>
        </w:rPr>
        <w:t>Gong X, Liu M, Liu Q, et al. MDFCL: Multimodal data fusion-based graph contrastive learning framework for molecular property prediction[J]. Pattern Recognition, 2025, 163: 111463.</w:t>
      </w:r>
      <w:bookmarkEnd w:id="157"/>
    </w:p>
    <w:p>
      <w:pPr>
        <w:pStyle w:val="38"/>
      </w:pPr>
      <w:bookmarkStart w:id="158" w:name="_Ref225763038"/>
      <w:r>
        <w:t>Liu S, Nie W, Wang C, et al. Multi-modal molecule structure–text model for text-based retrieval and editing[J]. Nature Machine Intelligence, 2023, 5(12): 1447-1457.</w:t>
      </w:r>
      <w:bookmarkEnd w:id="158"/>
    </w:p>
    <w:p>
      <w:pPr>
        <w:pStyle w:val="38"/>
      </w:pPr>
      <w:bookmarkStart w:id="159" w:name="_Ref225763055"/>
      <w:r>
        <w:t>Zhu Y, Liu G, Inae E, et al. Moltextnet: A two-million molecule-text dataset for multimodal molecular learning[J]. arXiv preprint arXiv:2506.00009, 2025.</w:t>
      </w:r>
      <w:bookmarkEnd w:id="159"/>
    </w:p>
    <w:p>
      <w:pPr>
        <w:pStyle w:val="38"/>
      </w:pPr>
      <w:r>
        <w:t>Wang Y, Zhang K, Huang J, Yin N, Liu S, Segal E. ProtoMol: Enhancing molecular property prediction via prototype-guided multimodal learning[J]. Briefings in Bioinformatics, 2025, 26(6): bbaf629.</w:t>
      </w:r>
      <w:r>
        <w:commentReference w:id="11"/>
      </w:r>
    </w:p>
    <w:p>
      <w:pPr>
        <w:pStyle w:val="38"/>
      </w:pPr>
      <w:bookmarkStart w:id="160" w:name="_Ref225763085"/>
      <w:r>
        <w:t>Jiang F, Prakash M, Ma H, et al. Trident: Tri-modal molecular representation learning with taxonomic annotations and local correspondence[J]. arXiv preprint arXiv:2506.21028, 2025.</w:t>
      </w:r>
      <w:bookmarkEnd w:id="160"/>
    </w:p>
    <w:p>
      <w:pPr>
        <w:pStyle w:val="38"/>
      </w:pPr>
      <w:r>
        <w:t>Li Y, Liu C, Gao X, Wang G. MolPrompt: Improving multi-modal molecular pre-training with knowledge prompts[J]. Bioinformatics, 2025, 41(9): btaf466.</w:t>
      </w:r>
      <w:r>
        <w:commentReference w:id="12"/>
      </w:r>
    </w:p>
    <w:p>
      <w:pPr>
        <w:pStyle w:val="38"/>
      </w:pPr>
      <w:bookmarkStart w:id="161" w:name="_Ref225763113"/>
      <w:r>
        <w:t>Liu S, Wang H, Liu W, et al. Pre-training molecular graph representation with 3d geometry. arXiv 2021[J]. arXiv preprint arXiv:2110.07728, 10.</w:t>
      </w:r>
      <w:bookmarkEnd w:id="161"/>
    </w:p>
    <w:p>
      <w:pPr>
        <w:pStyle w:val="38"/>
      </w:pPr>
      <w:bookmarkStart w:id="162" w:name="_Ref225763126"/>
      <w:r>
        <w:t>Zhou G, Gao Z, Ding Q, et al. Uni-mol: A universal 3d molecular representation learning framework[C]//The eleventh international conference on learning representations. 2023.</w:t>
      </w:r>
      <w:bookmarkEnd w:id="162"/>
    </w:p>
    <w:p>
      <w:pPr>
        <w:pStyle w:val="38"/>
      </w:pPr>
      <w:bookmarkStart w:id="163" w:name="_Ref225763139"/>
      <w:r>
        <w:rPr>
          <w:rFonts w:hint="eastAsia"/>
        </w:rPr>
        <w:t>Sun M, Ai C, Zhang D, et al. MolInterAct: Multiscale Cross-Modal Interaction for Robust Molecular Representation Learning[C]//2025 IEEE International Conference on Bioinformatics and Biomedicine (BIBM). IEEE, 2025: 1215-1220.</w:t>
      </w:r>
      <w:bookmarkEnd w:id="163"/>
    </w:p>
    <w:p>
      <w:pPr>
        <w:pStyle w:val="38"/>
      </w:pPr>
      <w:bookmarkStart w:id="164" w:name="_Ref225763156"/>
      <w:r>
        <w:rPr>
          <w:rFonts w:hint="eastAsia"/>
        </w:rPr>
        <w:t>Lin J, Wang G, Li S, et al. Effective and Compact Multimodal Molecular Representation Optimization with Molecular Fragments Enhancement[J]. Expert Systems with Applications, 2026: 131997.</w:t>
      </w:r>
      <w:bookmarkEnd w:id="164"/>
    </w:p>
    <w:p>
      <w:pPr>
        <w:pStyle w:val="38"/>
      </w:pPr>
      <w:bookmarkStart w:id="165" w:name="_Ref225763179"/>
      <w:r>
        <w:t>Huang Q, Li Y, Zhu L, et al. Unified multimodal multidomain polymer representation for property prediction[J]. npj Computational Materials, 2025, 11(1): 153.</w:t>
      </w:r>
      <w:bookmarkEnd w:id="165"/>
    </w:p>
    <w:p>
      <w:pPr>
        <w:pStyle w:val="38"/>
      </w:pPr>
      <w:bookmarkStart w:id="166" w:name="_Ref225763202"/>
      <w:r>
        <w:t>Jing Z, Sun Y, Li Y Y, et al. Structure-Aware Fusion with Progressive Injection for Multimodal Molecular Representation Learning[J]. arXiv preprint arXiv:2510.23640, 2025.</w:t>
      </w:r>
      <w:bookmarkEnd w:id="166"/>
    </w:p>
    <w:p>
      <w:pPr>
        <w:pStyle w:val="38"/>
      </w:pPr>
      <w:bookmarkStart w:id="167" w:name="_Ref225763217"/>
      <w:r>
        <w:t>Gu A, Dao T. Mamba: Linear-time sequence modeling with selective state spaces[C]//First conference on language modeling. 2024.</w:t>
      </w:r>
      <w:bookmarkEnd w:id="167"/>
    </w:p>
    <w:p>
      <w:pPr>
        <w:pStyle w:val="38"/>
      </w:pPr>
      <w:bookmarkStart w:id="168" w:name="_Ref225763232"/>
      <w:r>
        <w:t>Li J, Zhang Z, Lei Z, et al. MoLA: Molecular Multimodal Layerwise Adaptive Network for Molecular Property Prediction[J]. Knowledge-Based Systems, 2026: 115563.</w:t>
      </w:r>
      <w:bookmarkEnd w:id="168"/>
    </w:p>
    <w:p>
      <w:pPr>
        <w:pStyle w:val="38"/>
      </w:pPr>
      <w:bookmarkStart w:id="169" w:name="_Ref225763247"/>
      <w:r>
        <w:t>Zhou Z, Li Y, Hong P, et al. Multimodal fusion with relational learning for molecular property prediction[J]. Communications chemistry, 2025, 8(1): 200.</w:t>
      </w:r>
      <w:bookmarkEnd w:id="169"/>
    </w:p>
    <w:p>
      <w:pPr>
        <w:pStyle w:val="38"/>
      </w:pPr>
      <w:bookmarkStart w:id="170" w:name="_Ref225763261"/>
      <w:r>
        <w:t>Priyadarsini I, Takeda S, Hamada L, et al. Learning Resilient Molecular Representations with Dynamic Multi-Modal Fusion[C]//UniReps: 3rd Edition of the Workshop on Unifying Representations in Neural Models.</w:t>
      </w:r>
      <w:bookmarkEnd w:id="170"/>
    </w:p>
    <w:p>
      <w:pPr>
        <w:pStyle w:val="38"/>
      </w:pPr>
      <w:bookmarkStart w:id="171" w:name="_Ref225763308"/>
      <w:r>
        <w:t>Weininger D. SMILES, a chemical language and information system. 1. Introduction to methodology and encoding rules[J]. Journal of chemical information and computer sciences, 1988, 28(1): 31-36.</w:t>
      </w:r>
      <w:bookmarkEnd w:id="171"/>
    </w:p>
    <w:p>
      <w:pPr>
        <w:pStyle w:val="38"/>
      </w:pPr>
      <w:bookmarkStart w:id="172" w:name="_Ref225763329"/>
      <w:r>
        <w:t>Weinreich J, Probst D. Learning on compressed molecular representations[J]. Digital Discovery, 2025, 4(1): 84-92.</w:t>
      </w:r>
    </w:p>
    <w:p>
      <w:pPr>
        <w:pStyle w:val="38"/>
      </w:pPr>
      <w:bookmarkStart w:id="173" w:name="_Ref229423283"/>
      <w:r>
        <w:t>Rottach F, Schieferdecker S, Eickhoff C. The topology of molecular representations and its influence on machine learning performance[J]. Journal of Cheminformatics, 2025, 17(1): 109.</w:t>
      </w:r>
      <w:bookmarkEnd w:id="172"/>
      <w:bookmarkEnd w:id="173"/>
    </w:p>
    <w:p>
      <w:pPr>
        <w:pStyle w:val="38"/>
      </w:pPr>
      <w:bookmarkStart w:id="174" w:name="_Ref225763347"/>
      <w:r>
        <w:t>Kim D, Jeong J, Choi J. Identification of optimal machine learning algorithms and molecular fingerprints for explainable toxicity prediction models using ToxCast/Tox21 bioassay data[J]. ACS omega, 2024, 9(36): 37934-37941.</w:t>
      </w:r>
      <w:bookmarkEnd w:id="174"/>
    </w:p>
    <w:p>
      <w:pPr>
        <w:pStyle w:val="38"/>
      </w:pPr>
      <w:bookmarkStart w:id="175" w:name="_Ref225763385"/>
      <w:r>
        <w:t>Cereto-Massagué A, Ojeda M J, Valls C, et al. Molecular fingerprint similarity search in virtual screening[J]. Methods, 2015, 71: 58-63.</w:t>
      </w:r>
      <w:bookmarkEnd w:id="175"/>
    </w:p>
    <w:p>
      <w:pPr>
        <w:pStyle w:val="38"/>
      </w:pPr>
      <w:bookmarkStart w:id="176" w:name="_Ref225763406"/>
      <w:r>
        <w:t>Yamashita R, Nishio M, Do R K G, et al. Convolutional neural networks: an overview and application in radiology[J]. Insights into imaging, 2018, 9(4): 611-629.</w:t>
      </w:r>
      <w:bookmarkEnd w:id="176"/>
    </w:p>
    <w:p>
      <w:pPr>
        <w:pStyle w:val="38"/>
      </w:pPr>
      <w:bookmarkStart w:id="177" w:name="_Ref225763419"/>
      <w:r>
        <w:t>Mienye I D, Swart T G, Obaido G. Recurrent neural networks: A comprehensive review of architectures, variants, and applications[J]. Information, 2024, 15(9): 517.</w:t>
      </w:r>
      <w:bookmarkEnd w:id="177"/>
    </w:p>
    <w:p>
      <w:pPr>
        <w:pStyle w:val="38"/>
      </w:pPr>
      <w:bookmarkStart w:id="178" w:name="_Ref225763433"/>
      <w:r>
        <w:t>Zhou J, Cui G, Hu S, et al. Graph neural networks: A review of methods and applications[J]. AI open, 2020, 1: 57-81.</w:t>
      </w:r>
      <w:bookmarkEnd w:id="178"/>
    </w:p>
    <w:p>
      <w:pPr>
        <w:pStyle w:val="38"/>
      </w:pPr>
      <w:bookmarkStart w:id="179" w:name="_Ref225763447"/>
      <w:r>
        <w:t>Gilmer J, Schoenholz S S, Riley P F, et al. Neural message passing for quantum chemistry[C]//International conference on machine learning. Pmlr, 2017: 1263-1272.</w:t>
      </w:r>
      <w:bookmarkEnd w:id="179"/>
    </w:p>
    <w:p>
      <w:pPr>
        <w:pStyle w:val="38"/>
      </w:pPr>
      <w:bookmarkStart w:id="180" w:name="_Ref225763480"/>
      <w:r>
        <w:t>Kipf T N, Welling M. Semi-supervised classification with graph convolutional networks[J]. arXiv preprint arXiv:1609.02907, 2016.</w:t>
      </w:r>
      <w:bookmarkEnd w:id="180"/>
    </w:p>
    <w:p>
      <w:pPr>
        <w:pStyle w:val="38"/>
      </w:pPr>
      <w:bookmarkStart w:id="181" w:name="_Ref225763541"/>
      <w:r>
        <w:t>Zhang S, Tong H, Xu J, et al. Graph convolutional networks: a comprehensive review[J]. Computational Social Networks, 2019, 6(1): 1-23.</w:t>
      </w:r>
      <w:bookmarkEnd w:id="181"/>
    </w:p>
    <w:p>
      <w:pPr>
        <w:pStyle w:val="38"/>
      </w:pPr>
      <w:bookmarkStart w:id="182" w:name="_Ref225763563"/>
      <w:r>
        <w:t>Veli</w:t>
      </w:r>
      <w:r>
        <w:rPr>
          <w:rFonts w:ascii="Cambria" w:hAnsi="Cambria" w:cs="Cambria"/>
        </w:rPr>
        <w:t>č</w:t>
      </w:r>
      <w:r>
        <w:t>kovi</w:t>
      </w:r>
      <w:r>
        <w:rPr>
          <w:rFonts w:ascii="Cambria" w:hAnsi="Cambria" w:cs="Cambria"/>
        </w:rPr>
        <w:t>ć</w:t>
      </w:r>
      <w:r>
        <w:t xml:space="preserve"> P, Cucurull G, Casanova A, et al. Graph attention networks[J]. arXiv preprint arXiv:1710.10903, 2017.</w:t>
      </w:r>
      <w:bookmarkEnd w:id="182"/>
    </w:p>
    <w:p>
      <w:pPr>
        <w:pStyle w:val="38"/>
      </w:pPr>
      <w:bookmarkStart w:id="183" w:name="_Ref225763583"/>
      <w:r>
        <w:t>Vrahatis A G, Lazaros K, Kotsiantis S. Graph attention networks: a comprehensive review of methods and applications[J]. Future Internet, 2024, 16(9): 318.</w:t>
      </w:r>
      <w:bookmarkEnd w:id="183"/>
    </w:p>
    <w:p>
      <w:pPr>
        <w:pStyle w:val="38"/>
      </w:pPr>
      <w:bookmarkStart w:id="184" w:name="_Ref225763610"/>
      <w:r>
        <w:t>Ying C, Cai T, Luo S, et al. Do transformers really perform badly for graph representation?[J]. Advances in neural information processing systems, 2021, 34: 28877-28888.</w:t>
      </w:r>
      <w:bookmarkEnd w:id="184"/>
    </w:p>
    <w:p>
      <w:pPr>
        <w:pStyle w:val="38"/>
      </w:pPr>
      <w:r>
        <w:t>Vaswani A, Shazeer N, Parmar N, Uszkoreit J, Jones L, Gomez A N, Kaiser L, Polosukhin I. Attention is all you need[C]//Advances in Neural Information Processing Systems. 2017, 30: 5998-6008.</w:t>
      </w:r>
    </w:p>
    <w:p>
      <w:pPr>
        <w:pStyle w:val="38"/>
      </w:pPr>
      <w:bookmarkStart w:id="185" w:name="_Ref225763747"/>
      <w:r>
        <w:t>Agarap A F. Deep learning using rectified linear units (relu)[J]. arXiv preprint arXiv:1803.08375, 2018.</w:t>
      </w:r>
      <w:bookmarkEnd w:id="185"/>
    </w:p>
    <w:p>
      <w:pPr>
        <w:pStyle w:val="38"/>
      </w:pPr>
      <w:bookmarkStart w:id="186" w:name="_Ref225763766"/>
      <w:r>
        <w:t>Hu E J, Shen Y, Wallis P, et al. Lora: Low-rank adaptation of large language models[J]. Iclr, 2022, 1(2): 3.</w:t>
      </w:r>
      <w:bookmarkEnd w:id="186"/>
    </w:p>
    <w:p>
      <w:pPr>
        <w:pStyle w:val="38"/>
      </w:pPr>
      <w:bookmarkStart w:id="187" w:name="_Ref225763788"/>
      <w:r>
        <w:rPr>
          <w:rFonts w:hint="eastAsia"/>
        </w:rPr>
        <w:t>Mao Y, Ge Y, Fan Y, et al. A survey on lora of large language models[J]. Frontiers of Computer Science, 2025, 19(7): 197605.</w:t>
      </w:r>
      <w:bookmarkEnd w:id="187"/>
    </w:p>
    <w:p>
      <w:pPr>
        <w:pStyle w:val="38"/>
      </w:pPr>
      <w:bookmarkStart w:id="188" w:name="_Ref225763817"/>
      <w:r>
        <w:t>Wei J, Wang X, Schuurmans D, et al. Chain-of-thought prompting elicits reasoning in large language models[J]. Advances in neural information processing systems, 2022, 35: 24824-24837.</w:t>
      </w:r>
      <w:bookmarkEnd w:id="188"/>
    </w:p>
    <w:p>
      <w:pPr>
        <w:pStyle w:val="38"/>
      </w:pPr>
      <w:bookmarkStart w:id="189" w:name="_Ref225763837"/>
      <w:r>
        <w:t>Sprague Z, Yin F, Rodriguez J D, et al. To cot or not to cot? chain-of-thought helps mainly on math and symbolic reasoning[J]. arXiv preprint arXiv:2409.12183, 2024.</w:t>
      </w:r>
      <w:bookmarkEnd w:id="189"/>
    </w:p>
    <w:p>
      <w:pPr>
        <w:pStyle w:val="38"/>
      </w:pPr>
      <w:bookmarkStart w:id="190" w:name="_Ref225763888"/>
      <w:r>
        <w:t>Grattafiori A, Dubey A, Jauhri A, et al. The llama 3 herd of models[J]. arXiv preprint arXiv:2407.21783, 2024.</w:t>
      </w:r>
      <w:bookmarkEnd w:id="190"/>
    </w:p>
    <w:p>
      <w:pPr>
        <w:pStyle w:val="38"/>
      </w:pPr>
      <w:bookmarkStart w:id="191" w:name="_Ref225763909"/>
      <w:r>
        <w:t>Song Y, Zheng S, Niu Z, et al. Communicative representation learning on attributed molecular graphs[C]//29th International Joint Conference on Artificial Intelligence and the 17th Pacific Rim International Conference on Artificial Intelligence (IJCAI-PRICAI2020). International Joint Conferences on Artificial Intelligence Organization, 2020.</w:t>
      </w:r>
      <w:bookmarkEnd w:id="191"/>
    </w:p>
    <w:p>
      <w:pPr>
        <w:pStyle w:val="38"/>
      </w:pPr>
      <w:bookmarkStart w:id="192" w:name="_Ref225763929"/>
      <w:r>
        <w:t>Kojima T, Gu S S, Reid M, et al. Large language models are zero-shot reasoners[J]. Advances in neural information processing systems, 2022, 35: 22199-22213.</w:t>
      </w:r>
      <w:bookmarkEnd w:id="192"/>
    </w:p>
    <w:p>
      <w:pPr>
        <w:pStyle w:val="38"/>
      </w:pPr>
      <w:bookmarkStart w:id="193" w:name="_Ref225763964"/>
      <w:r>
        <w:t>Huang K, Fu T, Gao W, et al. Therapeutics data commons: Machine learning datasets and tasks for drug discovery and development[J]. arXiv preprint arXiv:2102.09548, 2021.</w:t>
      </w:r>
      <w:bookmarkEnd w:id="193"/>
    </w:p>
    <w:p>
      <w:pPr>
        <w:pStyle w:val="38"/>
      </w:pPr>
      <w:bookmarkStart w:id="194" w:name="_Ref225763996"/>
      <w:r>
        <w:t>Li Y, Wan Y, Liu X. Semi-supervised learning with graph convolutional networks based on hypergraph[J]. Neural Processing Letters, 2022, 54(4): 2629-2644.</w:t>
      </w:r>
      <w:bookmarkEnd w:id="194"/>
    </w:p>
    <w:p>
      <w:pPr>
        <w:pStyle w:val="38"/>
      </w:pPr>
      <w:bookmarkStart w:id="195" w:name="_Ref225764008"/>
      <w:r>
        <w:t>Xiong Z, Wang D, Liu X, et al. Pushing the boundaries of molecular representation for drug discovery with the graph attention mechanism[J]. Journal of medicinal chemistry, 2019, 63(16): 8749-8760.</w:t>
      </w:r>
      <w:bookmarkEnd w:id="195"/>
    </w:p>
    <w:p>
      <w:pPr>
        <w:pStyle w:val="38"/>
      </w:pPr>
      <w:r>
        <w:t>Duvenaud D K, Maclaurin D, Aguilera-Iparraguirre J, Gómez-Bombarelli R, Hirzel T, Aspuru-Guzik A, Adams R P. Convolutional networks on graphs for learning molecular fingerprints[C]//Advances in Neural Information Processing Systems. 2015, 28: 2224-2232.</w:t>
      </w:r>
    </w:p>
    <w:p>
      <w:pPr>
        <w:pStyle w:val="38"/>
      </w:pPr>
      <w:bookmarkStart w:id="196" w:name="_Ref225764081"/>
      <w:r>
        <w:t>Hirohara M, Saito Y, Koda Y, et al. Convolutional neural network based on SMILES representation of compounds for detecting chemical motif[J]. BMC bioinformatics, 2018, 19(Suppl 19): 526.</w:t>
      </w:r>
      <w:bookmarkEnd w:id="196"/>
    </w:p>
    <w:p>
      <w:pPr>
        <w:pStyle w:val="38"/>
      </w:pPr>
      <w:bookmarkStart w:id="197" w:name="_Ref225764226"/>
      <w:r>
        <w:t>Liu Y, Ott M, Goyal N, et al. Roberta: A robustly optimized bert pretraining approach[J]. arXiv preprint arXiv:1907.11692, 2019.</w:t>
      </w:r>
      <w:bookmarkEnd w:id="197"/>
    </w:p>
    <w:p>
      <w:pPr>
        <w:pStyle w:val="38"/>
      </w:pPr>
      <w:bookmarkStart w:id="198" w:name="_Ref225764254"/>
      <w:r>
        <w:t>Beltagy I, Lo K, Cohan A. SciBERT: A pretrained language model for scientific text[C]//Proceedings of the 2019 conference on empirical methods in natural language processing and the 9th international joint conference on natural language processing (EMNLP-IJCNLP). 2019: 3615-3620.</w:t>
      </w:r>
      <w:bookmarkEnd w:id="198"/>
    </w:p>
    <w:p>
      <w:pPr>
        <w:pStyle w:val="38"/>
      </w:pPr>
      <w:bookmarkStart w:id="199" w:name="_Ref225764280"/>
      <w:r>
        <w:t>Wu Z, Ramsundar B, Feinberg E N, et al. MoleculeNet: a benchmark for molecular machine learning[J]. Chemical science, 2018, 9(2): 513-530.</w:t>
      </w:r>
      <w:bookmarkEnd w:id="199"/>
    </w:p>
    <w:p>
      <w:pPr>
        <w:pStyle w:val="38"/>
      </w:pPr>
      <w:bookmarkStart w:id="200" w:name="_Ref225764307"/>
      <w:r>
        <w:t>Chen T, Kornblith S, Norouzi M, et al. A simple framework for contrastive learning of visual representations[C]//International conference on machine learning. PmLR, 2020: 1597-1607.</w:t>
      </w:r>
      <w:bookmarkEnd w:id="200"/>
    </w:p>
    <w:p>
      <w:pPr>
        <w:pStyle w:val="38"/>
      </w:pPr>
      <w:bookmarkStart w:id="201" w:name="_Ref225764327"/>
      <w:r>
        <w:t>Jaeger S, Fulle S, Turk S. Mol2vec: unsupervised machine learning approach with chemical intuition[J]. Journal of chemical information and modeling, 2018, 58(1): 27-35.</w:t>
      </w:r>
      <w:bookmarkEnd w:id="201"/>
    </w:p>
    <w:p>
      <w:pPr>
        <w:pStyle w:val="38"/>
      </w:pPr>
      <w:r>
        <w:t>Liu S, Demirel M F, Liang Y. N-Gram graph: Simple unsupervised representation for graphs, with applications to molecules[C]//Advances in Neural Information Processing Systems. 2019, 32: 8464-8476.</w:t>
      </w:r>
    </w:p>
    <w:p>
      <w:pPr>
        <w:pStyle w:val="38"/>
      </w:pPr>
      <w:bookmarkStart w:id="202" w:name="_Ref225764351"/>
      <w:r>
        <w:t>Xu K, Hu W, Leskovec J, et al. How powerful are graph neural networks?[J]. arXiv preprint arXiv:1810.00826, 2018.</w:t>
      </w:r>
      <w:bookmarkEnd w:id="202"/>
    </w:p>
    <w:p>
      <w:pPr>
        <w:pStyle w:val="38"/>
      </w:pPr>
      <w:bookmarkStart w:id="203" w:name="_Ref225764396"/>
      <w:r>
        <w:t>Yang K, Swanson K, Jin W, et al. Analyzing learned molecular representations for property prediction[J]. Journal of chemical information and modeling, 2019, 59(8): 3370-3388.</w:t>
      </w:r>
      <w:bookmarkEnd w:id="203"/>
    </w:p>
    <w:p>
      <w:pPr>
        <w:pStyle w:val="38"/>
      </w:pPr>
      <w:bookmarkStart w:id="204" w:name="_Ref225764425"/>
      <w:r>
        <w:t>Rong Y, Bian Y, Xu T, et al. Self-supervised graph transformer on large-scale molecular data[J]. Advances in neural information processing systems, 2020, 33: 12559-12571.</w:t>
      </w:r>
      <w:bookmarkEnd w:id="204"/>
    </w:p>
    <w:p>
      <w:pPr>
        <w:pStyle w:val="38"/>
      </w:pPr>
      <w:r>
        <w:t>Schütt K T, Kindermans P J, Sauceda H E, Chmiela S, Tkatchenko A, Müller K R. SchNet: A continuous-filter convolutional neural network for modeling quantum interactions[C]//Advances in Neural Information Processing Systems. 2017, 30: 992-1002.</w:t>
      </w:r>
    </w:p>
    <w:p>
      <w:pPr>
        <w:pStyle w:val="38"/>
      </w:pPr>
      <w:bookmarkStart w:id="205" w:name="_Ref225764488"/>
      <w:r>
        <w:t>Su B, Du D Y Z, Zhou Y, et al. A molecular multimodal foundation model associating molecule graphs with natural language. arXiv[J]. arXiv preprint arXiv:2209.05481, 2022, 10.</w:t>
      </w:r>
      <w:bookmarkEnd w:id="205"/>
    </w:p>
    <w:p>
      <w:pPr>
        <w:pStyle w:val="38"/>
      </w:pPr>
      <w:bookmarkStart w:id="206" w:name="_Ref225764510"/>
      <w:r>
        <w:rPr>
          <w:rFonts w:hint="eastAsia"/>
        </w:rPr>
        <w:t>Zeng Z, Yao Y, Liu Z, et al. A deep-learning system bridging molecule structure and biomedical text with comprehension comparable to human professionals[J]. Nature communications, 2022, 13(1): 862.</w:t>
      </w:r>
      <w:bookmarkEnd w:id="206"/>
    </w:p>
    <w:p/>
    <w:p>
      <w:pPr>
        <w:ind w:firstLine="0" w:firstLineChars="0"/>
        <w:sectPr>
          <w:headerReference r:id="rId26" w:type="default"/>
          <w:headerReference r:id="rId27" w:type="even"/>
          <w:pgSz w:w="11906" w:h="16838"/>
          <w:pgMar w:top="1418" w:right="1134" w:bottom="1134" w:left="1418" w:header="851" w:footer="851" w:gutter="0"/>
          <w:cols w:space="425" w:num="1"/>
          <w:docGrid w:type="lines" w:linePitch="326" w:charSpace="0"/>
        </w:sectPr>
      </w:pPr>
    </w:p>
    <w:p>
      <w:pPr>
        <w:pStyle w:val="2"/>
        <w:numPr>
          <w:ilvl w:val="0"/>
          <w:numId w:val="0"/>
        </w:numPr>
      </w:pPr>
      <w:bookmarkStart w:id="207" w:name="_Toc229423379"/>
      <w:r>
        <w:rPr>
          <w:rFonts w:hint="eastAsia"/>
        </w:rPr>
        <w:t>致谢</w:t>
      </w:r>
      <w:bookmarkEnd w:id="207"/>
    </w:p>
    <w:p>
      <w:r>
        <w:rPr>
          <w:rFonts w:hint="eastAsia"/>
        </w:rPr>
        <w:t>三年弹指一挥间，我的研究生生涯已近尾声。</w:t>
      </w:r>
      <w:r>
        <w:t>二十年求学路，始于2006，终于2026。作为学生生涯的最后一个篇章，研究生阶段</w:t>
      </w:r>
      <w:r>
        <w:rPr>
          <w:rFonts w:hint="eastAsia"/>
        </w:rPr>
        <w:t>不仅培养了我学术素养，也使我拥有面对未知时独立思考的人格。回首人生中这一宝贵的时光，心中满怀感激。老师的谆谆教导，同门的无私帮助仍然历历在目，所以在此我向他们表示最诚挚的感谢。</w:t>
      </w:r>
    </w:p>
    <w:p>
      <w:r>
        <w:rPr>
          <w:rFonts w:hint="eastAsia"/>
        </w:rPr>
        <w:t>首先，向我的导师牛云云教授致以崇高的敬意和诚挚的感谢。在学术上，您严谨治学、精益求精的态度是我永远的标杆。</w:t>
      </w:r>
      <w:r>
        <w:t>在生活中，您的关怀与指引，让我如沐春风。</w:t>
      </w:r>
      <w:r>
        <w:rPr>
          <w:rFonts w:hint="eastAsia"/>
        </w:rPr>
        <w:t>您不仅教会我如何做科研，更教会我如何为人处世。这些宝贵的东西也为我日后的道路和生活奠定了基础。在此，祝老师身体健康、青春永驻、工作顺利、阖家欢乐！</w:t>
      </w:r>
    </w:p>
    <w:p>
      <w:r>
        <w:rPr>
          <w:rFonts w:hint="eastAsia"/>
        </w:rPr>
        <w:t>其次，我要感谢我的家人。二十年的求学路，他们给了我最强大的托举。从山沟中的小学到县城的中学，再到省城的大学，最后到首都的研究生，是他们在背后默默无私为我付出。感谢我的父母，</w:t>
      </w:r>
      <w:r>
        <w:t>每当我遇到困难与挫折，是你们给予我无穷的力量与温暖，让我得以心无旁骛地成长与学习。二十</w:t>
      </w:r>
      <w:r>
        <w:rPr>
          <w:rFonts w:hint="eastAsia"/>
        </w:rPr>
        <w:t>余</w:t>
      </w:r>
      <w:r>
        <w:t>载遮风挡雨，正是你们的无私托举，才成就了我今日的长大成人与学业有成。</w:t>
      </w:r>
    </w:p>
    <w:p>
      <w:r>
        <w:rPr>
          <w:rFonts w:hint="eastAsia"/>
        </w:rPr>
        <w:t>最后，我要感谢我的同门同学以及舍友。在研究生期间，你们给了我最真挚的师门友谊情。我们共同进步和成长，一起面对挑战也一起把酒言欢。大家亦师亦友、互相帮助，正是这种和谐的氛围</w:t>
      </w:r>
      <w:r>
        <w:t>温润了</w:t>
      </w:r>
      <w:r>
        <w:rPr>
          <w:rFonts w:hint="eastAsia"/>
        </w:rPr>
        <w:t>我读研的时光，那些难忘的瞬间我会一直记得。</w:t>
      </w:r>
    </w:p>
    <w:p>
      <w:r>
        <w:rPr>
          <w:rFonts w:hint="eastAsia"/>
        </w:rPr>
        <w:t>言</w:t>
      </w:r>
      <w:r>
        <w:t>辞有尽，感激无期。行文至此，二十年的学生</w:t>
      </w:r>
      <w:r>
        <w:rPr>
          <w:rFonts w:hint="eastAsia"/>
        </w:rPr>
        <w:t>生涯</w:t>
      </w:r>
      <w:r>
        <w:t>即将</w:t>
      </w:r>
      <w:r>
        <w:rPr>
          <w:rFonts w:hint="eastAsia"/>
        </w:rPr>
        <w:t>结束</w:t>
      </w:r>
      <w:r>
        <w:t>，但前方的探索永无止境。</w:t>
      </w:r>
      <w:r>
        <w:rPr>
          <w:rFonts w:hint="eastAsia"/>
        </w:rPr>
        <w:t>再次向所有给予我关心和帮助的人表示诚挚的感谢，</w:t>
      </w:r>
      <w:r>
        <w:t>我将不忘初心，砥砺前行</w:t>
      </w:r>
      <w:r>
        <w:rPr>
          <w:rFonts w:hint="eastAsia"/>
        </w:rPr>
        <w:t>！</w:t>
      </w:r>
    </w:p>
    <w:p/>
    <w:p>
      <w:pPr>
        <w:sectPr>
          <w:headerReference r:id="rId28" w:type="even"/>
          <w:pgSz w:w="11906" w:h="16838"/>
          <w:pgMar w:top="1418" w:right="1134" w:bottom="1134" w:left="1418" w:header="851" w:footer="851" w:gutter="0"/>
          <w:cols w:space="425" w:num="1"/>
          <w:docGrid w:type="lines" w:linePitch="326" w:charSpace="0"/>
        </w:sectPr>
      </w:pPr>
    </w:p>
    <w:p>
      <w:pPr>
        <w:pStyle w:val="2"/>
        <w:numPr>
          <w:ilvl w:val="0"/>
          <w:numId w:val="0"/>
        </w:numPr>
      </w:pPr>
      <w:bookmarkStart w:id="208" w:name="_Toc229423380"/>
      <w:r>
        <w:rPr>
          <w:rFonts w:hint="eastAsia"/>
        </w:rPr>
        <w:t>附录</w:t>
      </w:r>
      <w:bookmarkEnd w:id="208"/>
    </w:p>
    <w:p>
      <w:pPr>
        <w:ind w:firstLine="0" w:firstLineChars="0"/>
        <w:rPr>
          <w:rFonts w:hint="eastAsia" w:ascii="黑体" w:hAnsi="黑体" w:eastAsia="黑体"/>
          <w:sz w:val="30"/>
          <w:szCs w:val="30"/>
        </w:rPr>
      </w:pPr>
      <w:r>
        <w:rPr>
          <w:rFonts w:hint="eastAsia" w:ascii="黑体" w:hAnsi="黑体" w:eastAsia="黑体"/>
          <w:sz w:val="30"/>
          <w:szCs w:val="30"/>
        </w:rPr>
        <w:t>一、个人简介</w:t>
      </w:r>
    </w:p>
    <w:p>
      <w:r>
        <w:rPr>
          <w:rFonts w:hint="eastAsia"/>
        </w:rPr>
        <w:t>范帅尧，男，2001年8月5日出生，河北省沙河市人。</w:t>
      </w:r>
    </w:p>
    <w:p>
      <w:r>
        <w:rPr>
          <w:rFonts w:hint="eastAsia"/>
        </w:rPr>
        <w:t>2019年6月至2023年9月于河北地质大学信息工程学院攻读学士学位，专业为软件工程；2023年9月至2026年6月于中国地质大学(北京)人工智能学院攻读硕士学位，专业为计算机技术，方向为生物信息学。</w:t>
      </w:r>
    </w:p>
    <w:p>
      <w:pPr>
        <w:ind w:firstLine="0" w:firstLineChars="0"/>
        <w:rPr>
          <w:rFonts w:hint="eastAsia" w:ascii="黑体" w:hAnsi="黑体" w:eastAsia="黑体"/>
          <w:sz w:val="30"/>
          <w:szCs w:val="30"/>
        </w:rPr>
      </w:pPr>
      <w:r>
        <w:rPr>
          <w:rFonts w:hint="eastAsia" w:ascii="黑体" w:hAnsi="黑体" w:eastAsia="黑体"/>
          <w:sz w:val="30"/>
          <w:szCs w:val="30"/>
        </w:rPr>
        <w:t>二、教育背景</w:t>
      </w:r>
    </w:p>
    <w:p>
      <w:r>
        <w:rPr>
          <w:rFonts w:hint="eastAsia"/>
        </w:rPr>
        <w:t>2023.09-2026.06：硕士，中国地质大学（北京），人工智能学院。</w:t>
      </w:r>
    </w:p>
    <w:p>
      <w:r>
        <w:rPr>
          <w:rFonts w:hint="eastAsia"/>
        </w:rPr>
        <w:t>2019.09-2023.06：本科，河北地质大学，信息工程学院。</w:t>
      </w:r>
    </w:p>
    <w:p>
      <w:pPr>
        <w:ind w:firstLine="0" w:firstLineChars="0"/>
        <w:rPr>
          <w:rFonts w:hint="eastAsia" w:ascii="黑体" w:hAnsi="黑体" w:eastAsia="黑体"/>
          <w:sz w:val="30"/>
          <w:szCs w:val="30"/>
        </w:rPr>
      </w:pPr>
      <w:r>
        <w:rPr>
          <w:rFonts w:hint="eastAsia" w:ascii="黑体" w:hAnsi="黑体" w:eastAsia="黑体"/>
          <w:sz w:val="30"/>
          <w:szCs w:val="30"/>
        </w:rPr>
        <w:t>三、硕士期间主要研究成果</w:t>
      </w:r>
    </w:p>
    <w:p>
      <w:r>
        <w:rPr>
          <w:rFonts w:hint="eastAsia"/>
        </w:rPr>
        <w:t>软件著作权：药物分子性质预测分析系统V1.0。</w:t>
      </w:r>
    </w:p>
    <w:sectPr>
      <w:headerReference r:id="rId29" w:type="even"/>
      <w:pgSz w:w="11906" w:h="16838"/>
      <w:pgMar w:top="1418" w:right="1134" w:bottom="1134" w:left="1418" w:header="851" w:footer="851" w:gutter="0"/>
      <w:cols w:space="425" w:num="1"/>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6-05-11T20:47:56Z" w:initials="A">
    <w:p w14:paraId="2CC62D54">
      <w:pPr>
        <w:pStyle w:val="12"/>
      </w:pPr>
      <w:r>
        <w:t>检测结果：</w:t>
      </w:r>
    </w:p>
    <w:p w14:paraId="5D1A5D64">
      <w:pPr>
        <w:pStyle w:val="12"/>
      </w:pPr>
      <w:r>
        <w:t>没有发现问题，合格</w:t>
      </w:r>
    </w:p>
    <w:p w14:paraId="7D630DF4">
      <w:pPr>
        <w:pStyle w:val="12"/>
      </w:pPr>
      <w:r>
        <w:t>正文共5章（包含绪论和结论）,如果此数据与实际不符合，可能存在大量误报，请核对章标题格式</w:t>
      </w:r>
    </w:p>
    <w:p w14:paraId="264E334F">
      <w:pPr>
        <w:pStyle w:val="12"/>
      </w:pPr>
      <w:r>
        <w:t>全文页数：81,字符数：41598，中文字符数：37097，英文字符数：4501，节数：10，段落数：1634</w:t>
      </w:r>
    </w:p>
    <w:p w14:paraId="72376AB8">
      <w:pPr>
        <w:pStyle w:val="12"/>
      </w:pPr>
      <w:r>
        <w:t>中文摘要字符数：928,关键词数：4，正文字符数：36584，首章字符数：6347，末章字符数：1452，参考文献条数：76，致谢字符数：651</w:t>
      </w:r>
    </w:p>
    <w:p w14:paraId="0CB916B6">
      <w:pPr>
        <w:pStyle w:val="12"/>
      </w:pPr>
      <w:r>
        <w:t>检测编号：18355436</w:t>
      </w:r>
    </w:p>
    <w:p w14:paraId="4FDB02DC">
      <w:pPr>
        <w:pStyle w:val="12"/>
      </w:pPr>
      <w:r>
        <w:t>检测模板：《中国地质大学（北京）专业硕士学位论文模板》</w:t>
      </w:r>
    </w:p>
    <w:p w14:paraId="636E72D7">
      <w:pPr>
        <w:pStyle w:val="12"/>
      </w:pPr>
      <w:r>
        <w:t>说明：</w:t>
      </w:r>
    </w:p>
    <w:p w14:paraId="389C5EB7">
      <w:pPr>
        <w:pStyle w:val="12"/>
      </w:pPr>
      <w:r>
        <w:t>1.请确保一级标题编号模式是1    字号：小三、对齐方式：居中对齐，并重新提交检测</w:t>
      </w:r>
    </w:p>
    <w:p w14:paraId="4ABC6EDD">
      <w:pPr>
        <w:pStyle w:val="12"/>
      </w:pPr>
      <w:r>
        <w:t>2.图片请使用“嵌入型”环绕方式，表格为无环绕方式</w:t>
      </w:r>
    </w:p>
    <w:p w14:paraId="17DC1BED">
      <w:pPr>
        <w:pStyle w:val="12"/>
      </w:pPr>
      <w:r>
        <w:t>3.提醒不计算错误，如机器人误报请忽略</w:t>
      </w:r>
    </w:p>
    <w:p w14:paraId="16B03BB4">
      <w:pPr>
        <w:pStyle w:val="12"/>
      </w:pPr>
      <w:r>
        <w:t>如对检测结果有疑问在检测报告-&gt;检测报告咨询处提交问题；QQ仅解答不能登录的问题。</w:t>
      </w:r>
    </w:p>
    <w:p w14:paraId="5CB649E6">
      <w:pPr>
        <w:pStyle w:val="12"/>
      </w:pPr>
    </w:p>
  </w:comment>
  <w:comment w:id="1" w:author="Administrator" w:date="2026-05-11T20:45:12Z" w:initials="A">
    <w:p w14:paraId="7EDA741C">
      <w:pPr>
        <w:pStyle w:val="12"/>
      </w:pPr>
      <w:r>
        <w:t>9-22-三级目录项4.1.4 -提醒-目录项页码与实际所在页码不一致,要求41,目录项中的页码是42</w:t>
      </w:r>
    </w:p>
  </w:comment>
  <w:comment w:id="2" w:author="Administrator" w:date="2026-05-11T20:45:10Z" w:initials="A">
    <w:p w14:paraId="47E16A7F">
      <w:pPr>
        <w:pStyle w:val="12"/>
      </w:pPr>
      <w:r>
        <w:t>8-21-三级目录项2.2.2 -提醒-目录项页码与实际所在页码不一致,要求11,目录项中的页码是12</w:t>
      </w:r>
    </w:p>
  </w:comment>
  <w:comment w:id="3" w:author="Administrator" w:date="2026-05-11T20:46:19Z" w:initials="A">
    <w:p w14:paraId="7B5442FC">
      <w:pPr>
        <w:pStyle w:val="12"/>
      </w:pPr>
      <w:r>
        <w:t>21-12-正文三级标题-提醒-标题通常不应是一页的最后一行</w:t>
      </w:r>
    </w:p>
  </w:comment>
  <w:comment w:id="4" w:author="Administrator" w:date="2026-05-11T20:47:00Z" w:initials="A">
    <w:p w14:paraId="50D76AFF">
      <w:pPr>
        <w:pStyle w:val="12"/>
      </w:pPr>
      <w:r>
        <w:t>51-30-正文三级标题-提醒-标题通常不应是一页的最后一行</w:t>
      </w:r>
    </w:p>
  </w:comment>
  <w:comment w:id="5" w:author="Administrator" w:date="2026-05-11T20:47:54Z" w:initials="A">
    <w:p w14:paraId="730143F9">
      <w:pPr>
        <w:pStyle w:val="12"/>
      </w:pPr>
      <w:r>
        <w:t>提醒-第53页：内嵌型图片没有找到图题</w:t>
      </w:r>
    </w:p>
  </w:comment>
  <w:comment w:id="6" w:author="Administrator" w:date="2026-05-11T20:47:05Z" w:initials="A">
    <w:p w14:paraId="6636294C">
      <w:pPr>
        <w:pStyle w:val="12"/>
      </w:pPr>
      <w:r>
        <w:t>57-6-正文-提醒-请保持段落连续！勿在页末留下大片空白！</w:t>
      </w:r>
    </w:p>
  </w:comment>
  <w:comment w:id="7" w:author="Administrator" w:date="2026-05-11T20:47:17Z" w:initials="A">
    <w:p w14:paraId="1F135248">
      <w:pPr>
        <w:pStyle w:val="12"/>
      </w:pPr>
      <w:r>
        <w:t>62-12-正文二级标题-提醒-标题通常不应是一页的最后一行</w:t>
      </w:r>
    </w:p>
  </w:comment>
  <w:comment w:id="8" w:author="Administrator" w:date="2026-05-11T20:47:23Z" w:initials="A">
    <w:p w14:paraId="0D66595F">
      <w:pPr>
        <w:pStyle w:val="12"/>
      </w:pPr>
      <w:r>
        <w:t>65-4-正文文本-提醒-请核实此处空格是否必要</w:t>
      </w:r>
    </w:p>
  </w:comment>
  <w:comment w:id="9" w:author="Administrator" w:date="2026-05-11T20:47:31Z" w:initials="A">
    <w:p w14:paraId="47D039C0">
      <w:pPr>
        <w:pStyle w:val="12"/>
      </w:pPr>
      <w:r>
        <w:t>第75页第4段-[17] Gao..., 2026.</w:t>
      </w:r>
    </w:p>
    <w:p w14:paraId="257C5EF5">
      <w:pPr>
        <w:pStyle w:val="12"/>
      </w:pPr>
      <w:r>
        <w:t>-提醒-连续出版物的析出文献应有页码（格式为：作者．析出文献题名[类型标识/载体标识]．连续出版物题名：其他题名信息，年，卷(期)：页码）</w:t>
      </w:r>
    </w:p>
  </w:comment>
  <w:comment w:id="10" w:author="Administrator" w:date="2026-05-11T20:47:31Z" w:initials="A">
    <w:p w14:paraId="3E957E34">
      <w:pPr>
        <w:pStyle w:val="12"/>
      </w:pPr>
      <w:r>
        <w:t>第75页第6段-[19] Zho..., 2025.</w:t>
      </w:r>
    </w:p>
    <w:p w14:paraId="515E6F87">
      <w:pPr>
        <w:pStyle w:val="12"/>
      </w:pPr>
      <w:r>
        <w:t>-提醒-连续出版物的析出文献应有页码（格式为：作者．析出文献题名[类型标识/载体标识]．连续出版物题名：其他题名信息，年，卷(期)：页码）</w:t>
      </w:r>
    </w:p>
  </w:comment>
  <w:comment w:id="11" w:author="Administrator" w:date="2026-05-11T20:47:32Z" w:initials="A">
    <w:p w14:paraId="391B2CFF">
      <w:pPr>
        <w:pStyle w:val="12"/>
      </w:pPr>
      <w:r>
        <w:t>第75页第11段-[24] Wan...baf629.</w:t>
      </w:r>
    </w:p>
    <w:p w14:paraId="4D28107D">
      <w:pPr>
        <w:pStyle w:val="12"/>
      </w:pPr>
      <w:r>
        <w:t>-提醒-年卷期项:2025, 26(6): bbaf629有误（可参阅GB/T7714的4.3和4.4小节）</w:t>
      </w:r>
    </w:p>
    <w:p w14:paraId="71F96CE0">
      <w:pPr>
        <w:pStyle w:val="12"/>
      </w:pPr>
      <w:r>
        <w:t>连续出版物的析出文献应有页码（格式为：作者．析出文献题名[类型标识/载体标识]．连续出版物题名：其他题名信息，年，卷(期)：页码）</w:t>
      </w:r>
    </w:p>
  </w:comment>
  <w:comment w:id="12" w:author="Administrator" w:date="2026-05-11T20:47:33Z" w:initials="A">
    <w:p w14:paraId="32CF459F">
      <w:pPr>
        <w:pStyle w:val="12"/>
      </w:pPr>
      <w:r>
        <w:t>第75页第13段-[26] Li ...taf466.</w:t>
      </w:r>
    </w:p>
    <w:p w14:paraId="326A4009">
      <w:pPr>
        <w:pStyle w:val="12"/>
      </w:pPr>
      <w:r>
        <w:t>-提醒-年卷期项:2025, 41(9): btaf466有误（可参阅GB/T7714的4.3和4.4小节）</w:t>
      </w:r>
    </w:p>
    <w:p w14:paraId="720503CC">
      <w:pPr>
        <w:pStyle w:val="12"/>
      </w:pPr>
      <w:r>
        <w:t>连续出版物的析出文献应有页码（格式为：作者．析出文献题名[类型标识/载体标识]．连续出版物题名：其他题名信息，年，卷(期)：页码）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CB649E6" w15:done="0"/>
  <w15:commentEx w15:paraId="7EDA741C" w15:done="0"/>
  <w15:commentEx w15:paraId="47E16A7F" w15:done="0"/>
  <w15:commentEx w15:paraId="7B5442FC" w15:done="0"/>
  <w15:commentEx w15:paraId="50D76AFF" w15:done="0"/>
  <w15:commentEx w15:paraId="730143F9" w15:done="0"/>
  <w15:commentEx w15:paraId="6636294C" w15:done="0"/>
  <w15:commentEx w15:paraId="1F135248" w15:done="0"/>
  <w15:commentEx w15:paraId="0D66595F" w15:done="0"/>
  <w15:commentEx w15:paraId="257C5EF5" w15:done="0"/>
  <w15:commentEx w15:paraId="515E6F87" w15:done="0"/>
  <w15:commentEx w15:paraId="71F96CE0" w15:done="0"/>
  <w15:commentEx w15:paraId="720503C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
    <w:altName w:val="Times New Roman"/>
    <w:panose1 w:val="00000000000000000000"/>
    <w:charset w:val="00"/>
    <w:family w:val="auto"/>
    <w:pitch w:val="default"/>
    <w:sig w:usb0="00000000" w:usb1="00000000" w:usb2="00000000" w:usb3="00000000" w:csb0="00000001" w:csb1="00000000"/>
  </w:font>
  <w:font w:name="Cambria Math">
    <w:panose1 w:val="02040503050406030204"/>
    <w:charset w:val="00"/>
    <w:family w:val="roman"/>
    <w:pitch w:val="default"/>
    <w:sig w:usb0="E00002FF" w:usb1="420024FF" w:usb2="00000000" w:usb3="00000000" w:csb0="2000019F" w:csb1="00000000"/>
  </w:font>
  <w:font w:name="Cambria">
    <w:panose1 w:val="02040503050406030204"/>
    <w:charset w:val="00"/>
    <w:family w:val="roman"/>
    <w:pitch w:val="default"/>
    <w:sig w:usb0="E00002FF" w:usb1="400004FF" w:usb2="00000000" w:usb3="00000000" w:csb0="2000019F" w:csb1="00000000"/>
  </w:font>
  <w:font w:name="微软雅黑">
    <w:panose1 w:val="020B0503020204020204"/>
    <w:charset w:val="86"/>
    <w:family w:val="auto"/>
    <w:pitch w:val="default"/>
    <w:sig w:usb0="A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5946511"/>
      <w:docPartObj>
        <w:docPartGallery w:val="AutoText"/>
      </w:docPartObj>
    </w:sdtPr>
    <w:sdtContent>
      <w:p>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75559290"/>
      <w:docPartObj>
        <w:docPartGallery w:val="AutoText"/>
      </w:docPartObj>
    </w:sdtPr>
    <w:sdtContent>
      <w:p>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1300239"/>
      <w:docPartObj>
        <w:docPartGallery w:val="AutoText"/>
      </w:docPartObj>
    </w:sdtPr>
    <w:sdtContent>
      <w:p>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8596704"/>
      <w:docPartObj>
        <w:docPartGallery w:val="AutoText"/>
      </w:docPartObj>
    </w:sdtPr>
    <w:sdtContent>
      <w:p>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1</w:t>
    </w:r>
    <w:r>
      <w:rPr>
        <w:rFonts w:hint="eastAsia"/>
      </w:rPr>
      <w:t xml:space="preserve"> </w:t>
    </w:r>
    <w:r>
      <w:t>引言</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2</w:t>
    </w:r>
    <w:r>
      <w:rPr>
        <w:rFonts w:hint="eastAsia"/>
      </w:rPr>
      <w:t xml:space="preserve"> </w:t>
    </w:r>
    <w:r>
      <w:t>相关理论基础</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3</w:t>
    </w:r>
    <w:r>
      <w:rPr>
        <w:rFonts w:hint="eastAsia"/>
      </w:rPr>
      <w:t xml:space="preserve"> </w:t>
    </w:r>
    <w:r>
      <w:t>基于思维链增强与消息传递的分子性质预测方法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4</w:t>
    </w:r>
    <w:r>
      <w:rPr>
        <w:rFonts w:hint="eastAsia"/>
      </w:rPr>
      <w:t xml:space="preserve"> </w:t>
    </w:r>
    <w:r>
      <w:t>基于知识增</w:t>
    </w:r>
    <w:r>
      <w:rPr>
        <w:rFonts w:hint="eastAsia"/>
      </w:rPr>
      <w:t>强</w:t>
    </w:r>
    <w:r>
      <w:t>与图对齐的分子性质预测方法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5 总结与展望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参考文献</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致谢</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82725A"/>
    <w:multiLevelType w:val="multilevel"/>
    <w:tmpl w:val="CF82725A"/>
    <w:lvl w:ilvl="0" w:tentative="0">
      <w:start w:val="1"/>
      <w:numFmt w:val="decimal"/>
      <w:suff w:val="nothing"/>
      <w:lvlText w:val="%1、"/>
      <w:lvlJc w:val="right"/>
      <w:pPr>
        <w:tabs>
          <w:tab w:val="left" w:pos="0"/>
        </w:tabs>
        <w:ind w:left="432" w:hanging="432"/>
      </w:pPr>
      <w:rPr>
        <w:rFonts w:hint="default" w:ascii="黑体" w:hAnsi="黑体" w:eastAsia="黑体" w:cs="黑体"/>
        <w:sz w:val="28"/>
        <w:szCs w:val="28"/>
      </w:rPr>
    </w:lvl>
    <w:lvl w:ilvl="1" w:tentative="0">
      <w:start w:val="1"/>
      <w:numFmt w:val="decimal"/>
      <w:isLgl/>
      <w:suff w:val="nothing"/>
      <w:lvlText w:val="%1.%2、"/>
      <w:lvlJc w:val="left"/>
      <w:pPr>
        <w:tabs>
          <w:tab w:val="left" w:pos="0"/>
        </w:tabs>
        <w:ind w:left="420" w:hanging="420"/>
      </w:pPr>
      <w:rPr>
        <w:rFonts w:hint="default" w:ascii="黑体" w:hAnsi="黑体" w:eastAsia="黑体" w:cs="黑体"/>
        <w:sz w:val="24"/>
        <w:szCs w:val="24"/>
      </w:rPr>
    </w:lvl>
    <w:lvl w:ilvl="2" w:tentative="0">
      <w:start w:val="1"/>
      <w:numFmt w:val="decimal"/>
      <w:isLgl/>
      <w:lvlText w:val="%1.%2.%3 "/>
      <w:lvlJc w:val="left"/>
      <w:pPr>
        <w:tabs>
          <w:tab w:val="left" w:pos="0"/>
        </w:tabs>
        <w:ind w:left="720" w:hanging="720"/>
      </w:pPr>
      <w:rPr>
        <w:rFonts w:hint="eastAsia" w:ascii="宋体" w:hAnsi="宋体" w:eastAsia="宋体" w:cs="宋体"/>
      </w:rPr>
    </w:lvl>
    <w:lvl w:ilvl="3" w:tentative="0">
      <w:start w:val="1"/>
      <w:numFmt w:val="decimal"/>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1F3E4881"/>
    <w:multiLevelType w:val="multilevel"/>
    <w:tmpl w:val="1F3E4881"/>
    <w:lvl w:ilvl="0" w:tentative="0">
      <w:start w:val="1"/>
      <w:numFmt w:val="chineseCountingThousand"/>
      <w:pStyle w:val="38"/>
      <w:isLgl/>
      <w:suff w:val="space"/>
      <w:lvlText w:val="[%1]"/>
      <w:lvlJc w:val="left"/>
      <w:pPr>
        <w:ind w:left="0" w:firstLine="0"/>
      </w:pPr>
      <w:rPr>
        <w:rFonts w:hint="default" w:ascii="Times New Roman" w:hAnsi="Times New Roman" w:eastAsia="宋体"/>
        <w:b w:val="0"/>
        <w:i w:val="0"/>
        <w:sz w:val="21"/>
      </w:rPr>
    </w:lvl>
    <w:lvl w:ilvl="1" w:tentative="0">
      <w:start w:val="1"/>
      <w:numFmt w:val="chineseCountingThousand"/>
      <w:suff w:val="space"/>
      <w:lvlText w:val="（%2）"/>
      <w:lvlJc w:val="left"/>
      <w:pPr>
        <w:ind w:left="0" w:firstLine="0"/>
      </w:pPr>
      <w:rPr>
        <w:rFonts w:hint="default" w:ascii="Times New Roman" w:hAnsi="Times New Roman" w:eastAsia="黑体"/>
        <w:b w:val="0"/>
        <w:i w:val="0"/>
        <w:sz w:val="30"/>
      </w:rPr>
    </w:lvl>
    <w:lvl w:ilvl="2" w:tentative="0">
      <w:start w:val="1"/>
      <w:numFmt w:val="decimal"/>
      <w:suff w:val="space"/>
      <w:lvlText w:val="%3."/>
      <w:lvlJc w:val="left"/>
      <w:pPr>
        <w:ind w:left="0" w:firstLine="0"/>
      </w:pPr>
      <w:rPr>
        <w:rFonts w:hint="default" w:ascii="Times New Roman" w:hAnsi="Times New Roman" w:eastAsia="黑体"/>
        <w:b w:val="0"/>
        <w:i w:val="0"/>
        <w:sz w:val="28"/>
      </w:rPr>
    </w:lvl>
    <w:lvl w:ilvl="3" w:tentative="0">
      <w:start w:val="1"/>
      <w:numFmt w:val="decimal"/>
      <w:isLgl/>
      <w:lvlText w:val="%1.%2.%3.%4"/>
      <w:lvlJc w:val="left"/>
      <w:pPr>
        <w:tabs>
          <w:tab w:val="left" w:pos="0"/>
        </w:tabs>
        <w:ind w:left="0" w:firstLine="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3139FD21"/>
    <w:multiLevelType w:val="multilevel"/>
    <w:tmpl w:val="3139FD21"/>
    <w:lvl w:ilvl="0" w:tentative="0">
      <w:start w:val="1"/>
      <w:numFmt w:val="decimal"/>
      <w:pStyle w:val="34"/>
      <w:suff w:val="space"/>
      <w:lvlText w:val="%1、"/>
      <w:lvlJc w:val="left"/>
      <w:pPr>
        <w:tabs>
          <w:tab w:val="left" w:pos="420"/>
        </w:tabs>
        <w:ind w:left="0" w:firstLine="0"/>
      </w:pPr>
      <w:rPr>
        <w:rFonts w:hint="default"/>
      </w:rPr>
    </w:lvl>
    <w:lvl w:ilvl="1" w:tentative="0">
      <w:start w:val="1"/>
      <w:numFmt w:val="decimal"/>
      <w:pStyle w:val="32"/>
      <w:isLgl/>
      <w:suff w:val="space"/>
      <w:lvlText w:val="%2.1"/>
      <w:lvlJc w:val="left"/>
      <w:pPr>
        <w:tabs>
          <w:tab w:val="left" w:pos="0"/>
        </w:tabs>
        <w:ind w:left="851" w:firstLine="0"/>
      </w:pPr>
      <w:rPr>
        <w:rFonts w:hint="default"/>
      </w:rPr>
    </w:lvl>
    <w:lvl w:ilvl="2" w:tentative="0">
      <w:start w:val="1"/>
      <w:numFmt w:val="decimal"/>
      <w:pStyle w:val="35"/>
      <w:isLgl/>
      <w:lvlText w:val="%2.%3.1"/>
      <w:lvlJc w:val="left"/>
      <w:pPr>
        <w:tabs>
          <w:tab w:val="left" w:pos="420"/>
        </w:tabs>
        <w:ind w:left="0" w:firstLine="0"/>
      </w:pPr>
      <w:rPr>
        <w:rFonts w:hint="eastAsia"/>
      </w:rPr>
    </w:lvl>
    <w:lvl w:ilvl="3" w:tentative="0">
      <w:start w:val="1"/>
      <w:numFmt w:val="decimal"/>
      <w:pStyle w:val="36"/>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7E5371A9"/>
    <w:multiLevelType w:val="multilevel"/>
    <w:tmpl w:val="7E5371A9"/>
    <w:lvl w:ilvl="0" w:tentative="0">
      <w:start w:val="1"/>
      <w:numFmt w:val="decimal"/>
      <w:pStyle w:val="2"/>
      <w:isLgl/>
      <w:suff w:val="space"/>
      <w:lvlText w:val="%1"/>
      <w:lvlJc w:val="left"/>
      <w:pPr>
        <w:tabs>
          <w:tab w:val="left" w:pos="420"/>
        </w:tabs>
        <w:ind w:left="0" w:firstLine="0"/>
      </w:pPr>
      <w:rPr>
        <w:rFonts w:hint="default"/>
      </w:rPr>
    </w:lvl>
    <w:lvl w:ilvl="1" w:tentative="0">
      <w:start w:val="1"/>
      <w:numFmt w:val="decimal"/>
      <w:pStyle w:val="3"/>
      <w:isLgl/>
      <w:suff w:val="space"/>
      <w:lvlText w:val="%1.%2"/>
      <w:lvlJc w:val="left"/>
      <w:pPr>
        <w:tabs>
          <w:tab w:val="left" w:pos="420"/>
        </w:tabs>
        <w:ind w:left="0" w:firstLine="0"/>
      </w:pPr>
      <w:rPr>
        <w:rFonts w:hint="default"/>
      </w:rPr>
    </w:lvl>
    <w:lvl w:ilvl="2" w:tentative="0">
      <w:start w:val="1"/>
      <w:numFmt w:val="decimal"/>
      <w:pStyle w:val="4"/>
      <w:isLgl/>
      <w:suff w:val="space"/>
      <w:lvlText w:val="%1.%2.%3"/>
      <w:lvlJc w:val="left"/>
      <w:pPr>
        <w:tabs>
          <w:tab w:val="left" w:pos="0"/>
        </w:tabs>
        <w:ind w:left="0" w:firstLine="0"/>
      </w:pPr>
      <w:rPr>
        <w:rFonts w:hint="default"/>
      </w:rPr>
    </w:lvl>
    <w:lvl w:ilvl="3" w:tentative="0">
      <w:start w:val="1"/>
      <w:numFmt w:val="decimal"/>
      <w:pStyle w:val="5"/>
      <w:isLgl/>
      <w:lvlText w:val="%1.%2.%3.%4"/>
      <w:lvlJc w:val="left"/>
      <w:pPr>
        <w:tabs>
          <w:tab w:val="left" w:pos="0"/>
        </w:tabs>
        <w:ind w:left="0" w:firstLine="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3"/>
  </w:num>
  <w:num w:numId="2">
    <w:abstractNumId w:val="0"/>
  </w:num>
  <w:num w:numId="3">
    <w:abstractNumId w:val="2"/>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0"/>
  <w:evenAndOddHeaders w:val="1"/>
  <w:drawingGridHorizontalSpacing w:val="120"/>
  <w:drawingGridVerticalSpacing w:val="163"/>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FC9"/>
    <w:rsid w:val="00000906"/>
    <w:rsid w:val="000017AF"/>
    <w:rsid w:val="00002AF5"/>
    <w:rsid w:val="0000570C"/>
    <w:rsid w:val="0000762D"/>
    <w:rsid w:val="00007FE1"/>
    <w:rsid w:val="0001196C"/>
    <w:rsid w:val="00011B97"/>
    <w:rsid w:val="00013713"/>
    <w:rsid w:val="000139F3"/>
    <w:rsid w:val="00014536"/>
    <w:rsid w:val="0001525D"/>
    <w:rsid w:val="00020FDC"/>
    <w:rsid w:val="00023987"/>
    <w:rsid w:val="00027527"/>
    <w:rsid w:val="000300F8"/>
    <w:rsid w:val="000302B2"/>
    <w:rsid w:val="00032491"/>
    <w:rsid w:val="00036611"/>
    <w:rsid w:val="0004062B"/>
    <w:rsid w:val="000425C5"/>
    <w:rsid w:val="00042996"/>
    <w:rsid w:val="000440AA"/>
    <w:rsid w:val="00046AE9"/>
    <w:rsid w:val="00046C3F"/>
    <w:rsid w:val="00047E1C"/>
    <w:rsid w:val="0005047E"/>
    <w:rsid w:val="0005107E"/>
    <w:rsid w:val="0005143F"/>
    <w:rsid w:val="00051A45"/>
    <w:rsid w:val="0005572E"/>
    <w:rsid w:val="0005625B"/>
    <w:rsid w:val="00056721"/>
    <w:rsid w:val="0006030B"/>
    <w:rsid w:val="00060885"/>
    <w:rsid w:val="00062A78"/>
    <w:rsid w:val="00062FC9"/>
    <w:rsid w:val="00065AC3"/>
    <w:rsid w:val="00067B67"/>
    <w:rsid w:val="00072BD9"/>
    <w:rsid w:val="000746F4"/>
    <w:rsid w:val="00075F55"/>
    <w:rsid w:val="000761DC"/>
    <w:rsid w:val="000762F2"/>
    <w:rsid w:val="00076977"/>
    <w:rsid w:val="000775BA"/>
    <w:rsid w:val="00081512"/>
    <w:rsid w:val="00081D44"/>
    <w:rsid w:val="000821DA"/>
    <w:rsid w:val="0008283A"/>
    <w:rsid w:val="00082958"/>
    <w:rsid w:val="00085093"/>
    <w:rsid w:val="00085701"/>
    <w:rsid w:val="0008665E"/>
    <w:rsid w:val="00086A2F"/>
    <w:rsid w:val="00087C50"/>
    <w:rsid w:val="000907AE"/>
    <w:rsid w:val="00091816"/>
    <w:rsid w:val="00093036"/>
    <w:rsid w:val="000931CE"/>
    <w:rsid w:val="0009456D"/>
    <w:rsid w:val="00094FDA"/>
    <w:rsid w:val="00095F45"/>
    <w:rsid w:val="00096ADD"/>
    <w:rsid w:val="000975C8"/>
    <w:rsid w:val="000A2E0A"/>
    <w:rsid w:val="000A4AC2"/>
    <w:rsid w:val="000A5866"/>
    <w:rsid w:val="000A6884"/>
    <w:rsid w:val="000A781F"/>
    <w:rsid w:val="000B442A"/>
    <w:rsid w:val="000B5617"/>
    <w:rsid w:val="000B67CC"/>
    <w:rsid w:val="000C0BB2"/>
    <w:rsid w:val="000C0D9D"/>
    <w:rsid w:val="000C341A"/>
    <w:rsid w:val="000C7BA0"/>
    <w:rsid w:val="000C7CCC"/>
    <w:rsid w:val="000D0573"/>
    <w:rsid w:val="000D3B86"/>
    <w:rsid w:val="000D3BB1"/>
    <w:rsid w:val="000D3DAF"/>
    <w:rsid w:val="000D4473"/>
    <w:rsid w:val="000D4911"/>
    <w:rsid w:val="000D510A"/>
    <w:rsid w:val="000D54EF"/>
    <w:rsid w:val="000D5CA2"/>
    <w:rsid w:val="000D680E"/>
    <w:rsid w:val="000E0875"/>
    <w:rsid w:val="000E0B71"/>
    <w:rsid w:val="000E1428"/>
    <w:rsid w:val="000E2D0F"/>
    <w:rsid w:val="000E2D9C"/>
    <w:rsid w:val="000E37BD"/>
    <w:rsid w:val="000E42EB"/>
    <w:rsid w:val="000E79EA"/>
    <w:rsid w:val="000E7AE5"/>
    <w:rsid w:val="000E7B62"/>
    <w:rsid w:val="000F0195"/>
    <w:rsid w:val="000F043F"/>
    <w:rsid w:val="000F54CB"/>
    <w:rsid w:val="0010031E"/>
    <w:rsid w:val="001016E4"/>
    <w:rsid w:val="0010185F"/>
    <w:rsid w:val="00101BC5"/>
    <w:rsid w:val="00102446"/>
    <w:rsid w:val="00102D20"/>
    <w:rsid w:val="001035F4"/>
    <w:rsid w:val="00104361"/>
    <w:rsid w:val="0010595E"/>
    <w:rsid w:val="00106105"/>
    <w:rsid w:val="00107007"/>
    <w:rsid w:val="0010771F"/>
    <w:rsid w:val="00107952"/>
    <w:rsid w:val="0011067D"/>
    <w:rsid w:val="00111B6C"/>
    <w:rsid w:val="001138D7"/>
    <w:rsid w:val="00113E5B"/>
    <w:rsid w:val="00115F1C"/>
    <w:rsid w:val="00117045"/>
    <w:rsid w:val="00117536"/>
    <w:rsid w:val="00121B65"/>
    <w:rsid w:val="0012278D"/>
    <w:rsid w:val="001241EB"/>
    <w:rsid w:val="001241FF"/>
    <w:rsid w:val="00126CDF"/>
    <w:rsid w:val="0012706F"/>
    <w:rsid w:val="00127C0D"/>
    <w:rsid w:val="0013758E"/>
    <w:rsid w:val="00140285"/>
    <w:rsid w:val="001406EA"/>
    <w:rsid w:val="00141563"/>
    <w:rsid w:val="0014719D"/>
    <w:rsid w:val="001479E3"/>
    <w:rsid w:val="00147A10"/>
    <w:rsid w:val="00147EF3"/>
    <w:rsid w:val="00151C4B"/>
    <w:rsid w:val="0015208C"/>
    <w:rsid w:val="00152137"/>
    <w:rsid w:val="001605AB"/>
    <w:rsid w:val="00162176"/>
    <w:rsid w:val="00162A73"/>
    <w:rsid w:val="00162EF4"/>
    <w:rsid w:val="00163053"/>
    <w:rsid w:val="001630D3"/>
    <w:rsid w:val="0016460E"/>
    <w:rsid w:val="00164F5B"/>
    <w:rsid w:val="00171A62"/>
    <w:rsid w:val="001727D2"/>
    <w:rsid w:val="00172F73"/>
    <w:rsid w:val="00173201"/>
    <w:rsid w:val="00173716"/>
    <w:rsid w:val="00173FD2"/>
    <w:rsid w:val="00176270"/>
    <w:rsid w:val="0017737B"/>
    <w:rsid w:val="001807F9"/>
    <w:rsid w:val="00184BC4"/>
    <w:rsid w:val="001854D8"/>
    <w:rsid w:val="00186FE4"/>
    <w:rsid w:val="0018788F"/>
    <w:rsid w:val="00194523"/>
    <w:rsid w:val="00197386"/>
    <w:rsid w:val="001A020F"/>
    <w:rsid w:val="001A314C"/>
    <w:rsid w:val="001A4690"/>
    <w:rsid w:val="001A5457"/>
    <w:rsid w:val="001A697C"/>
    <w:rsid w:val="001A69F9"/>
    <w:rsid w:val="001A6EFE"/>
    <w:rsid w:val="001A76D4"/>
    <w:rsid w:val="001A7C77"/>
    <w:rsid w:val="001A7FA5"/>
    <w:rsid w:val="001B637F"/>
    <w:rsid w:val="001B6B79"/>
    <w:rsid w:val="001C0A71"/>
    <w:rsid w:val="001C47BB"/>
    <w:rsid w:val="001C5BFB"/>
    <w:rsid w:val="001D3446"/>
    <w:rsid w:val="001D4567"/>
    <w:rsid w:val="001D514F"/>
    <w:rsid w:val="001D5FB4"/>
    <w:rsid w:val="001D6D1C"/>
    <w:rsid w:val="001D700B"/>
    <w:rsid w:val="001E1850"/>
    <w:rsid w:val="001E282C"/>
    <w:rsid w:val="001E2A6F"/>
    <w:rsid w:val="001E32E5"/>
    <w:rsid w:val="001E398C"/>
    <w:rsid w:val="001F07D9"/>
    <w:rsid w:val="001F1BDC"/>
    <w:rsid w:val="001F2FF3"/>
    <w:rsid w:val="001F41FB"/>
    <w:rsid w:val="001F42EC"/>
    <w:rsid w:val="001F4669"/>
    <w:rsid w:val="001F4DA1"/>
    <w:rsid w:val="001F5883"/>
    <w:rsid w:val="00203FE2"/>
    <w:rsid w:val="00205097"/>
    <w:rsid w:val="00206594"/>
    <w:rsid w:val="00207074"/>
    <w:rsid w:val="002111C8"/>
    <w:rsid w:val="00211AE3"/>
    <w:rsid w:val="00211E22"/>
    <w:rsid w:val="00211F2B"/>
    <w:rsid w:val="002163DC"/>
    <w:rsid w:val="00216A89"/>
    <w:rsid w:val="00217C6B"/>
    <w:rsid w:val="00217E8E"/>
    <w:rsid w:val="00220C07"/>
    <w:rsid w:val="00222EB8"/>
    <w:rsid w:val="00223C40"/>
    <w:rsid w:val="00224E8F"/>
    <w:rsid w:val="00225572"/>
    <w:rsid w:val="00226D3D"/>
    <w:rsid w:val="00230EF8"/>
    <w:rsid w:val="00232CC6"/>
    <w:rsid w:val="00234DCD"/>
    <w:rsid w:val="002352F9"/>
    <w:rsid w:val="002356A9"/>
    <w:rsid w:val="00236F7F"/>
    <w:rsid w:val="00237075"/>
    <w:rsid w:val="00237263"/>
    <w:rsid w:val="00237A7F"/>
    <w:rsid w:val="00237C46"/>
    <w:rsid w:val="00241A6F"/>
    <w:rsid w:val="00245473"/>
    <w:rsid w:val="00245FC4"/>
    <w:rsid w:val="00252ED1"/>
    <w:rsid w:val="00254479"/>
    <w:rsid w:val="00256A05"/>
    <w:rsid w:val="002574A8"/>
    <w:rsid w:val="0026178A"/>
    <w:rsid w:val="002638DD"/>
    <w:rsid w:val="002639A6"/>
    <w:rsid w:val="00266F9A"/>
    <w:rsid w:val="002720C7"/>
    <w:rsid w:val="00272861"/>
    <w:rsid w:val="002737DA"/>
    <w:rsid w:val="00274F70"/>
    <w:rsid w:val="002756AF"/>
    <w:rsid w:val="00276E89"/>
    <w:rsid w:val="002808AE"/>
    <w:rsid w:val="00282C8C"/>
    <w:rsid w:val="00282ECA"/>
    <w:rsid w:val="00283A3B"/>
    <w:rsid w:val="00284AE9"/>
    <w:rsid w:val="00285D4E"/>
    <w:rsid w:val="00286B8B"/>
    <w:rsid w:val="002957C7"/>
    <w:rsid w:val="00296112"/>
    <w:rsid w:val="002A09E7"/>
    <w:rsid w:val="002A0F0B"/>
    <w:rsid w:val="002A23BD"/>
    <w:rsid w:val="002A25B4"/>
    <w:rsid w:val="002A2AA7"/>
    <w:rsid w:val="002A4FB4"/>
    <w:rsid w:val="002A5DE8"/>
    <w:rsid w:val="002A5F30"/>
    <w:rsid w:val="002A70AA"/>
    <w:rsid w:val="002A7686"/>
    <w:rsid w:val="002B0161"/>
    <w:rsid w:val="002B1880"/>
    <w:rsid w:val="002B1EFE"/>
    <w:rsid w:val="002B2251"/>
    <w:rsid w:val="002B24F4"/>
    <w:rsid w:val="002B39FE"/>
    <w:rsid w:val="002B5355"/>
    <w:rsid w:val="002B5853"/>
    <w:rsid w:val="002B6905"/>
    <w:rsid w:val="002B7B48"/>
    <w:rsid w:val="002C0AE7"/>
    <w:rsid w:val="002C1411"/>
    <w:rsid w:val="002C1D06"/>
    <w:rsid w:val="002C2001"/>
    <w:rsid w:val="002D0A20"/>
    <w:rsid w:val="002D2665"/>
    <w:rsid w:val="002D3832"/>
    <w:rsid w:val="002D3D6D"/>
    <w:rsid w:val="002D58D2"/>
    <w:rsid w:val="002D6D50"/>
    <w:rsid w:val="002D6F93"/>
    <w:rsid w:val="002D756A"/>
    <w:rsid w:val="002E0E43"/>
    <w:rsid w:val="002E4DF2"/>
    <w:rsid w:val="002E4E52"/>
    <w:rsid w:val="002F0875"/>
    <w:rsid w:val="002F18CA"/>
    <w:rsid w:val="002F200A"/>
    <w:rsid w:val="002F22EE"/>
    <w:rsid w:val="002F27B9"/>
    <w:rsid w:val="002F2C75"/>
    <w:rsid w:val="002F571A"/>
    <w:rsid w:val="002F6183"/>
    <w:rsid w:val="002F6C0D"/>
    <w:rsid w:val="002F6F9F"/>
    <w:rsid w:val="002F7115"/>
    <w:rsid w:val="00301BA3"/>
    <w:rsid w:val="00302A34"/>
    <w:rsid w:val="00311D3A"/>
    <w:rsid w:val="003149E6"/>
    <w:rsid w:val="00314BAA"/>
    <w:rsid w:val="00320102"/>
    <w:rsid w:val="00320813"/>
    <w:rsid w:val="00321148"/>
    <w:rsid w:val="0032233B"/>
    <w:rsid w:val="0032233F"/>
    <w:rsid w:val="00323D6D"/>
    <w:rsid w:val="0032469C"/>
    <w:rsid w:val="00325767"/>
    <w:rsid w:val="00326766"/>
    <w:rsid w:val="00326FF9"/>
    <w:rsid w:val="00327F0B"/>
    <w:rsid w:val="00330301"/>
    <w:rsid w:val="00331A2F"/>
    <w:rsid w:val="00331F1B"/>
    <w:rsid w:val="00332860"/>
    <w:rsid w:val="003377DA"/>
    <w:rsid w:val="003408F3"/>
    <w:rsid w:val="00341493"/>
    <w:rsid w:val="0034211D"/>
    <w:rsid w:val="0034358D"/>
    <w:rsid w:val="0034467F"/>
    <w:rsid w:val="00345E2F"/>
    <w:rsid w:val="0034727F"/>
    <w:rsid w:val="00351B72"/>
    <w:rsid w:val="003557C5"/>
    <w:rsid w:val="003558F7"/>
    <w:rsid w:val="0035661B"/>
    <w:rsid w:val="00357BDA"/>
    <w:rsid w:val="00361D66"/>
    <w:rsid w:val="003641CD"/>
    <w:rsid w:val="003646C2"/>
    <w:rsid w:val="003732A1"/>
    <w:rsid w:val="003744F7"/>
    <w:rsid w:val="00375586"/>
    <w:rsid w:val="0037565B"/>
    <w:rsid w:val="00376248"/>
    <w:rsid w:val="003775B1"/>
    <w:rsid w:val="00380839"/>
    <w:rsid w:val="0038110F"/>
    <w:rsid w:val="00381FC9"/>
    <w:rsid w:val="0038234A"/>
    <w:rsid w:val="003827F0"/>
    <w:rsid w:val="003843BC"/>
    <w:rsid w:val="00385085"/>
    <w:rsid w:val="003851CF"/>
    <w:rsid w:val="0038695B"/>
    <w:rsid w:val="00391B46"/>
    <w:rsid w:val="003930EC"/>
    <w:rsid w:val="00394123"/>
    <w:rsid w:val="00395ED9"/>
    <w:rsid w:val="0039790A"/>
    <w:rsid w:val="00397B4B"/>
    <w:rsid w:val="003A1BF3"/>
    <w:rsid w:val="003A6198"/>
    <w:rsid w:val="003A6391"/>
    <w:rsid w:val="003A664F"/>
    <w:rsid w:val="003A6E72"/>
    <w:rsid w:val="003B2481"/>
    <w:rsid w:val="003B5310"/>
    <w:rsid w:val="003B5344"/>
    <w:rsid w:val="003B7877"/>
    <w:rsid w:val="003B7B41"/>
    <w:rsid w:val="003B7DF6"/>
    <w:rsid w:val="003C0688"/>
    <w:rsid w:val="003C0BC5"/>
    <w:rsid w:val="003C1D33"/>
    <w:rsid w:val="003C4B2B"/>
    <w:rsid w:val="003C57E5"/>
    <w:rsid w:val="003C6F8A"/>
    <w:rsid w:val="003D059B"/>
    <w:rsid w:val="003D0758"/>
    <w:rsid w:val="003D0D9F"/>
    <w:rsid w:val="003D1AB8"/>
    <w:rsid w:val="003D1D9C"/>
    <w:rsid w:val="003E2740"/>
    <w:rsid w:val="003E2C24"/>
    <w:rsid w:val="003E3E2C"/>
    <w:rsid w:val="003E5875"/>
    <w:rsid w:val="003E6391"/>
    <w:rsid w:val="003E665A"/>
    <w:rsid w:val="003E7247"/>
    <w:rsid w:val="003E7381"/>
    <w:rsid w:val="003F0E28"/>
    <w:rsid w:val="003F307B"/>
    <w:rsid w:val="003F5E51"/>
    <w:rsid w:val="003F76FB"/>
    <w:rsid w:val="00400047"/>
    <w:rsid w:val="0040087A"/>
    <w:rsid w:val="00400C66"/>
    <w:rsid w:val="00402A47"/>
    <w:rsid w:val="00403B3A"/>
    <w:rsid w:val="0040573D"/>
    <w:rsid w:val="0040640D"/>
    <w:rsid w:val="004069CE"/>
    <w:rsid w:val="00414141"/>
    <w:rsid w:val="00415A64"/>
    <w:rsid w:val="004175C9"/>
    <w:rsid w:val="00423B56"/>
    <w:rsid w:val="00423BD5"/>
    <w:rsid w:val="0042719E"/>
    <w:rsid w:val="0042783A"/>
    <w:rsid w:val="00427AAA"/>
    <w:rsid w:val="00431966"/>
    <w:rsid w:val="00431A06"/>
    <w:rsid w:val="004340C0"/>
    <w:rsid w:val="00434DA5"/>
    <w:rsid w:val="0043608D"/>
    <w:rsid w:val="00437FDC"/>
    <w:rsid w:val="00440F09"/>
    <w:rsid w:val="00442B9A"/>
    <w:rsid w:val="00442EFB"/>
    <w:rsid w:val="00443D75"/>
    <w:rsid w:val="004452F9"/>
    <w:rsid w:val="00445A8D"/>
    <w:rsid w:val="00447510"/>
    <w:rsid w:val="00447A57"/>
    <w:rsid w:val="00451F1A"/>
    <w:rsid w:val="004525E6"/>
    <w:rsid w:val="00452747"/>
    <w:rsid w:val="00455565"/>
    <w:rsid w:val="00455F5F"/>
    <w:rsid w:val="004609D8"/>
    <w:rsid w:val="00462C6C"/>
    <w:rsid w:val="004641C5"/>
    <w:rsid w:val="00464DE5"/>
    <w:rsid w:val="0046744E"/>
    <w:rsid w:val="00470E7D"/>
    <w:rsid w:val="00471C4C"/>
    <w:rsid w:val="00472259"/>
    <w:rsid w:val="0047263F"/>
    <w:rsid w:val="00472A1A"/>
    <w:rsid w:val="00475826"/>
    <w:rsid w:val="00475DFC"/>
    <w:rsid w:val="0048501E"/>
    <w:rsid w:val="00492166"/>
    <w:rsid w:val="00492181"/>
    <w:rsid w:val="00492BA7"/>
    <w:rsid w:val="00492EDC"/>
    <w:rsid w:val="0049368B"/>
    <w:rsid w:val="00495058"/>
    <w:rsid w:val="00495ED6"/>
    <w:rsid w:val="00497DA9"/>
    <w:rsid w:val="004A3567"/>
    <w:rsid w:val="004A74BB"/>
    <w:rsid w:val="004A7758"/>
    <w:rsid w:val="004A7F4F"/>
    <w:rsid w:val="004B0054"/>
    <w:rsid w:val="004B023B"/>
    <w:rsid w:val="004B0C8B"/>
    <w:rsid w:val="004B101F"/>
    <w:rsid w:val="004B2AAB"/>
    <w:rsid w:val="004B3012"/>
    <w:rsid w:val="004B4D27"/>
    <w:rsid w:val="004B6D30"/>
    <w:rsid w:val="004B75C2"/>
    <w:rsid w:val="004C09C9"/>
    <w:rsid w:val="004C1FE5"/>
    <w:rsid w:val="004C212F"/>
    <w:rsid w:val="004C2F9B"/>
    <w:rsid w:val="004C3C40"/>
    <w:rsid w:val="004C5A45"/>
    <w:rsid w:val="004C6245"/>
    <w:rsid w:val="004D12B3"/>
    <w:rsid w:val="004D6D30"/>
    <w:rsid w:val="004E06A0"/>
    <w:rsid w:val="004E23CF"/>
    <w:rsid w:val="004E2E95"/>
    <w:rsid w:val="004E33F1"/>
    <w:rsid w:val="004E4995"/>
    <w:rsid w:val="004E4D71"/>
    <w:rsid w:val="004E674F"/>
    <w:rsid w:val="004F0F4E"/>
    <w:rsid w:val="004F156E"/>
    <w:rsid w:val="004F3672"/>
    <w:rsid w:val="004F4FF5"/>
    <w:rsid w:val="004F5A88"/>
    <w:rsid w:val="004F5BCE"/>
    <w:rsid w:val="004F64BC"/>
    <w:rsid w:val="004F7BEE"/>
    <w:rsid w:val="0050402F"/>
    <w:rsid w:val="00507B1B"/>
    <w:rsid w:val="00510038"/>
    <w:rsid w:val="0051372A"/>
    <w:rsid w:val="00513F3E"/>
    <w:rsid w:val="00514D43"/>
    <w:rsid w:val="00515E6D"/>
    <w:rsid w:val="0051600A"/>
    <w:rsid w:val="00516F15"/>
    <w:rsid w:val="0051794C"/>
    <w:rsid w:val="00520DAB"/>
    <w:rsid w:val="0052125F"/>
    <w:rsid w:val="005215A0"/>
    <w:rsid w:val="00521854"/>
    <w:rsid w:val="005227C6"/>
    <w:rsid w:val="00522B2D"/>
    <w:rsid w:val="00522F00"/>
    <w:rsid w:val="00527350"/>
    <w:rsid w:val="00527615"/>
    <w:rsid w:val="00527F49"/>
    <w:rsid w:val="0053368B"/>
    <w:rsid w:val="005341BA"/>
    <w:rsid w:val="0053436B"/>
    <w:rsid w:val="005343CF"/>
    <w:rsid w:val="00534FC6"/>
    <w:rsid w:val="00535910"/>
    <w:rsid w:val="00535AD9"/>
    <w:rsid w:val="00537110"/>
    <w:rsid w:val="005377AE"/>
    <w:rsid w:val="00537C24"/>
    <w:rsid w:val="005416D1"/>
    <w:rsid w:val="00543765"/>
    <w:rsid w:val="00545898"/>
    <w:rsid w:val="00545B69"/>
    <w:rsid w:val="005464D9"/>
    <w:rsid w:val="005513F9"/>
    <w:rsid w:val="00552CAC"/>
    <w:rsid w:val="00552E75"/>
    <w:rsid w:val="0056463C"/>
    <w:rsid w:val="00564C75"/>
    <w:rsid w:val="00565EF8"/>
    <w:rsid w:val="0056634F"/>
    <w:rsid w:val="00567FC4"/>
    <w:rsid w:val="005724D7"/>
    <w:rsid w:val="00572F16"/>
    <w:rsid w:val="005732A8"/>
    <w:rsid w:val="0057337B"/>
    <w:rsid w:val="00574729"/>
    <w:rsid w:val="00576963"/>
    <w:rsid w:val="0058190E"/>
    <w:rsid w:val="005846EF"/>
    <w:rsid w:val="0059021B"/>
    <w:rsid w:val="00590655"/>
    <w:rsid w:val="00590B56"/>
    <w:rsid w:val="00590C54"/>
    <w:rsid w:val="00590E9B"/>
    <w:rsid w:val="00591754"/>
    <w:rsid w:val="0059277F"/>
    <w:rsid w:val="0059311F"/>
    <w:rsid w:val="00593ACC"/>
    <w:rsid w:val="00593BE9"/>
    <w:rsid w:val="00595C55"/>
    <w:rsid w:val="00596495"/>
    <w:rsid w:val="00596B20"/>
    <w:rsid w:val="005A0D84"/>
    <w:rsid w:val="005A395C"/>
    <w:rsid w:val="005A3E5A"/>
    <w:rsid w:val="005A6297"/>
    <w:rsid w:val="005A7DA3"/>
    <w:rsid w:val="005A7FD5"/>
    <w:rsid w:val="005B0146"/>
    <w:rsid w:val="005B1F92"/>
    <w:rsid w:val="005B29CA"/>
    <w:rsid w:val="005B3189"/>
    <w:rsid w:val="005B4AF9"/>
    <w:rsid w:val="005C02EC"/>
    <w:rsid w:val="005C1A9F"/>
    <w:rsid w:val="005C209B"/>
    <w:rsid w:val="005C2B05"/>
    <w:rsid w:val="005C40E4"/>
    <w:rsid w:val="005C53A3"/>
    <w:rsid w:val="005C5933"/>
    <w:rsid w:val="005C6C72"/>
    <w:rsid w:val="005D2D04"/>
    <w:rsid w:val="005D4E36"/>
    <w:rsid w:val="005D6E17"/>
    <w:rsid w:val="005D6F97"/>
    <w:rsid w:val="005D6FA6"/>
    <w:rsid w:val="005E073A"/>
    <w:rsid w:val="005E2ADD"/>
    <w:rsid w:val="005E4009"/>
    <w:rsid w:val="005E6F18"/>
    <w:rsid w:val="005E7093"/>
    <w:rsid w:val="005E7399"/>
    <w:rsid w:val="005E7EE3"/>
    <w:rsid w:val="005F0293"/>
    <w:rsid w:val="005F0F17"/>
    <w:rsid w:val="005F74C3"/>
    <w:rsid w:val="006007A0"/>
    <w:rsid w:val="0060316A"/>
    <w:rsid w:val="00607666"/>
    <w:rsid w:val="00607A70"/>
    <w:rsid w:val="00612DD9"/>
    <w:rsid w:val="006138A0"/>
    <w:rsid w:val="006150C6"/>
    <w:rsid w:val="00620CF5"/>
    <w:rsid w:val="00622F26"/>
    <w:rsid w:val="00623A08"/>
    <w:rsid w:val="00624A7F"/>
    <w:rsid w:val="00625D39"/>
    <w:rsid w:val="006269BB"/>
    <w:rsid w:val="006337F0"/>
    <w:rsid w:val="00634E72"/>
    <w:rsid w:val="00635DC0"/>
    <w:rsid w:val="00641AA1"/>
    <w:rsid w:val="00641B00"/>
    <w:rsid w:val="00641DCC"/>
    <w:rsid w:val="00642C5A"/>
    <w:rsid w:val="00643058"/>
    <w:rsid w:val="0064336E"/>
    <w:rsid w:val="006437C0"/>
    <w:rsid w:val="006437D6"/>
    <w:rsid w:val="00643934"/>
    <w:rsid w:val="0064634A"/>
    <w:rsid w:val="0065193B"/>
    <w:rsid w:val="00652466"/>
    <w:rsid w:val="00654B47"/>
    <w:rsid w:val="00656306"/>
    <w:rsid w:val="0065637B"/>
    <w:rsid w:val="006571B5"/>
    <w:rsid w:val="00660AFB"/>
    <w:rsid w:val="00663D6A"/>
    <w:rsid w:val="00663FAD"/>
    <w:rsid w:val="00664038"/>
    <w:rsid w:val="00664839"/>
    <w:rsid w:val="0066504D"/>
    <w:rsid w:val="006655A1"/>
    <w:rsid w:val="006670DE"/>
    <w:rsid w:val="0067098C"/>
    <w:rsid w:val="00670E79"/>
    <w:rsid w:val="00672034"/>
    <w:rsid w:val="00672504"/>
    <w:rsid w:val="00674D61"/>
    <w:rsid w:val="00677F12"/>
    <w:rsid w:val="00681489"/>
    <w:rsid w:val="00682650"/>
    <w:rsid w:val="00682695"/>
    <w:rsid w:val="0068280A"/>
    <w:rsid w:val="00682A4A"/>
    <w:rsid w:val="0068424E"/>
    <w:rsid w:val="006849E9"/>
    <w:rsid w:val="00694583"/>
    <w:rsid w:val="00695F2A"/>
    <w:rsid w:val="00697603"/>
    <w:rsid w:val="00697F14"/>
    <w:rsid w:val="006A155A"/>
    <w:rsid w:val="006A176B"/>
    <w:rsid w:val="006A1939"/>
    <w:rsid w:val="006A26EF"/>
    <w:rsid w:val="006A3124"/>
    <w:rsid w:val="006A4820"/>
    <w:rsid w:val="006A51F7"/>
    <w:rsid w:val="006A55FD"/>
    <w:rsid w:val="006B007A"/>
    <w:rsid w:val="006B03AD"/>
    <w:rsid w:val="006B159B"/>
    <w:rsid w:val="006B2B13"/>
    <w:rsid w:val="006B30C7"/>
    <w:rsid w:val="006B3833"/>
    <w:rsid w:val="006B46B0"/>
    <w:rsid w:val="006B4BB4"/>
    <w:rsid w:val="006B5755"/>
    <w:rsid w:val="006B6229"/>
    <w:rsid w:val="006B6719"/>
    <w:rsid w:val="006B7BBA"/>
    <w:rsid w:val="006C02A5"/>
    <w:rsid w:val="006C11F9"/>
    <w:rsid w:val="006C145F"/>
    <w:rsid w:val="006C24D6"/>
    <w:rsid w:val="006C3E89"/>
    <w:rsid w:val="006C4F16"/>
    <w:rsid w:val="006C6236"/>
    <w:rsid w:val="006C70AC"/>
    <w:rsid w:val="006C79B3"/>
    <w:rsid w:val="006D03F7"/>
    <w:rsid w:val="006D1991"/>
    <w:rsid w:val="006D241C"/>
    <w:rsid w:val="006D3B84"/>
    <w:rsid w:val="006D3C4F"/>
    <w:rsid w:val="006D5049"/>
    <w:rsid w:val="006D6C69"/>
    <w:rsid w:val="006E112B"/>
    <w:rsid w:val="006E1D46"/>
    <w:rsid w:val="006E2EDE"/>
    <w:rsid w:val="006E3BC5"/>
    <w:rsid w:val="006E3DA2"/>
    <w:rsid w:val="006E4E3E"/>
    <w:rsid w:val="006E77EB"/>
    <w:rsid w:val="006E7DCB"/>
    <w:rsid w:val="006F1CBB"/>
    <w:rsid w:val="006F52A9"/>
    <w:rsid w:val="006F7348"/>
    <w:rsid w:val="006F7562"/>
    <w:rsid w:val="006F7ABE"/>
    <w:rsid w:val="006F7D1A"/>
    <w:rsid w:val="006F7F12"/>
    <w:rsid w:val="00701103"/>
    <w:rsid w:val="0070137C"/>
    <w:rsid w:val="00702A0F"/>
    <w:rsid w:val="0070416D"/>
    <w:rsid w:val="0070439B"/>
    <w:rsid w:val="00704591"/>
    <w:rsid w:val="00706351"/>
    <w:rsid w:val="00706F6B"/>
    <w:rsid w:val="00710A94"/>
    <w:rsid w:val="00711AA5"/>
    <w:rsid w:val="007137A9"/>
    <w:rsid w:val="00713B19"/>
    <w:rsid w:val="00714BDE"/>
    <w:rsid w:val="00720582"/>
    <w:rsid w:val="00721376"/>
    <w:rsid w:val="00723DFF"/>
    <w:rsid w:val="00724214"/>
    <w:rsid w:val="007243C3"/>
    <w:rsid w:val="0072513E"/>
    <w:rsid w:val="00725D9E"/>
    <w:rsid w:val="00726547"/>
    <w:rsid w:val="00731357"/>
    <w:rsid w:val="007359A6"/>
    <w:rsid w:val="007377C3"/>
    <w:rsid w:val="007401BB"/>
    <w:rsid w:val="007438A2"/>
    <w:rsid w:val="00743993"/>
    <w:rsid w:val="00743DC3"/>
    <w:rsid w:val="00744C2C"/>
    <w:rsid w:val="00745732"/>
    <w:rsid w:val="0074612A"/>
    <w:rsid w:val="0074617A"/>
    <w:rsid w:val="007464AD"/>
    <w:rsid w:val="007468E7"/>
    <w:rsid w:val="007514BB"/>
    <w:rsid w:val="0075159D"/>
    <w:rsid w:val="00751847"/>
    <w:rsid w:val="0075321C"/>
    <w:rsid w:val="00753BE1"/>
    <w:rsid w:val="00754E70"/>
    <w:rsid w:val="007553FF"/>
    <w:rsid w:val="007562BE"/>
    <w:rsid w:val="00756B5B"/>
    <w:rsid w:val="0076042B"/>
    <w:rsid w:val="00760F25"/>
    <w:rsid w:val="007616AF"/>
    <w:rsid w:val="007631C8"/>
    <w:rsid w:val="00763E2E"/>
    <w:rsid w:val="00764E88"/>
    <w:rsid w:val="00770A6D"/>
    <w:rsid w:val="00773222"/>
    <w:rsid w:val="0077456C"/>
    <w:rsid w:val="007761EF"/>
    <w:rsid w:val="00776F5C"/>
    <w:rsid w:val="00777529"/>
    <w:rsid w:val="00780D91"/>
    <w:rsid w:val="007821E2"/>
    <w:rsid w:val="00783B04"/>
    <w:rsid w:val="00783B80"/>
    <w:rsid w:val="00784711"/>
    <w:rsid w:val="00784ECE"/>
    <w:rsid w:val="007914ED"/>
    <w:rsid w:val="00791FBB"/>
    <w:rsid w:val="00792C84"/>
    <w:rsid w:val="00793123"/>
    <w:rsid w:val="007939D7"/>
    <w:rsid w:val="007A194F"/>
    <w:rsid w:val="007A3F74"/>
    <w:rsid w:val="007A405C"/>
    <w:rsid w:val="007A4507"/>
    <w:rsid w:val="007A4D3C"/>
    <w:rsid w:val="007A6C31"/>
    <w:rsid w:val="007A6CBA"/>
    <w:rsid w:val="007A7FAE"/>
    <w:rsid w:val="007B13CE"/>
    <w:rsid w:val="007B1FD0"/>
    <w:rsid w:val="007B22AF"/>
    <w:rsid w:val="007B284C"/>
    <w:rsid w:val="007B3292"/>
    <w:rsid w:val="007B3C48"/>
    <w:rsid w:val="007B572A"/>
    <w:rsid w:val="007B58AF"/>
    <w:rsid w:val="007B60FE"/>
    <w:rsid w:val="007B7896"/>
    <w:rsid w:val="007C3813"/>
    <w:rsid w:val="007C3F09"/>
    <w:rsid w:val="007C42F4"/>
    <w:rsid w:val="007C44C8"/>
    <w:rsid w:val="007C5733"/>
    <w:rsid w:val="007D057F"/>
    <w:rsid w:val="007D282D"/>
    <w:rsid w:val="007D628A"/>
    <w:rsid w:val="007E0097"/>
    <w:rsid w:val="007E3BA4"/>
    <w:rsid w:val="007E481F"/>
    <w:rsid w:val="007E5408"/>
    <w:rsid w:val="007E61F3"/>
    <w:rsid w:val="007E68DC"/>
    <w:rsid w:val="007E7921"/>
    <w:rsid w:val="007E7BAE"/>
    <w:rsid w:val="007F1D3F"/>
    <w:rsid w:val="007F2B77"/>
    <w:rsid w:val="007F3D60"/>
    <w:rsid w:val="007F592F"/>
    <w:rsid w:val="007F5991"/>
    <w:rsid w:val="007F5AF9"/>
    <w:rsid w:val="007F5F86"/>
    <w:rsid w:val="007F7BCB"/>
    <w:rsid w:val="00800735"/>
    <w:rsid w:val="0080283A"/>
    <w:rsid w:val="00804FD1"/>
    <w:rsid w:val="00805785"/>
    <w:rsid w:val="00810C61"/>
    <w:rsid w:val="008116D7"/>
    <w:rsid w:val="008129B7"/>
    <w:rsid w:val="00812C8F"/>
    <w:rsid w:val="00812CF9"/>
    <w:rsid w:val="0081648C"/>
    <w:rsid w:val="00816A9F"/>
    <w:rsid w:val="00817593"/>
    <w:rsid w:val="008203B2"/>
    <w:rsid w:val="00826409"/>
    <w:rsid w:val="00826665"/>
    <w:rsid w:val="008305B9"/>
    <w:rsid w:val="0083496A"/>
    <w:rsid w:val="00835E64"/>
    <w:rsid w:val="0083650A"/>
    <w:rsid w:val="0083774C"/>
    <w:rsid w:val="00837A9F"/>
    <w:rsid w:val="00841564"/>
    <w:rsid w:val="00846082"/>
    <w:rsid w:val="00847C56"/>
    <w:rsid w:val="0085061E"/>
    <w:rsid w:val="00852AD0"/>
    <w:rsid w:val="008547D3"/>
    <w:rsid w:val="00854D84"/>
    <w:rsid w:val="0085546A"/>
    <w:rsid w:val="008567BE"/>
    <w:rsid w:val="00861F5D"/>
    <w:rsid w:val="00861F6D"/>
    <w:rsid w:val="00863492"/>
    <w:rsid w:val="0086508D"/>
    <w:rsid w:val="0086521A"/>
    <w:rsid w:val="00865D28"/>
    <w:rsid w:val="0086683D"/>
    <w:rsid w:val="0086737B"/>
    <w:rsid w:val="00867BED"/>
    <w:rsid w:val="00870EA3"/>
    <w:rsid w:val="00871E4F"/>
    <w:rsid w:val="00875296"/>
    <w:rsid w:val="008752BA"/>
    <w:rsid w:val="0087688E"/>
    <w:rsid w:val="00880417"/>
    <w:rsid w:val="0088126D"/>
    <w:rsid w:val="00882116"/>
    <w:rsid w:val="00883618"/>
    <w:rsid w:val="00883A65"/>
    <w:rsid w:val="00884DE6"/>
    <w:rsid w:val="00884F35"/>
    <w:rsid w:val="00886441"/>
    <w:rsid w:val="00886FA6"/>
    <w:rsid w:val="008921AD"/>
    <w:rsid w:val="0089382C"/>
    <w:rsid w:val="00893E18"/>
    <w:rsid w:val="00895397"/>
    <w:rsid w:val="008962DA"/>
    <w:rsid w:val="00896A0A"/>
    <w:rsid w:val="00896C65"/>
    <w:rsid w:val="00897D5E"/>
    <w:rsid w:val="008A39B8"/>
    <w:rsid w:val="008A57FA"/>
    <w:rsid w:val="008B022F"/>
    <w:rsid w:val="008C0C1E"/>
    <w:rsid w:val="008C1161"/>
    <w:rsid w:val="008C1305"/>
    <w:rsid w:val="008C178B"/>
    <w:rsid w:val="008C3192"/>
    <w:rsid w:val="008C3203"/>
    <w:rsid w:val="008C321A"/>
    <w:rsid w:val="008C384F"/>
    <w:rsid w:val="008C410B"/>
    <w:rsid w:val="008C59D5"/>
    <w:rsid w:val="008C7F5A"/>
    <w:rsid w:val="008D0D0C"/>
    <w:rsid w:val="008D2CA2"/>
    <w:rsid w:val="008D2D51"/>
    <w:rsid w:val="008E11FC"/>
    <w:rsid w:val="008E17F6"/>
    <w:rsid w:val="008E1BDC"/>
    <w:rsid w:val="008E2375"/>
    <w:rsid w:val="008E2693"/>
    <w:rsid w:val="008E3E53"/>
    <w:rsid w:val="008E56D7"/>
    <w:rsid w:val="008E6365"/>
    <w:rsid w:val="008E71F8"/>
    <w:rsid w:val="008F1005"/>
    <w:rsid w:val="008F4D17"/>
    <w:rsid w:val="008F6CC6"/>
    <w:rsid w:val="009006C5"/>
    <w:rsid w:val="0090089D"/>
    <w:rsid w:val="00901CC0"/>
    <w:rsid w:val="00902DF8"/>
    <w:rsid w:val="0090445A"/>
    <w:rsid w:val="0090734F"/>
    <w:rsid w:val="00907E30"/>
    <w:rsid w:val="00912142"/>
    <w:rsid w:val="009140D0"/>
    <w:rsid w:val="00914C8A"/>
    <w:rsid w:val="009155B5"/>
    <w:rsid w:val="00915AE0"/>
    <w:rsid w:val="0091610B"/>
    <w:rsid w:val="00917672"/>
    <w:rsid w:val="009179A9"/>
    <w:rsid w:val="00920369"/>
    <w:rsid w:val="00920B92"/>
    <w:rsid w:val="00920BD6"/>
    <w:rsid w:val="00920DDE"/>
    <w:rsid w:val="00921868"/>
    <w:rsid w:val="00922156"/>
    <w:rsid w:val="0092273F"/>
    <w:rsid w:val="00922DF9"/>
    <w:rsid w:val="00925DC5"/>
    <w:rsid w:val="00926AA3"/>
    <w:rsid w:val="0093048C"/>
    <w:rsid w:val="00933537"/>
    <w:rsid w:val="009356E7"/>
    <w:rsid w:val="009358AC"/>
    <w:rsid w:val="00936CF5"/>
    <w:rsid w:val="00937588"/>
    <w:rsid w:val="0093770E"/>
    <w:rsid w:val="00955195"/>
    <w:rsid w:val="009551B7"/>
    <w:rsid w:val="009571F2"/>
    <w:rsid w:val="0095792F"/>
    <w:rsid w:val="00957CAE"/>
    <w:rsid w:val="009627A2"/>
    <w:rsid w:val="00964631"/>
    <w:rsid w:val="00965688"/>
    <w:rsid w:val="00965FE7"/>
    <w:rsid w:val="009669FA"/>
    <w:rsid w:val="00966DED"/>
    <w:rsid w:val="00971287"/>
    <w:rsid w:val="0097208E"/>
    <w:rsid w:val="0097274C"/>
    <w:rsid w:val="009734F1"/>
    <w:rsid w:val="00974CD9"/>
    <w:rsid w:val="009771BD"/>
    <w:rsid w:val="0098077D"/>
    <w:rsid w:val="00981C1F"/>
    <w:rsid w:val="00983D12"/>
    <w:rsid w:val="0098414E"/>
    <w:rsid w:val="00985E23"/>
    <w:rsid w:val="00987DB0"/>
    <w:rsid w:val="0099176D"/>
    <w:rsid w:val="0099303E"/>
    <w:rsid w:val="00995D4D"/>
    <w:rsid w:val="00996FFD"/>
    <w:rsid w:val="009975ED"/>
    <w:rsid w:val="009A058C"/>
    <w:rsid w:val="009A1EA0"/>
    <w:rsid w:val="009A500D"/>
    <w:rsid w:val="009A55EA"/>
    <w:rsid w:val="009B05AE"/>
    <w:rsid w:val="009B1F07"/>
    <w:rsid w:val="009B2876"/>
    <w:rsid w:val="009B3614"/>
    <w:rsid w:val="009B37E4"/>
    <w:rsid w:val="009B712E"/>
    <w:rsid w:val="009B7623"/>
    <w:rsid w:val="009C14E9"/>
    <w:rsid w:val="009C1BB4"/>
    <w:rsid w:val="009C6321"/>
    <w:rsid w:val="009C7D62"/>
    <w:rsid w:val="009C7E97"/>
    <w:rsid w:val="009D1DD0"/>
    <w:rsid w:val="009D2DC6"/>
    <w:rsid w:val="009D4356"/>
    <w:rsid w:val="009D6340"/>
    <w:rsid w:val="009D660D"/>
    <w:rsid w:val="009D71BE"/>
    <w:rsid w:val="009D779B"/>
    <w:rsid w:val="009E2A86"/>
    <w:rsid w:val="009E5CF4"/>
    <w:rsid w:val="009E6019"/>
    <w:rsid w:val="009E6225"/>
    <w:rsid w:val="009E79BA"/>
    <w:rsid w:val="009F1236"/>
    <w:rsid w:val="009F4BFE"/>
    <w:rsid w:val="009F516C"/>
    <w:rsid w:val="009F5C67"/>
    <w:rsid w:val="009F7020"/>
    <w:rsid w:val="00A001A7"/>
    <w:rsid w:val="00A00BB9"/>
    <w:rsid w:val="00A033E3"/>
    <w:rsid w:val="00A0485F"/>
    <w:rsid w:val="00A0587F"/>
    <w:rsid w:val="00A061F8"/>
    <w:rsid w:val="00A0722A"/>
    <w:rsid w:val="00A1091E"/>
    <w:rsid w:val="00A111A9"/>
    <w:rsid w:val="00A11422"/>
    <w:rsid w:val="00A11A3A"/>
    <w:rsid w:val="00A11F4A"/>
    <w:rsid w:val="00A12D28"/>
    <w:rsid w:val="00A13FD9"/>
    <w:rsid w:val="00A1782E"/>
    <w:rsid w:val="00A20042"/>
    <w:rsid w:val="00A2270F"/>
    <w:rsid w:val="00A22D62"/>
    <w:rsid w:val="00A26327"/>
    <w:rsid w:val="00A304A8"/>
    <w:rsid w:val="00A31EB5"/>
    <w:rsid w:val="00A325E9"/>
    <w:rsid w:val="00A35CFE"/>
    <w:rsid w:val="00A366CE"/>
    <w:rsid w:val="00A40985"/>
    <w:rsid w:val="00A450FA"/>
    <w:rsid w:val="00A45100"/>
    <w:rsid w:val="00A451AE"/>
    <w:rsid w:val="00A47385"/>
    <w:rsid w:val="00A47F63"/>
    <w:rsid w:val="00A5189B"/>
    <w:rsid w:val="00A51947"/>
    <w:rsid w:val="00A526BD"/>
    <w:rsid w:val="00A54470"/>
    <w:rsid w:val="00A564F2"/>
    <w:rsid w:val="00A60319"/>
    <w:rsid w:val="00A619B7"/>
    <w:rsid w:val="00A61C09"/>
    <w:rsid w:val="00A6227F"/>
    <w:rsid w:val="00A635DB"/>
    <w:rsid w:val="00A6451C"/>
    <w:rsid w:val="00A64D0B"/>
    <w:rsid w:val="00A6708A"/>
    <w:rsid w:val="00A67E92"/>
    <w:rsid w:val="00A7293B"/>
    <w:rsid w:val="00A72D41"/>
    <w:rsid w:val="00A731B1"/>
    <w:rsid w:val="00A75BF2"/>
    <w:rsid w:val="00A7721A"/>
    <w:rsid w:val="00A80326"/>
    <w:rsid w:val="00A80E38"/>
    <w:rsid w:val="00A8161A"/>
    <w:rsid w:val="00A81F56"/>
    <w:rsid w:val="00A827C5"/>
    <w:rsid w:val="00A83276"/>
    <w:rsid w:val="00A83403"/>
    <w:rsid w:val="00A84CC8"/>
    <w:rsid w:val="00A84F2E"/>
    <w:rsid w:val="00A86359"/>
    <w:rsid w:val="00A86F15"/>
    <w:rsid w:val="00A87B64"/>
    <w:rsid w:val="00A90284"/>
    <w:rsid w:val="00A908C8"/>
    <w:rsid w:val="00A9426E"/>
    <w:rsid w:val="00A943F1"/>
    <w:rsid w:val="00A94D0D"/>
    <w:rsid w:val="00A95095"/>
    <w:rsid w:val="00A95FF4"/>
    <w:rsid w:val="00A96796"/>
    <w:rsid w:val="00AA1652"/>
    <w:rsid w:val="00AA4A1A"/>
    <w:rsid w:val="00AA57E7"/>
    <w:rsid w:val="00AB49CF"/>
    <w:rsid w:val="00AB5FEC"/>
    <w:rsid w:val="00AB630C"/>
    <w:rsid w:val="00AC045B"/>
    <w:rsid w:val="00AC2020"/>
    <w:rsid w:val="00AC28EC"/>
    <w:rsid w:val="00AC5FFB"/>
    <w:rsid w:val="00AC6096"/>
    <w:rsid w:val="00AD1FDD"/>
    <w:rsid w:val="00AD27E8"/>
    <w:rsid w:val="00AD2A06"/>
    <w:rsid w:val="00AD5AD3"/>
    <w:rsid w:val="00AD6AD7"/>
    <w:rsid w:val="00AE0A8A"/>
    <w:rsid w:val="00AE18B9"/>
    <w:rsid w:val="00AE336E"/>
    <w:rsid w:val="00AE438D"/>
    <w:rsid w:val="00AE49C3"/>
    <w:rsid w:val="00AE4F57"/>
    <w:rsid w:val="00AE5416"/>
    <w:rsid w:val="00AE7100"/>
    <w:rsid w:val="00AE7891"/>
    <w:rsid w:val="00AF3465"/>
    <w:rsid w:val="00AF3590"/>
    <w:rsid w:val="00AF62C1"/>
    <w:rsid w:val="00AF673E"/>
    <w:rsid w:val="00AF7B8C"/>
    <w:rsid w:val="00B035DA"/>
    <w:rsid w:val="00B04948"/>
    <w:rsid w:val="00B0628C"/>
    <w:rsid w:val="00B12B3A"/>
    <w:rsid w:val="00B1464D"/>
    <w:rsid w:val="00B146A0"/>
    <w:rsid w:val="00B155EA"/>
    <w:rsid w:val="00B223CA"/>
    <w:rsid w:val="00B2295F"/>
    <w:rsid w:val="00B22AAF"/>
    <w:rsid w:val="00B24117"/>
    <w:rsid w:val="00B24E9D"/>
    <w:rsid w:val="00B2547A"/>
    <w:rsid w:val="00B26A7C"/>
    <w:rsid w:val="00B26C00"/>
    <w:rsid w:val="00B3162A"/>
    <w:rsid w:val="00B31EBF"/>
    <w:rsid w:val="00B34598"/>
    <w:rsid w:val="00B352E3"/>
    <w:rsid w:val="00B465A6"/>
    <w:rsid w:val="00B4673F"/>
    <w:rsid w:val="00B47321"/>
    <w:rsid w:val="00B509E1"/>
    <w:rsid w:val="00B51CC2"/>
    <w:rsid w:val="00B521A8"/>
    <w:rsid w:val="00B5447A"/>
    <w:rsid w:val="00B54F51"/>
    <w:rsid w:val="00B55BA4"/>
    <w:rsid w:val="00B605A4"/>
    <w:rsid w:val="00B60655"/>
    <w:rsid w:val="00B61DE0"/>
    <w:rsid w:val="00B63320"/>
    <w:rsid w:val="00B63369"/>
    <w:rsid w:val="00B64639"/>
    <w:rsid w:val="00B64887"/>
    <w:rsid w:val="00B7082D"/>
    <w:rsid w:val="00B71130"/>
    <w:rsid w:val="00B71C3E"/>
    <w:rsid w:val="00B72BD1"/>
    <w:rsid w:val="00B73D64"/>
    <w:rsid w:val="00B74989"/>
    <w:rsid w:val="00B77C35"/>
    <w:rsid w:val="00B80734"/>
    <w:rsid w:val="00B809BD"/>
    <w:rsid w:val="00B8106C"/>
    <w:rsid w:val="00B81182"/>
    <w:rsid w:val="00B8244B"/>
    <w:rsid w:val="00B82CCC"/>
    <w:rsid w:val="00B8360B"/>
    <w:rsid w:val="00B84943"/>
    <w:rsid w:val="00B8518E"/>
    <w:rsid w:val="00B856F4"/>
    <w:rsid w:val="00B8625D"/>
    <w:rsid w:val="00B86400"/>
    <w:rsid w:val="00B87D74"/>
    <w:rsid w:val="00B909C2"/>
    <w:rsid w:val="00B91C82"/>
    <w:rsid w:val="00B9291A"/>
    <w:rsid w:val="00B943E6"/>
    <w:rsid w:val="00B9604A"/>
    <w:rsid w:val="00BA0896"/>
    <w:rsid w:val="00BA2569"/>
    <w:rsid w:val="00BA3053"/>
    <w:rsid w:val="00BA3CD0"/>
    <w:rsid w:val="00BB072C"/>
    <w:rsid w:val="00BB241A"/>
    <w:rsid w:val="00BB4A0D"/>
    <w:rsid w:val="00BC1E69"/>
    <w:rsid w:val="00BC24D2"/>
    <w:rsid w:val="00BC2825"/>
    <w:rsid w:val="00BC2B4E"/>
    <w:rsid w:val="00BC314B"/>
    <w:rsid w:val="00BC4F0C"/>
    <w:rsid w:val="00BC5D3D"/>
    <w:rsid w:val="00BC7BBB"/>
    <w:rsid w:val="00BD1DED"/>
    <w:rsid w:val="00BD3430"/>
    <w:rsid w:val="00BD6638"/>
    <w:rsid w:val="00BE0CDF"/>
    <w:rsid w:val="00BE10BB"/>
    <w:rsid w:val="00BE2154"/>
    <w:rsid w:val="00BE26CD"/>
    <w:rsid w:val="00BE2DC4"/>
    <w:rsid w:val="00BE31B3"/>
    <w:rsid w:val="00BE5BAE"/>
    <w:rsid w:val="00BE6C53"/>
    <w:rsid w:val="00BE703A"/>
    <w:rsid w:val="00BE7081"/>
    <w:rsid w:val="00BF00FE"/>
    <w:rsid w:val="00BF015A"/>
    <w:rsid w:val="00BF3D1E"/>
    <w:rsid w:val="00BF4B45"/>
    <w:rsid w:val="00BF503A"/>
    <w:rsid w:val="00BF5C6C"/>
    <w:rsid w:val="00BF6C47"/>
    <w:rsid w:val="00BF6D00"/>
    <w:rsid w:val="00BF7016"/>
    <w:rsid w:val="00BF75FF"/>
    <w:rsid w:val="00BF7A24"/>
    <w:rsid w:val="00C01565"/>
    <w:rsid w:val="00C02D38"/>
    <w:rsid w:val="00C04049"/>
    <w:rsid w:val="00C040A5"/>
    <w:rsid w:val="00C04E28"/>
    <w:rsid w:val="00C04F3B"/>
    <w:rsid w:val="00C064BE"/>
    <w:rsid w:val="00C06AE4"/>
    <w:rsid w:val="00C07C8F"/>
    <w:rsid w:val="00C108DA"/>
    <w:rsid w:val="00C1107C"/>
    <w:rsid w:val="00C11B1E"/>
    <w:rsid w:val="00C12DC9"/>
    <w:rsid w:val="00C12FAC"/>
    <w:rsid w:val="00C142E3"/>
    <w:rsid w:val="00C146B6"/>
    <w:rsid w:val="00C17015"/>
    <w:rsid w:val="00C17A14"/>
    <w:rsid w:val="00C21420"/>
    <w:rsid w:val="00C25DC5"/>
    <w:rsid w:val="00C26434"/>
    <w:rsid w:val="00C26E01"/>
    <w:rsid w:val="00C31EEE"/>
    <w:rsid w:val="00C34EAC"/>
    <w:rsid w:val="00C35B53"/>
    <w:rsid w:val="00C36DE5"/>
    <w:rsid w:val="00C36FD0"/>
    <w:rsid w:val="00C377B0"/>
    <w:rsid w:val="00C3791B"/>
    <w:rsid w:val="00C37AE7"/>
    <w:rsid w:val="00C4004D"/>
    <w:rsid w:val="00C40E73"/>
    <w:rsid w:val="00C4205A"/>
    <w:rsid w:val="00C43E26"/>
    <w:rsid w:val="00C445A1"/>
    <w:rsid w:val="00C4477C"/>
    <w:rsid w:val="00C45D22"/>
    <w:rsid w:val="00C46C27"/>
    <w:rsid w:val="00C51CD7"/>
    <w:rsid w:val="00C5225F"/>
    <w:rsid w:val="00C525F3"/>
    <w:rsid w:val="00C54165"/>
    <w:rsid w:val="00C548A3"/>
    <w:rsid w:val="00C55C1F"/>
    <w:rsid w:val="00C55E1E"/>
    <w:rsid w:val="00C55E3D"/>
    <w:rsid w:val="00C57CB6"/>
    <w:rsid w:val="00C62B7C"/>
    <w:rsid w:val="00C6492F"/>
    <w:rsid w:val="00C70711"/>
    <w:rsid w:val="00C70A40"/>
    <w:rsid w:val="00C714C8"/>
    <w:rsid w:val="00C72B58"/>
    <w:rsid w:val="00C7542A"/>
    <w:rsid w:val="00C8057E"/>
    <w:rsid w:val="00C81202"/>
    <w:rsid w:val="00C83732"/>
    <w:rsid w:val="00C86752"/>
    <w:rsid w:val="00C86F63"/>
    <w:rsid w:val="00C8730E"/>
    <w:rsid w:val="00C87B31"/>
    <w:rsid w:val="00C90746"/>
    <w:rsid w:val="00C90760"/>
    <w:rsid w:val="00C938C5"/>
    <w:rsid w:val="00C93D27"/>
    <w:rsid w:val="00C96256"/>
    <w:rsid w:val="00CA0270"/>
    <w:rsid w:val="00CA11C3"/>
    <w:rsid w:val="00CA21AE"/>
    <w:rsid w:val="00CA2C0F"/>
    <w:rsid w:val="00CA3F69"/>
    <w:rsid w:val="00CA5773"/>
    <w:rsid w:val="00CA57C3"/>
    <w:rsid w:val="00CA6C51"/>
    <w:rsid w:val="00CB1655"/>
    <w:rsid w:val="00CB2A1F"/>
    <w:rsid w:val="00CB5AD3"/>
    <w:rsid w:val="00CB77D6"/>
    <w:rsid w:val="00CC40E7"/>
    <w:rsid w:val="00CC4A5E"/>
    <w:rsid w:val="00CC4FE2"/>
    <w:rsid w:val="00CD16F2"/>
    <w:rsid w:val="00CE0BDC"/>
    <w:rsid w:val="00CE2353"/>
    <w:rsid w:val="00CE3446"/>
    <w:rsid w:val="00CE34D6"/>
    <w:rsid w:val="00CE4C46"/>
    <w:rsid w:val="00CE5732"/>
    <w:rsid w:val="00CE599F"/>
    <w:rsid w:val="00CE6D84"/>
    <w:rsid w:val="00CE7BBB"/>
    <w:rsid w:val="00CF2B7F"/>
    <w:rsid w:val="00CF44C8"/>
    <w:rsid w:val="00D04FD3"/>
    <w:rsid w:val="00D052D1"/>
    <w:rsid w:val="00D13FD6"/>
    <w:rsid w:val="00D16EAD"/>
    <w:rsid w:val="00D20730"/>
    <w:rsid w:val="00D22676"/>
    <w:rsid w:val="00D2337E"/>
    <w:rsid w:val="00D23D32"/>
    <w:rsid w:val="00D23FE8"/>
    <w:rsid w:val="00D25384"/>
    <w:rsid w:val="00D25D13"/>
    <w:rsid w:val="00D26ACB"/>
    <w:rsid w:val="00D27052"/>
    <w:rsid w:val="00D2766A"/>
    <w:rsid w:val="00D2777D"/>
    <w:rsid w:val="00D3038F"/>
    <w:rsid w:val="00D30421"/>
    <w:rsid w:val="00D31642"/>
    <w:rsid w:val="00D3220D"/>
    <w:rsid w:val="00D354CB"/>
    <w:rsid w:val="00D35A4D"/>
    <w:rsid w:val="00D3755B"/>
    <w:rsid w:val="00D42C98"/>
    <w:rsid w:val="00D44A03"/>
    <w:rsid w:val="00D4599E"/>
    <w:rsid w:val="00D51DD6"/>
    <w:rsid w:val="00D53AED"/>
    <w:rsid w:val="00D53E62"/>
    <w:rsid w:val="00D54326"/>
    <w:rsid w:val="00D564D3"/>
    <w:rsid w:val="00D573E2"/>
    <w:rsid w:val="00D60C65"/>
    <w:rsid w:val="00D61930"/>
    <w:rsid w:val="00D623B9"/>
    <w:rsid w:val="00D635C6"/>
    <w:rsid w:val="00D63F75"/>
    <w:rsid w:val="00D64755"/>
    <w:rsid w:val="00D649F0"/>
    <w:rsid w:val="00D670CF"/>
    <w:rsid w:val="00D6774D"/>
    <w:rsid w:val="00D70426"/>
    <w:rsid w:val="00D7065B"/>
    <w:rsid w:val="00D72086"/>
    <w:rsid w:val="00D72C6C"/>
    <w:rsid w:val="00D749C5"/>
    <w:rsid w:val="00D77C3D"/>
    <w:rsid w:val="00D81018"/>
    <w:rsid w:val="00D81723"/>
    <w:rsid w:val="00D81A0A"/>
    <w:rsid w:val="00D81DC4"/>
    <w:rsid w:val="00D83925"/>
    <w:rsid w:val="00D846F7"/>
    <w:rsid w:val="00D877F5"/>
    <w:rsid w:val="00D90A0B"/>
    <w:rsid w:val="00D93E0E"/>
    <w:rsid w:val="00D947D9"/>
    <w:rsid w:val="00DA0B57"/>
    <w:rsid w:val="00DA6097"/>
    <w:rsid w:val="00DB01CD"/>
    <w:rsid w:val="00DB08BE"/>
    <w:rsid w:val="00DB0A24"/>
    <w:rsid w:val="00DB0B96"/>
    <w:rsid w:val="00DB1AC2"/>
    <w:rsid w:val="00DB37A3"/>
    <w:rsid w:val="00DB4DE9"/>
    <w:rsid w:val="00DB59DE"/>
    <w:rsid w:val="00DB5AE0"/>
    <w:rsid w:val="00DB6F59"/>
    <w:rsid w:val="00DB7A42"/>
    <w:rsid w:val="00DB7CE5"/>
    <w:rsid w:val="00DC03DE"/>
    <w:rsid w:val="00DC142E"/>
    <w:rsid w:val="00DC1E0E"/>
    <w:rsid w:val="00DC4195"/>
    <w:rsid w:val="00DC67BF"/>
    <w:rsid w:val="00DD024D"/>
    <w:rsid w:val="00DD13BA"/>
    <w:rsid w:val="00DD5182"/>
    <w:rsid w:val="00DD6208"/>
    <w:rsid w:val="00DD6D39"/>
    <w:rsid w:val="00DE1FF9"/>
    <w:rsid w:val="00DE3A6D"/>
    <w:rsid w:val="00DE484B"/>
    <w:rsid w:val="00DE621A"/>
    <w:rsid w:val="00DF01D8"/>
    <w:rsid w:val="00DF1EE6"/>
    <w:rsid w:val="00DF2487"/>
    <w:rsid w:val="00DF299B"/>
    <w:rsid w:val="00DF38F3"/>
    <w:rsid w:val="00DF7B14"/>
    <w:rsid w:val="00E01450"/>
    <w:rsid w:val="00E03754"/>
    <w:rsid w:val="00E06442"/>
    <w:rsid w:val="00E070DB"/>
    <w:rsid w:val="00E079FF"/>
    <w:rsid w:val="00E1072E"/>
    <w:rsid w:val="00E11E10"/>
    <w:rsid w:val="00E12BFD"/>
    <w:rsid w:val="00E13869"/>
    <w:rsid w:val="00E15483"/>
    <w:rsid w:val="00E17AEC"/>
    <w:rsid w:val="00E20BB3"/>
    <w:rsid w:val="00E21696"/>
    <w:rsid w:val="00E22369"/>
    <w:rsid w:val="00E24335"/>
    <w:rsid w:val="00E261D2"/>
    <w:rsid w:val="00E2672D"/>
    <w:rsid w:val="00E30984"/>
    <w:rsid w:val="00E31D1B"/>
    <w:rsid w:val="00E33002"/>
    <w:rsid w:val="00E33E8D"/>
    <w:rsid w:val="00E34FBE"/>
    <w:rsid w:val="00E36945"/>
    <w:rsid w:val="00E42604"/>
    <w:rsid w:val="00E42B24"/>
    <w:rsid w:val="00E44187"/>
    <w:rsid w:val="00E46588"/>
    <w:rsid w:val="00E4713A"/>
    <w:rsid w:val="00E50131"/>
    <w:rsid w:val="00E50A06"/>
    <w:rsid w:val="00E50E24"/>
    <w:rsid w:val="00E52B63"/>
    <w:rsid w:val="00E53308"/>
    <w:rsid w:val="00E54662"/>
    <w:rsid w:val="00E54676"/>
    <w:rsid w:val="00E55536"/>
    <w:rsid w:val="00E55B11"/>
    <w:rsid w:val="00E570FD"/>
    <w:rsid w:val="00E57907"/>
    <w:rsid w:val="00E60B06"/>
    <w:rsid w:val="00E60E35"/>
    <w:rsid w:val="00E63254"/>
    <w:rsid w:val="00E64F28"/>
    <w:rsid w:val="00E657CB"/>
    <w:rsid w:val="00E664EE"/>
    <w:rsid w:val="00E66874"/>
    <w:rsid w:val="00E70246"/>
    <w:rsid w:val="00E727DA"/>
    <w:rsid w:val="00E72D94"/>
    <w:rsid w:val="00E74036"/>
    <w:rsid w:val="00E7534F"/>
    <w:rsid w:val="00E7599F"/>
    <w:rsid w:val="00E774DC"/>
    <w:rsid w:val="00E77BA0"/>
    <w:rsid w:val="00E81168"/>
    <w:rsid w:val="00E82228"/>
    <w:rsid w:val="00E83853"/>
    <w:rsid w:val="00E90BAE"/>
    <w:rsid w:val="00E913BC"/>
    <w:rsid w:val="00E94167"/>
    <w:rsid w:val="00E943C0"/>
    <w:rsid w:val="00E96057"/>
    <w:rsid w:val="00E97E37"/>
    <w:rsid w:val="00EA1364"/>
    <w:rsid w:val="00EA5583"/>
    <w:rsid w:val="00EA79C7"/>
    <w:rsid w:val="00EA7E6E"/>
    <w:rsid w:val="00EB0EAF"/>
    <w:rsid w:val="00EB1162"/>
    <w:rsid w:val="00EB1DA6"/>
    <w:rsid w:val="00EB38A6"/>
    <w:rsid w:val="00EB455A"/>
    <w:rsid w:val="00EB73F7"/>
    <w:rsid w:val="00EB7C05"/>
    <w:rsid w:val="00EC21CE"/>
    <w:rsid w:val="00EC4C5C"/>
    <w:rsid w:val="00EC4D59"/>
    <w:rsid w:val="00ED081F"/>
    <w:rsid w:val="00ED1420"/>
    <w:rsid w:val="00ED31E3"/>
    <w:rsid w:val="00EE06E6"/>
    <w:rsid w:val="00EE0FFE"/>
    <w:rsid w:val="00EE1013"/>
    <w:rsid w:val="00EE1A94"/>
    <w:rsid w:val="00EE1B4E"/>
    <w:rsid w:val="00EE1C07"/>
    <w:rsid w:val="00EE2923"/>
    <w:rsid w:val="00EE2E5F"/>
    <w:rsid w:val="00EE52E8"/>
    <w:rsid w:val="00EE74A8"/>
    <w:rsid w:val="00EF3C48"/>
    <w:rsid w:val="00EF6DFE"/>
    <w:rsid w:val="00F05C86"/>
    <w:rsid w:val="00F061C9"/>
    <w:rsid w:val="00F066EC"/>
    <w:rsid w:val="00F11FCF"/>
    <w:rsid w:val="00F13D9D"/>
    <w:rsid w:val="00F141EF"/>
    <w:rsid w:val="00F151D3"/>
    <w:rsid w:val="00F1592A"/>
    <w:rsid w:val="00F16D3D"/>
    <w:rsid w:val="00F210B0"/>
    <w:rsid w:val="00F21154"/>
    <w:rsid w:val="00F230F0"/>
    <w:rsid w:val="00F23193"/>
    <w:rsid w:val="00F23AA9"/>
    <w:rsid w:val="00F243DA"/>
    <w:rsid w:val="00F25D4B"/>
    <w:rsid w:val="00F277CC"/>
    <w:rsid w:val="00F31790"/>
    <w:rsid w:val="00F32F08"/>
    <w:rsid w:val="00F33CE8"/>
    <w:rsid w:val="00F36BFB"/>
    <w:rsid w:val="00F37B94"/>
    <w:rsid w:val="00F41F60"/>
    <w:rsid w:val="00F46205"/>
    <w:rsid w:val="00F53FA1"/>
    <w:rsid w:val="00F5462D"/>
    <w:rsid w:val="00F57C08"/>
    <w:rsid w:val="00F636A7"/>
    <w:rsid w:val="00F64256"/>
    <w:rsid w:val="00F66F26"/>
    <w:rsid w:val="00F707A2"/>
    <w:rsid w:val="00F71076"/>
    <w:rsid w:val="00F7294F"/>
    <w:rsid w:val="00F74ED1"/>
    <w:rsid w:val="00F74F7D"/>
    <w:rsid w:val="00F7529E"/>
    <w:rsid w:val="00F76579"/>
    <w:rsid w:val="00F800F4"/>
    <w:rsid w:val="00F812BE"/>
    <w:rsid w:val="00F81B53"/>
    <w:rsid w:val="00F8709D"/>
    <w:rsid w:val="00F874BC"/>
    <w:rsid w:val="00F9040A"/>
    <w:rsid w:val="00F90ED1"/>
    <w:rsid w:val="00F91888"/>
    <w:rsid w:val="00F918FE"/>
    <w:rsid w:val="00F91933"/>
    <w:rsid w:val="00F94434"/>
    <w:rsid w:val="00F9554D"/>
    <w:rsid w:val="00F97D51"/>
    <w:rsid w:val="00FA0AD3"/>
    <w:rsid w:val="00FA1EA0"/>
    <w:rsid w:val="00FA1F11"/>
    <w:rsid w:val="00FA2DDB"/>
    <w:rsid w:val="00FA6564"/>
    <w:rsid w:val="00FA75F9"/>
    <w:rsid w:val="00FB0368"/>
    <w:rsid w:val="00FB086B"/>
    <w:rsid w:val="00FB1BB0"/>
    <w:rsid w:val="00FB27DF"/>
    <w:rsid w:val="00FB298F"/>
    <w:rsid w:val="00FB30A2"/>
    <w:rsid w:val="00FB3945"/>
    <w:rsid w:val="00FB5908"/>
    <w:rsid w:val="00FB5A18"/>
    <w:rsid w:val="00FB604D"/>
    <w:rsid w:val="00FB700F"/>
    <w:rsid w:val="00FB7550"/>
    <w:rsid w:val="00FB7F34"/>
    <w:rsid w:val="00FC0D17"/>
    <w:rsid w:val="00FC1C71"/>
    <w:rsid w:val="00FC4940"/>
    <w:rsid w:val="00FD0FBC"/>
    <w:rsid w:val="00FD2F29"/>
    <w:rsid w:val="00FD389D"/>
    <w:rsid w:val="00FD414E"/>
    <w:rsid w:val="00FD4B3E"/>
    <w:rsid w:val="00FD5019"/>
    <w:rsid w:val="00FD5A55"/>
    <w:rsid w:val="00FD5A56"/>
    <w:rsid w:val="00FE0163"/>
    <w:rsid w:val="00FE05CE"/>
    <w:rsid w:val="00FE05E5"/>
    <w:rsid w:val="00FE1664"/>
    <w:rsid w:val="00FE1C20"/>
    <w:rsid w:val="00FE1E13"/>
    <w:rsid w:val="00FE5948"/>
    <w:rsid w:val="00FE5E5F"/>
    <w:rsid w:val="00FE6521"/>
    <w:rsid w:val="00FF04F1"/>
    <w:rsid w:val="00FF0BBB"/>
    <w:rsid w:val="00FF1D5C"/>
    <w:rsid w:val="00FF255E"/>
    <w:rsid w:val="00FF6884"/>
    <w:rsid w:val="00FF6DB0"/>
    <w:rsid w:val="00FF737C"/>
    <w:rsid w:val="01150B21"/>
    <w:rsid w:val="018502B5"/>
    <w:rsid w:val="01DB1C83"/>
    <w:rsid w:val="01F64D0F"/>
    <w:rsid w:val="029F53A6"/>
    <w:rsid w:val="02A22CA5"/>
    <w:rsid w:val="02E1776D"/>
    <w:rsid w:val="033A0C2B"/>
    <w:rsid w:val="035C6226"/>
    <w:rsid w:val="03AE3AF3"/>
    <w:rsid w:val="0433224A"/>
    <w:rsid w:val="05305068"/>
    <w:rsid w:val="056A57F8"/>
    <w:rsid w:val="05A849B2"/>
    <w:rsid w:val="060F45F1"/>
    <w:rsid w:val="064F49ED"/>
    <w:rsid w:val="06510766"/>
    <w:rsid w:val="06B62CBE"/>
    <w:rsid w:val="06E11AE9"/>
    <w:rsid w:val="06EE2458"/>
    <w:rsid w:val="07017172"/>
    <w:rsid w:val="071E0F8F"/>
    <w:rsid w:val="072D4D2F"/>
    <w:rsid w:val="07677AD1"/>
    <w:rsid w:val="07754928"/>
    <w:rsid w:val="079E5C2C"/>
    <w:rsid w:val="08155C5D"/>
    <w:rsid w:val="08805332"/>
    <w:rsid w:val="08CE2541"/>
    <w:rsid w:val="08EE4992"/>
    <w:rsid w:val="0935611C"/>
    <w:rsid w:val="093D1475"/>
    <w:rsid w:val="0958005D"/>
    <w:rsid w:val="09F75AC8"/>
    <w:rsid w:val="0A0B19C3"/>
    <w:rsid w:val="0A4C7BC2"/>
    <w:rsid w:val="0ABF0394"/>
    <w:rsid w:val="0B04049C"/>
    <w:rsid w:val="0B6B22C9"/>
    <w:rsid w:val="0BAF665A"/>
    <w:rsid w:val="0BD64449"/>
    <w:rsid w:val="0BFF569C"/>
    <w:rsid w:val="0C237DE0"/>
    <w:rsid w:val="0C8C0749"/>
    <w:rsid w:val="0C965756"/>
    <w:rsid w:val="0CDC2ACA"/>
    <w:rsid w:val="0D9773A6"/>
    <w:rsid w:val="0DB77A48"/>
    <w:rsid w:val="0DC42165"/>
    <w:rsid w:val="0E6A3D66"/>
    <w:rsid w:val="0E807E3A"/>
    <w:rsid w:val="0EA93835"/>
    <w:rsid w:val="0EC8358F"/>
    <w:rsid w:val="0ED168E7"/>
    <w:rsid w:val="0F503503"/>
    <w:rsid w:val="0F7C2CF7"/>
    <w:rsid w:val="0FC95811"/>
    <w:rsid w:val="10596B94"/>
    <w:rsid w:val="10D475A4"/>
    <w:rsid w:val="11380C28"/>
    <w:rsid w:val="1170586D"/>
    <w:rsid w:val="118A0FD0"/>
    <w:rsid w:val="118E6D12"/>
    <w:rsid w:val="11BF6ECB"/>
    <w:rsid w:val="11CC3396"/>
    <w:rsid w:val="120548F1"/>
    <w:rsid w:val="1212349F"/>
    <w:rsid w:val="12761F87"/>
    <w:rsid w:val="12A72CD1"/>
    <w:rsid w:val="12CF0C0F"/>
    <w:rsid w:val="132D4308"/>
    <w:rsid w:val="13313DF9"/>
    <w:rsid w:val="13741F37"/>
    <w:rsid w:val="139C2A90"/>
    <w:rsid w:val="13A20852"/>
    <w:rsid w:val="13BE388E"/>
    <w:rsid w:val="13D86F0D"/>
    <w:rsid w:val="144B713C"/>
    <w:rsid w:val="14667AD2"/>
    <w:rsid w:val="14681A9C"/>
    <w:rsid w:val="146944C2"/>
    <w:rsid w:val="14E37374"/>
    <w:rsid w:val="150C0679"/>
    <w:rsid w:val="151B7334"/>
    <w:rsid w:val="151C07F3"/>
    <w:rsid w:val="15CF1017"/>
    <w:rsid w:val="1666772B"/>
    <w:rsid w:val="16721235"/>
    <w:rsid w:val="16EE3830"/>
    <w:rsid w:val="17424AB7"/>
    <w:rsid w:val="17887D5F"/>
    <w:rsid w:val="17E256C1"/>
    <w:rsid w:val="17F65611"/>
    <w:rsid w:val="180E295A"/>
    <w:rsid w:val="18F22749"/>
    <w:rsid w:val="191915B7"/>
    <w:rsid w:val="19197809"/>
    <w:rsid w:val="19650358"/>
    <w:rsid w:val="19DE1D9F"/>
    <w:rsid w:val="1A9B7C43"/>
    <w:rsid w:val="1B2F5BFA"/>
    <w:rsid w:val="1B593EEC"/>
    <w:rsid w:val="1BCA6B98"/>
    <w:rsid w:val="1BDB2F6A"/>
    <w:rsid w:val="1BF741D0"/>
    <w:rsid w:val="1C5446B4"/>
    <w:rsid w:val="1C56042C"/>
    <w:rsid w:val="1C884062"/>
    <w:rsid w:val="1D083E1C"/>
    <w:rsid w:val="1D37025D"/>
    <w:rsid w:val="1D540E0F"/>
    <w:rsid w:val="1D8B05A9"/>
    <w:rsid w:val="1EDC0824"/>
    <w:rsid w:val="1EDF0BAD"/>
    <w:rsid w:val="1F3F2EA1"/>
    <w:rsid w:val="1F5E18DF"/>
    <w:rsid w:val="1F7F074A"/>
    <w:rsid w:val="1FCF02AE"/>
    <w:rsid w:val="1FE673DA"/>
    <w:rsid w:val="202645B9"/>
    <w:rsid w:val="20DB53A4"/>
    <w:rsid w:val="20F01385"/>
    <w:rsid w:val="21423675"/>
    <w:rsid w:val="214E0CB3"/>
    <w:rsid w:val="216F74D4"/>
    <w:rsid w:val="2190618E"/>
    <w:rsid w:val="21BE5ADD"/>
    <w:rsid w:val="21C61BB0"/>
    <w:rsid w:val="21D2794E"/>
    <w:rsid w:val="21F82FAD"/>
    <w:rsid w:val="220925C6"/>
    <w:rsid w:val="220A5F40"/>
    <w:rsid w:val="222A07C5"/>
    <w:rsid w:val="22F9340A"/>
    <w:rsid w:val="23A45F21"/>
    <w:rsid w:val="23B1063E"/>
    <w:rsid w:val="23D031BA"/>
    <w:rsid w:val="23E876FD"/>
    <w:rsid w:val="23F97868"/>
    <w:rsid w:val="24942439"/>
    <w:rsid w:val="24E567F1"/>
    <w:rsid w:val="24FD5F3F"/>
    <w:rsid w:val="25641E0C"/>
    <w:rsid w:val="257A162F"/>
    <w:rsid w:val="25853B30"/>
    <w:rsid w:val="259D70CC"/>
    <w:rsid w:val="260E3B25"/>
    <w:rsid w:val="264D3A61"/>
    <w:rsid w:val="26C2328E"/>
    <w:rsid w:val="26FB67A0"/>
    <w:rsid w:val="27092708"/>
    <w:rsid w:val="272924A0"/>
    <w:rsid w:val="27866B9F"/>
    <w:rsid w:val="27B32BD6"/>
    <w:rsid w:val="27C2241C"/>
    <w:rsid w:val="27D50D9F"/>
    <w:rsid w:val="27E71EA9"/>
    <w:rsid w:val="27F60D15"/>
    <w:rsid w:val="289E73E3"/>
    <w:rsid w:val="28A349F9"/>
    <w:rsid w:val="28EA6ACC"/>
    <w:rsid w:val="292A511A"/>
    <w:rsid w:val="292F2E7A"/>
    <w:rsid w:val="29944785"/>
    <w:rsid w:val="29DF5F05"/>
    <w:rsid w:val="29FA6504"/>
    <w:rsid w:val="2A040D26"/>
    <w:rsid w:val="2A225DF1"/>
    <w:rsid w:val="2A7B4E64"/>
    <w:rsid w:val="2B116592"/>
    <w:rsid w:val="2B631DDB"/>
    <w:rsid w:val="2BCC4267"/>
    <w:rsid w:val="2C536B29"/>
    <w:rsid w:val="2C5F332D"/>
    <w:rsid w:val="2C7072E8"/>
    <w:rsid w:val="2C730B86"/>
    <w:rsid w:val="2C906D58"/>
    <w:rsid w:val="2CCD473A"/>
    <w:rsid w:val="2CEB4BC0"/>
    <w:rsid w:val="2CFA0444"/>
    <w:rsid w:val="2CFE5A0D"/>
    <w:rsid w:val="2D577A9F"/>
    <w:rsid w:val="2D984BB1"/>
    <w:rsid w:val="2DF45CF7"/>
    <w:rsid w:val="2E0F77BA"/>
    <w:rsid w:val="2E603BCB"/>
    <w:rsid w:val="2E822337"/>
    <w:rsid w:val="2F3F2FA2"/>
    <w:rsid w:val="2F4D56BE"/>
    <w:rsid w:val="2F917CA1"/>
    <w:rsid w:val="2FBA3380"/>
    <w:rsid w:val="2FBC06DB"/>
    <w:rsid w:val="2FBE480E"/>
    <w:rsid w:val="2FC5794B"/>
    <w:rsid w:val="2FD656B4"/>
    <w:rsid w:val="2FFD70E5"/>
    <w:rsid w:val="2FFE2E5D"/>
    <w:rsid w:val="303F594F"/>
    <w:rsid w:val="30586A11"/>
    <w:rsid w:val="309C7EB6"/>
    <w:rsid w:val="309F1F4A"/>
    <w:rsid w:val="30F229C1"/>
    <w:rsid w:val="32220E91"/>
    <w:rsid w:val="32E0684A"/>
    <w:rsid w:val="333077D1"/>
    <w:rsid w:val="33424F22"/>
    <w:rsid w:val="33890C8F"/>
    <w:rsid w:val="33896EE1"/>
    <w:rsid w:val="33E52D35"/>
    <w:rsid w:val="341113B0"/>
    <w:rsid w:val="3422536C"/>
    <w:rsid w:val="344833BF"/>
    <w:rsid w:val="345474EF"/>
    <w:rsid w:val="34A90091"/>
    <w:rsid w:val="34B61F58"/>
    <w:rsid w:val="34CE2DFE"/>
    <w:rsid w:val="34D92233"/>
    <w:rsid w:val="34DF14AF"/>
    <w:rsid w:val="34F36D08"/>
    <w:rsid w:val="3575596F"/>
    <w:rsid w:val="35EA1EB9"/>
    <w:rsid w:val="361433DA"/>
    <w:rsid w:val="36401AD9"/>
    <w:rsid w:val="36794FEB"/>
    <w:rsid w:val="36A75037"/>
    <w:rsid w:val="37841E99"/>
    <w:rsid w:val="381F1BC2"/>
    <w:rsid w:val="38471845"/>
    <w:rsid w:val="38725745"/>
    <w:rsid w:val="38F17A02"/>
    <w:rsid w:val="39025256"/>
    <w:rsid w:val="39551D3F"/>
    <w:rsid w:val="3963760F"/>
    <w:rsid w:val="39B30BBC"/>
    <w:rsid w:val="39FE4A9D"/>
    <w:rsid w:val="3A1A0893"/>
    <w:rsid w:val="3A203D07"/>
    <w:rsid w:val="3A39340F"/>
    <w:rsid w:val="3AA30888"/>
    <w:rsid w:val="3AA65926"/>
    <w:rsid w:val="3AB94550"/>
    <w:rsid w:val="3AD153F6"/>
    <w:rsid w:val="3AF91A9F"/>
    <w:rsid w:val="3B053664"/>
    <w:rsid w:val="3B40257B"/>
    <w:rsid w:val="3B7566C9"/>
    <w:rsid w:val="3BA7755B"/>
    <w:rsid w:val="3BB16FD5"/>
    <w:rsid w:val="3BDD426E"/>
    <w:rsid w:val="3C410359"/>
    <w:rsid w:val="3C6C2C0E"/>
    <w:rsid w:val="3C8D17F0"/>
    <w:rsid w:val="3D143CBF"/>
    <w:rsid w:val="3D2B25F8"/>
    <w:rsid w:val="3D6119C4"/>
    <w:rsid w:val="3DA94408"/>
    <w:rsid w:val="3E047E0A"/>
    <w:rsid w:val="3E412892"/>
    <w:rsid w:val="3E4800C5"/>
    <w:rsid w:val="3F0F0BE2"/>
    <w:rsid w:val="3F12422F"/>
    <w:rsid w:val="3F24318A"/>
    <w:rsid w:val="3F32042D"/>
    <w:rsid w:val="3F566811"/>
    <w:rsid w:val="3FC65745"/>
    <w:rsid w:val="400224F5"/>
    <w:rsid w:val="40093884"/>
    <w:rsid w:val="40287A5A"/>
    <w:rsid w:val="40BB2DD0"/>
    <w:rsid w:val="40E90FBF"/>
    <w:rsid w:val="40EC3972"/>
    <w:rsid w:val="411C05E3"/>
    <w:rsid w:val="41744D2D"/>
    <w:rsid w:val="41A05B22"/>
    <w:rsid w:val="41BD0482"/>
    <w:rsid w:val="41F12821"/>
    <w:rsid w:val="42694565"/>
    <w:rsid w:val="427B20EB"/>
    <w:rsid w:val="43166C80"/>
    <w:rsid w:val="431F0E8B"/>
    <w:rsid w:val="432E715D"/>
    <w:rsid w:val="436D237B"/>
    <w:rsid w:val="43C26152"/>
    <w:rsid w:val="44044A8E"/>
    <w:rsid w:val="440C3157"/>
    <w:rsid w:val="441445A5"/>
    <w:rsid w:val="44444E8A"/>
    <w:rsid w:val="44D0671E"/>
    <w:rsid w:val="44D426B2"/>
    <w:rsid w:val="44E80FE1"/>
    <w:rsid w:val="455A06DD"/>
    <w:rsid w:val="45837C34"/>
    <w:rsid w:val="45965BB9"/>
    <w:rsid w:val="45B352DC"/>
    <w:rsid w:val="45CB21F7"/>
    <w:rsid w:val="45CF4C28"/>
    <w:rsid w:val="45ED3300"/>
    <w:rsid w:val="461A2EB7"/>
    <w:rsid w:val="46627FF1"/>
    <w:rsid w:val="46965745"/>
    <w:rsid w:val="474653BD"/>
    <w:rsid w:val="474B2E49"/>
    <w:rsid w:val="4766336A"/>
    <w:rsid w:val="478258F5"/>
    <w:rsid w:val="482F17FF"/>
    <w:rsid w:val="48517B76"/>
    <w:rsid w:val="48A77906"/>
    <w:rsid w:val="48A91760"/>
    <w:rsid w:val="490E6F34"/>
    <w:rsid w:val="49217DF9"/>
    <w:rsid w:val="4941408E"/>
    <w:rsid w:val="494D47E1"/>
    <w:rsid w:val="49D96075"/>
    <w:rsid w:val="4AB34B18"/>
    <w:rsid w:val="4AE03433"/>
    <w:rsid w:val="4AE41175"/>
    <w:rsid w:val="4B8204BE"/>
    <w:rsid w:val="4BC52D55"/>
    <w:rsid w:val="4C4507B6"/>
    <w:rsid w:val="4C63256E"/>
    <w:rsid w:val="4D3B7D6A"/>
    <w:rsid w:val="4D551EB6"/>
    <w:rsid w:val="4D8B14D9"/>
    <w:rsid w:val="4DB33B09"/>
    <w:rsid w:val="4EBB21ED"/>
    <w:rsid w:val="4F021BCA"/>
    <w:rsid w:val="4F1813ED"/>
    <w:rsid w:val="4F576D80"/>
    <w:rsid w:val="4FA30A16"/>
    <w:rsid w:val="509947B0"/>
    <w:rsid w:val="50AF18DD"/>
    <w:rsid w:val="50CE26AB"/>
    <w:rsid w:val="510D2AA8"/>
    <w:rsid w:val="5141620C"/>
    <w:rsid w:val="525C3CE7"/>
    <w:rsid w:val="528E3D51"/>
    <w:rsid w:val="530E3233"/>
    <w:rsid w:val="538F3C48"/>
    <w:rsid w:val="53D55AFF"/>
    <w:rsid w:val="54091C4C"/>
    <w:rsid w:val="543C5B7E"/>
    <w:rsid w:val="544D38E7"/>
    <w:rsid w:val="54660E4D"/>
    <w:rsid w:val="546B0211"/>
    <w:rsid w:val="55491271"/>
    <w:rsid w:val="55844E99"/>
    <w:rsid w:val="55B44A7B"/>
    <w:rsid w:val="560E70A6"/>
    <w:rsid w:val="56680EAC"/>
    <w:rsid w:val="572D5C52"/>
    <w:rsid w:val="576176AA"/>
    <w:rsid w:val="57714C32"/>
    <w:rsid w:val="577B69BD"/>
    <w:rsid w:val="57D367F9"/>
    <w:rsid w:val="583B7EFB"/>
    <w:rsid w:val="58900396"/>
    <w:rsid w:val="58B061F7"/>
    <w:rsid w:val="58BA1CEE"/>
    <w:rsid w:val="58C16652"/>
    <w:rsid w:val="58C61EBA"/>
    <w:rsid w:val="593E5EF4"/>
    <w:rsid w:val="595079D6"/>
    <w:rsid w:val="59576FB6"/>
    <w:rsid w:val="59AD46C0"/>
    <w:rsid w:val="59C503C4"/>
    <w:rsid w:val="5A3B2CC9"/>
    <w:rsid w:val="5B305D11"/>
    <w:rsid w:val="5B4F0B23"/>
    <w:rsid w:val="5B4F731A"/>
    <w:rsid w:val="5B993B5A"/>
    <w:rsid w:val="5BA87F9D"/>
    <w:rsid w:val="5BC3555C"/>
    <w:rsid w:val="5BD668B8"/>
    <w:rsid w:val="5BF907F8"/>
    <w:rsid w:val="5C2C0286"/>
    <w:rsid w:val="5C5804DA"/>
    <w:rsid w:val="5C7B2FBB"/>
    <w:rsid w:val="5C983B6D"/>
    <w:rsid w:val="5D4E1BA7"/>
    <w:rsid w:val="5D814602"/>
    <w:rsid w:val="5D9A3915"/>
    <w:rsid w:val="5DD961EC"/>
    <w:rsid w:val="5DF254FF"/>
    <w:rsid w:val="5E4C039D"/>
    <w:rsid w:val="5E9B16F3"/>
    <w:rsid w:val="5EA7453C"/>
    <w:rsid w:val="5F061262"/>
    <w:rsid w:val="5F573763"/>
    <w:rsid w:val="5F773F0E"/>
    <w:rsid w:val="5FC01AAC"/>
    <w:rsid w:val="602B6AA7"/>
    <w:rsid w:val="6045400C"/>
    <w:rsid w:val="60A222C5"/>
    <w:rsid w:val="60D1764E"/>
    <w:rsid w:val="611A2DA3"/>
    <w:rsid w:val="612C2AD6"/>
    <w:rsid w:val="61377DF9"/>
    <w:rsid w:val="617A7CE6"/>
    <w:rsid w:val="61D513C0"/>
    <w:rsid w:val="621C33F7"/>
    <w:rsid w:val="621E4B15"/>
    <w:rsid w:val="626544F2"/>
    <w:rsid w:val="62C366A0"/>
    <w:rsid w:val="63083419"/>
    <w:rsid w:val="632048BD"/>
    <w:rsid w:val="634E31D8"/>
    <w:rsid w:val="63500CFE"/>
    <w:rsid w:val="635B76A3"/>
    <w:rsid w:val="637C5F97"/>
    <w:rsid w:val="638766EA"/>
    <w:rsid w:val="638A6C51"/>
    <w:rsid w:val="63915694"/>
    <w:rsid w:val="639332E1"/>
    <w:rsid w:val="645D4770"/>
    <w:rsid w:val="64A07A63"/>
    <w:rsid w:val="64C94EC5"/>
    <w:rsid w:val="64F102BF"/>
    <w:rsid w:val="65424FBE"/>
    <w:rsid w:val="65711400"/>
    <w:rsid w:val="658904F7"/>
    <w:rsid w:val="65AC7B52"/>
    <w:rsid w:val="666902A6"/>
    <w:rsid w:val="66D87988"/>
    <w:rsid w:val="671F55B7"/>
    <w:rsid w:val="68464DC5"/>
    <w:rsid w:val="687E3344"/>
    <w:rsid w:val="68E36170"/>
    <w:rsid w:val="692A78CC"/>
    <w:rsid w:val="693D7F76"/>
    <w:rsid w:val="69502941"/>
    <w:rsid w:val="699851AD"/>
    <w:rsid w:val="69D81A4D"/>
    <w:rsid w:val="69F97043"/>
    <w:rsid w:val="6A2373A8"/>
    <w:rsid w:val="6A627569"/>
    <w:rsid w:val="6AAF6C52"/>
    <w:rsid w:val="6AB53B3C"/>
    <w:rsid w:val="6BF07522"/>
    <w:rsid w:val="6C0703C8"/>
    <w:rsid w:val="6C164AAF"/>
    <w:rsid w:val="6C3D3BAD"/>
    <w:rsid w:val="6C661592"/>
    <w:rsid w:val="6C6E48EB"/>
    <w:rsid w:val="6CCA3A1C"/>
    <w:rsid w:val="6CE81FA7"/>
    <w:rsid w:val="6D1F1741"/>
    <w:rsid w:val="6D8A5754"/>
    <w:rsid w:val="6D9A2F35"/>
    <w:rsid w:val="6D9A5D0C"/>
    <w:rsid w:val="6DBE53FE"/>
    <w:rsid w:val="6E0077C5"/>
    <w:rsid w:val="6E46167B"/>
    <w:rsid w:val="6E577D47"/>
    <w:rsid w:val="6F170AB2"/>
    <w:rsid w:val="6F455D89"/>
    <w:rsid w:val="6F4B0F13"/>
    <w:rsid w:val="6F745D74"/>
    <w:rsid w:val="6F9562E9"/>
    <w:rsid w:val="6FD1766A"/>
    <w:rsid w:val="6FE27182"/>
    <w:rsid w:val="705D2CAC"/>
    <w:rsid w:val="7075449A"/>
    <w:rsid w:val="70756248"/>
    <w:rsid w:val="709B2013"/>
    <w:rsid w:val="70AF4C91"/>
    <w:rsid w:val="71146562"/>
    <w:rsid w:val="71267542"/>
    <w:rsid w:val="71706A0F"/>
    <w:rsid w:val="71922E29"/>
    <w:rsid w:val="723D2D95"/>
    <w:rsid w:val="7248226E"/>
    <w:rsid w:val="724A3704"/>
    <w:rsid w:val="72783DCD"/>
    <w:rsid w:val="72933146"/>
    <w:rsid w:val="72B666A4"/>
    <w:rsid w:val="72EC6569"/>
    <w:rsid w:val="72F21DD2"/>
    <w:rsid w:val="73C51294"/>
    <w:rsid w:val="73FE6554"/>
    <w:rsid w:val="7419338E"/>
    <w:rsid w:val="74424693"/>
    <w:rsid w:val="74732A9E"/>
    <w:rsid w:val="74BC64E7"/>
    <w:rsid w:val="74C07CAE"/>
    <w:rsid w:val="74EF5ED9"/>
    <w:rsid w:val="752E2E69"/>
    <w:rsid w:val="75A803EA"/>
    <w:rsid w:val="75ED062E"/>
    <w:rsid w:val="764861AD"/>
    <w:rsid w:val="76E2215D"/>
    <w:rsid w:val="76EC08E6"/>
    <w:rsid w:val="77077871"/>
    <w:rsid w:val="771B020D"/>
    <w:rsid w:val="77435AB2"/>
    <w:rsid w:val="776C1A27"/>
    <w:rsid w:val="77955421"/>
    <w:rsid w:val="77E141C3"/>
    <w:rsid w:val="78237046"/>
    <w:rsid w:val="78407BB7"/>
    <w:rsid w:val="78533470"/>
    <w:rsid w:val="78BE62B2"/>
    <w:rsid w:val="7908577F"/>
    <w:rsid w:val="79921C19"/>
    <w:rsid w:val="79A47B9E"/>
    <w:rsid w:val="7A023EF6"/>
    <w:rsid w:val="7A220727"/>
    <w:rsid w:val="7A772BBC"/>
    <w:rsid w:val="7AAB2866"/>
    <w:rsid w:val="7AFB37ED"/>
    <w:rsid w:val="7AFD1314"/>
    <w:rsid w:val="7B1F572E"/>
    <w:rsid w:val="7B486307"/>
    <w:rsid w:val="7B5353D8"/>
    <w:rsid w:val="7B641393"/>
    <w:rsid w:val="7B8A4C7B"/>
    <w:rsid w:val="7B95154C"/>
    <w:rsid w:val="7BAE5340"/>
    <w:rsid w:val="7BB265A2"/>
    <w:rsid w:val="7BC23531"/>
    <w:rsid w:val="7BD55DED"/>
    <w:rsid w:val="7C0466D2"/>
    <w:rsid w:val="7CD04806"/>
    <w:rsid w:val="7CEA1D6C"/>
    <w:rsid w:val="7CEF576A"/>
    <w:rsid w:val="7DD722F0"/>
    <w:rsid w:val="7E2D1F10"/>
    <w:rsid w:val="7E3E236F"/>
    <w:rsid w:val="7E7044F2"/>
    <w:rsid w:val="7F2C0419"/>
    <w:rsid w:val="7FD616AB"/>
    <w:rsid w:val="7FF64583"/>
    <w:rsid w:val="7FFA30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29"/>
    <w:qFormat/>
    <w:uiPriority w:val="0"/>
    <w:pPr>
      <w:keepNext/>
      <w:keepLines/>
      <w:numPr>
        <w:ilvl w:val="0"/>
        <w:numId w:val="1"/>
      </w:numPr>
      <w:tabs>
        <w:tab w:val="clear" w:pos="420"/>
      </w:tabs>
      <w:spacing w:line="360" w:lineRule="auto"/>
      <w:jc w:val="center"/>
      <w:outlineLvl w:val="0"/>
    </w:pPr>
    <w:rPr>
      <w:rFonts w:ascii="Times New Roman" w:hAnsi="Times New Roman" w:eastAsia="黑体" w:cs="Times New Roman"/>
      <w:color w:val="000000" w:themeColor="text1"/>
      <w:kern w:val="44"/>
      <w:sz w:val="30"/>
      <w:szCs w:val="27"/>
      <w:shd w:val="clear" w:color="auto" w:fill="FFFFFF"/>
      <w:lang w:val="en-US" w:eastAsia="zh-CN" w:bidi="ar-SA"/>
      <w14:textFill>
        <w14:solidFill>
          <w14:schemeClr w14:val="tx1"/>
        </w14:solidFill>
      </w14:textFill>
    </w:rPr>
  </w:style>
  <w:style w:type="paragraph" w:styleId="3">
    <w:name w:val="heading 2"/>
    <w:next w:val="1"/>
    <w:link w:val="30"/>
    <w:unhideWhenUsed/>
    <w:qFormat/>
    <w:uiPriority w:val="0"/>
    <w:pPr>
      <w:numPr>
        <w:ilvl w:val="1"/>
        <w:numId w:val="1"/>
      </w:numPr>
      <w:tabs>
        <w:tab w:val="clear" w:pos="420"/>
      </w:tabs>
      <w:spacing w:line="360" w:lineRule="auto"/>
      <w:outlineLvl w:val="1"/>
    </w:pPr>
    <w:rPr>
      <w:rFonts w:ascii="Times New Roman" w:hAnsi="Times New Roman" w:eastAsia="黑体" w:cs="Times New Roman"/>
      <w:bCs/>
      <w:sz w:val="28"/>
      <w:szCs w:val="36"/>
      <w:lang w:val="en-US" w:eastAsia="zh-CN" w:bidi="ar-SA"/>
    </w:rPr>
  </w:style>
  <w:style w:type="paragraph" w:styleId="4">
    <w:name w:val="heading 3"/>
    <w:next w:val="1"/>
    <w:link w:val="42"/>
    <w:unhideWhenUsed/>
    <w:qFormat/>
    <w:uiPriority w:val="0"/>
    <w:pPr>
      <w:numPr>
        <w:ilvl w:val="2"/>
        <w:numId w:val="1"/>
      </w:numPr>
      <w:tabs>
        <w:tab w:val="clear" w:pos="0"/>
      </w:tabs>
      <w:spacing w:line="360" w:lineRule="auto"/>
      <w:jc w:val="both"/>
      <w:outlineLvl w:val="2"/>
    </w:pPr>
    <w:rPr>
      <w:rFonts w:hint="eastAsia" w:ascii="Times New Roman" w:hAnsi="Times New Roman" w:eastAsia="黑体" w:cs="Times New Roman"/>
      <w:sz w:val="28"/>
      <w:szCs w:val="24"/>
      <w:lang w:val="en-US" w:eastAsia="zh-CN" w:bidi="ar-SA"/>
    </w:rPr>
  </w:style>
  <w:style w:type="paragraph" w:styleId="5">
    <w:name w:val="heading 4"/>
    <w:basedOn w:val="1"/>
    <w:next w:val="1"/>
    <w:unhideWhenUsed/>
    <w:qFormat/>
    <w:uiPriority w:val="0"/>
    <w:pPr>
      <w:numPr>
        <w:ilvl w:val="3"/>
        <w:numId w:val="1"/>
      </w:numPr>
      <w:spacing w:beforeAutospacing="1" w:afterAutospacing="1"/>
      <w:ind w:firstLineChars="0"/>
      <w:jc w:val="left"/>
      <w:outlineLvl w:val="3"/>
    </w:pPr>
    <w:rPr>
      <w:rFonts w:hint="eastAsia" w:ascii="宋体" w:hAnsi="宋体"/>
      <w:b/>
      <w:bCs/>
      <w:kern w:val="0"/>
    </w:rPr>
  </w:style>
  <w:style w:type="paragraph" w:styleId="6">
    <w:name w:val="heading 5"/>
    <w:basedOn w:val="1"/>
    <w:next w:val="1"/>
    <w:semiHidden/>
    <w:unhideWhenUsed/>
    <w:qFormat/>
    <w:uiPriority w:val="0"/>
    <w:pPr>
      <w:keepNext/>
      <w:keepLines/>
      <w:numPr>
        <w:ilvl w:val="4"/>
        <w:numId w:val="2"/>
      </w:numPr>
      <w:spacing w:before="280" w:after="290" w:line="372" w:lineRule="auto"/>
      <w:ind w:firstLine="0" w:firstLineChars="0"/>
      <w:outlineLvl w:val="4"/>
    </w:pPr>
    <w:rPr>
      <w:b/>
      <w:sz w:val="28"/>
    </w:rPr>
  </w:style>
  <w:style w:type="paragraph" w:styleId="7">
    <w:name w:val="heading 6"/>
    <w:basedOn w:val="1"/>
    <w:next w:val="1"/>
    <w:semiHidden/>
    <w:unhideWhenUsed/>
    <w:qFormat/>
    <w:uiPriority w:val="0"/>
    <w:pPr>
      <w:keepNext/>
      <w:keepLines/>
      <w:numPr>
        <w:ilvl w:val="5"/>
        <w:numId w:val="2"/>
      </w:numPr>
      <w:spacing w:before="240" w:after="64" w:line="317" w:lineRule="auto"/>
      <w:ind w:firstLine="0" w:firstLineChars="0"/>
      <w:outlineLvl w:val="5"/>
    </w:pPr>
    <w:rPr>
      <w:rFonts w:ascii="Arial" w:hAnsi="Arial" w:eastAsia="黑体"/>
      <w:b/>
    </w:rPr>
  </w:style>
  <w:style w:type="paragraph" w:styleId="8">
    <w:name w:val="heading 7"/>
    <w:basedOn w:val="1"/>
    <w:next w:val="1"/>
    <w:semiHidden/>
    <w:unhideWhenUsed/>
    <w:qFormat/>
    <w:uiPriority w:val="0"/>
    <w:pPr>
      <w:keepNext/>
      <w:keepLines/>
      <w:numPr>
        <w:ilvl w:val="6"/>
        <w:numId w:val="2"/>
      </w:numPr>
      <w:spacing w:before="240" w:after="64" w:line="317" w:lineRule="auto"/>
      <w:ind w:firstLine="0" w:firstLineChars="0"/>
      <w:outlineLvl w:val="6"/>
    </w:pPr>
    <w:rPr>
      <w:b/>
    </w:rPr>
  </w:style>
  <w:style w:type="paragraph" w:styleId="9">
    <w:name w:val="heading 8"/>
    <w:basedOn w:val="1"/>
    <w:next w:val="1"/>
    <w:semiHidden/>
    <w:unhideWhenUsed/>
    <w:qFormat/>
    <w:uiPriority w:val="0"/>
    <w:pPr>
      <w:keepNext/>
      <w:keepLines/>
      <w:numPr>
        <w:ilvl w:val="7"/>
        <w:numId w:val="2"/>
      </w:numPr>
      <w:spacing w:before="240" w:after="64" w:line="317" w:lineRule="auto"/>
      <w:ind w:firstLine="0" w:firstLineChars="0"/>
      <w:outlineLvl w:val="7"/>
    </w:pPr>
    <w:rPr>
      <w:rFonts w:ascii="Arial" w:hAnsi="Arial" w:eastAsia="黑体"/>
    </w:rPr>
  </w:style>
  <w:style w:type="paragraph" w:styleId="10">
    <w:name w:val="heading 9"/>
    <w:basedOn w:val="1"/>
    <w:next w:val="1"/>
    <w:semiHidden/>
    <w:unhideWhenUsed/>
    <w:qFormat/>
    <w:uiPriority w:val="0"/>
    <w:pPr>
      <w:keepNext/>
      <w:keepLines/>
      <w:numPr>
        <w:ilvl w:val="8"/>
        <w:numId w:val="2"/>
      </w:numPr>
      <w:spacing w:before="240" w:after="64" w:line="317" w:lineRule="auto"/>
      <w:ind w:firstLine="0" w:firstLineChars="0"/>
      <w:outlineLvl w:val="8"/>
    </w:pPr>
    <w:rPr>
      <w:rFonts w:ascii="Arial" w:hAnsi="Arial" w:eastAsia="黑体"/>
    </w:rPr>
  </w:style>
  <w:style w:type="character" w:default="1" w:styleId="23">
    <w:name w:val="Default Paragraph Font"/>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pPr>
      <w:keepNext/>
      <w:ind w:firstLine="0" w:firstLineChars="0"/>
      <w:jc w:val="center"/>
    </w:pPr>
    <w:rPr>
      <w:rFonts w:cstheme="majorBidi"/>
      <w:sz w:val="21"/>
      <w:szCs w:val="20"/>
    </w:rPr>
  </w:style>
  <w:style w:type="paragraph" w:styleId="12">
    <w:name w:val="annotation text"/>
    <w:basedOn w:val="1"/>
    <w:link w:val="49"/>
    <w:qFormat/>
    <w:uiPriority w:val="0"/>
    <w:pPr>
      <w:spacing w:line="240" w:lineRule="auto"/>
      <w:ind w:firstLine="0" w:firstLineChars="0"/>
      <w:jc w:val="left"/>
    </w:pPr>
    <w:rPr>
      <w:sz w:val="21"/>
    </w:rPr>
  </w:style>
  <w:style w:type="paragraph" w:styleId="13">
    <w:name w:val="toc 3"/>
    <w:basedOn w:val="1"/>
    <w:next w:val="1"/>
    <w:qFormat/>
    <w:uiPriority w:val="39"/>
    <w:pPr>
      <w:ind w:left="400" w:leftChars="400" w:firstLine="0" w:firstLineChars="0"/>
    </w:pPr>
    <w:rPr>
      <w:rFonts w:cstheme="minorHAnsi"/>
      <w:iCs/>
      <w:szCs w:val="20"/>
    </w:rPr>
  </w:style>
  <w:style w:type="paragraph" w:styleId="14">
    <w:name w:val="footer"/>
    <w:basedOn w:val="1"/>
    <w:link w:val="47"/>
    <w:qFormat/>
    <w:uiPriority w:val="99"/>
    <w:pPr>
      <w:tabs>
        <w:tab w:val="center" w:pos="4153"/>
        <w:tab w:val="right" w:pos="8306"/>
      </w:tabs>
      <w:snapToGrid w:val="0"/>
      <w:spacing w:line="240" w:lineRule="auto"/>
      <w:ind w:firstLine="0" w:firstLineChars="0"/>
      <w:jc w:val="left"/>
    </w:pPr>
    <w:rPr>
      <w:sz w:val="18"/>
      <w:szCs w:val="18"/>
    </w:rPr>
  </w:style>
  <w:style w:type="paragraph" w:styleId="15">
    <w:name w:val="header"/>
    <w:basedOn w:val="1"/>
    <w:link w:val="46"/>
    <w:qFormat/>
    <w:uiPriority w:val="99"/>
    <w:pPr>
      <w:pBdr>
        <w:bottom w:val="single" w:color="auto" w:sz="4" w:space="1"/>
      </w:pBdr>
      <w:tabs>
        <w:tab w:val="center" w:pos="4678"/>
        <w:tab w:val="right" w:pos="9355"/>
      </w:tabs>
      <w:snapToGrid w:val="0"/>
      <w:spacing w:line="240" w:lineRule="auto"/>
      <w:ind w:firstLine="0" w:firstLineChars="0"/>
      <w:jc w:val="center"/>
    </w:pPr>
    <w:rPr>
      <w:sz w:val="21"/>
      <w:szCs w:val="18"/>
    </w:rPr>
  </w:style>
  <w:style w:type="paragraph" w:styleId="16">
    <w:name w:val="toc 1"/>
    <w:basedOn w:val="1"/>
    <w:next w:val="1"/>
    <w:qFormat/>
    <w:uiPriority w:val="39"/>
    <w:pPr>
      <w:ind w:firstLine="0" w:firstLineChars="0"/>
    </w:pPr>
    <w:rPr>
      <w:rFonts w:cstheme="minorHAnsi"/>
      <w:bCs/>
      <w:szCs w:val="20"/>
    </w:rPr>
  </w:style>
  <w:style w:type="paragraph" w:styleId="17">
    <w:name w:val="footnote text"/>
    <w:basedOn w:val="1"/>
    <w:link w:val="39"/>
    <w:qFormat/>
    <w:uiPriority w:val="0"/>
    <w:pPr>
      <w:snapToGrid w:val="0"/>
      <w:jc w:val="left"/>
    </w:pPr>
    <w:rPr>
      <w:sz w:val="18"/>
      <w:szCs w:val="18"/>
    </w:rPr>
  </w:style>
  <w:style w:type="paragraph" w:styleId="18">
    <w:name w:val="toc 2"/>
    <w:basedOn w:val="1"/>
    <w:next w:val="1"/>
    <w:qFormat/>
    <w:uiPriority w:val="39"/>
    <w:pPr>
      <w:ind w:left="200" w:leftChars="200" w:firstLine="0" w:firstLineChars="0"/>
    </w:pPr>
    <w:rPr>
      <w:smallCaps/>
      <w:szCs w:val="20"/>
    </w:rPr>
  </w:style>
  <w:style w:type="paragraph" w:styleId="19">
    <w:name w:val="Normal (Web)"/>
    <w:basedOn w:val="1"/>
    <w:qFormat/>
    <w:uiPriority w:val="0"/>
    <w:pPr>
      <w:spacing w:beforeAutospacing="1" w:afterAutospacing="1"/>
      <w:jc w:val="left"/>
    </w:pPr>
    <w:rPr>
      <w:kern w:val="0"/>
    </w:rPr>
  </w:style>
  <w:style w:type="paragraph" w:styleId="20">
    <w:name w:val="annotation subject"/>
    <w:basedOn w:val="12"/>
    <w:next w:val="12"/>
    <w:link w:val="50"/>
    <w:qFormat/>
    <w:uiPriority w:val="0"/>
    <w:pPr>
      <w:spacing w:line="360" w:lineRule="auto"/>
      <w:ind w:firstLine="480" w:firstLineChars="200"/>
    </w:pPr>
    <w:rPr>
      <w:b/>
      <w:bCs/>
      <w:sz w:val="24"/>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Hyperlink"/>
    <w:basedOn w:val="23"/>
    <w:qFormat/>
    <w:uiPriority w:val="99"/>
    <w:rPr>
      <w:color w:val="0000FF"/>
      <w:u w:val="single"/>
    </w:rPr>
  </w:style>
  <w:style w:type="character" w:styleId="26">
    <w:name w:val="HTML Code"/>
    <w:basedOn w:val="23"/>
    <w:qFormat/>
    <w:uiPriority w:val="0"/>
    <w:rPr>
      <w:rFonts w:ascii="Courier New" w:hAnsi="Courier New"/>
      <w:sz w:val="20"/>
    </w:rPr>
  </w:style>
  <w:style w:type="character" w:styleId="27">
    <w:name w:val="annotation reference"/>
    <w:uiPriority w:val="0"/>
    <w:rPr>
      <w:sz w:val="21"/>
      <w:szCs w:val="21"/>
    </w:rPr>
  </w:style>
  <w:style w:type="character" w:styleId="28">
    <w:name w:val="footnote reference"/>
    <w:basedOn w:val="23"/>
    <w:qFormat/>
    <w:uiPriority w:val="0"/>
    <w:rPr>
      <w:vertAlign w:val="superscript"/>
    </w:rPr>
  </w:style>
  <w:style w:type="character" w:customStyle="1" w:styleId="29">
    <w:name w:val="标题 1 字符"/>
    <w:link w:val="2"/>
    <w:qFormat/>
    <w:uiPriority w:val="0"/>
    <w:rPr>
      <w:rFonts w:eastAsia="黑体"/>
      <w:color w:val="000000" w:themeColor="text1"/>
      <w:kern w:val="44"/>
      <w:sz w:val="30"/>
      <w:szCs w:val="27"/>
      <w14:textFill>
        <w14:solidFill>
          <w14:schemeClr w14:val="tx1"/>
        </w14:solidFill>
      </w14:textFill>
    </w:rPr>
  </w:style>
  <w:style w:type="character" w:customStyle="1" w:styleId="30">
    <w:name w:val="标题 2 字符"/>
    <w:link w:val="3"/>
    <w:qFormat/>
    <w:uiPriority w:val="0"/>
    <w:rPr>
      <w:rFonts w:eastAsia="黑体"/>
      <w:bCs/>
      <w:sz w:val="28"/>
      <w:szCs w:val="36"/>
    </w:rPr>
  </w:style>
  <w:style w:type="paragraph" w:customStyle="1" w:styleId="31">
    <w:name w:val="表格内容"/>
    <w:basedOn w:val="1"/>
    <w:qFormat/>
    <w:uiPriority w:val="0"/>
    <w:pPr>
      <w:spacing w:line="300" w:lineRule="auto"/>
      <w:jc w:val="center"/>
    </w:pPr>
    <w:rPr>
      <w:rFonts w:asciiTheme="minorHAnsi" w:hAnsiTheme="minorHAnsi" w:eastAsiaTheme="minorEastAsia" w:cstheme="minorEastAsia"/>
      <w:szCs w:val="21"/>
    </w:rPr>
  </w:style>
  <w:style w:type="paragraph" w:customStyle="1" w:styleId="32">
    <w:name w:val="中期二级标题"/>
    <w:basedOn w:val="1"/>
    <w:link w:val="33"/>
    <w:qFormat/>
    <w:uiPriority w:val="0"/>
    <w:pPr>
      <w:numPr>
        <w:ilvl w:val="1"/>
        <w:numId w:val="3"/>
      </w:numPr>
    </w:pPr>
    <w:rPr>
      <w:rFonts w:ascii="黑体" w:hAnsi="黑体" w:eastAsia="黑体"/>
      <w:sz w:val="32"/>
      <w:szCs w:val="32"/>
    </w:rPr>
  </w:style>
  <w:style w:type="character" w:customStyle="1" w:styleId="33">
    <w:name w:val="中期二级标题 字符"/>
    <w:link w:val="32"/>
    <w:qFormat/>
    <w:uiPriority w:val="0"/>
    <w:rPr>
      <w:rFonts w:ascii="黑体" w:hAnsi="黑体" w:eastAsia="黑体"/>
      <w:kern w:val="2"/>
      <w:sz w:val="32"/>
      <w:szCs w:val="32"/>
      <w:lang w:val="en-US" w:eastAsia="zh-CN" w:bidi="ar-SA"/>
    </w:rPr>
  </w:style>
  <w:style w:type="paragraph" w:customStyle="1" w:styleId="34">
    <w:name w:val="中期一级标题"/>
    <w:basedOn w:val="1"/>
    <w:qFormat/>
    <w:uiPriority w:val="0"/>
    <w:pPr>
      <w:numPr>
        <w:ilvl w:val="0"/>
        <w:numId w:val="3"/>
      </w:numPr>
      <w:ind w:firstLineChars="0"/>
    </w:pPr>
  </w:style>
  <w:style w:type="paragraph" w:customStyle="1" w:styleId="35">
    <w:name w:val="中期三级标题"/>
    <w:basedOn w:val="1"/>
    <w:qFormat/>
    <w:uiPriority w:val="0"/>
    <w:pPr>
      <w:numPr>
        <w:ilvl w:val="2"/>
        <w:numId w:val="3"/>
      </w:numPr>
      <w:ind w:firstLineChars="0"/>
    </w:pPr>
  </w:style>
  <w:style w:type="paragraph" w:customStyle="1" w:styleId="36">
    <w:name w:val="中期四级标题"/>
    <w:basedOn w:val="1"/>
    <w:qFormat/>
    <w:uiPriority w:val="0"/>
    <w:pPr>
      <w:numPr>
        <w:ilvl w:val="3"/>
        <w:numId w:val="3"/>
      </w:numPr>
      <w:ind w:firstLineChars="0"/>
    </w:pPr>
  </w:style>
  <w:style w:type="paragraph" w:customStyle="1" w:styleId="37">
    <w:name w:val="公式"/>
    <w:basedOn w:val="1"/>
    <w:qFormat/>
    <w:uiPriority w:val="0"/>
    <w:pPr>
      <w:tabs>
        <w:tab w:val="center" w:pos="2940"/>
        <w:tab w:val="right" w:pos="7140"/>
      </w:tabs>
      <w:spacing w:before="50" w:beforeLines="50" w:after="50" w:afterLines="50" w:line="300" w:lineRule="auto"/>
      <w:ind w:firstLine="0" w:firstLineChars="0"/>
    </w:pPr>
    <w:rPr>
      <w:rFonts w:cstheme="majorBidi"/>
      <w:szCs w:val="20"/>
    </w:rPr>
  </w:style>
  <w:style w:type="paragraph" w:customStyle="1" w:styleId="38">
    <w:name w:val="参考文献"/>
    <w:basedOn w:val="1"/>
    <w:next w:val="1"/>
    <w:unhideWhenUsed/>
    <w:qFormat/>
    <w:uiPriority w:val="37"/>
    <w:pPr>
      <w:numPr>
        <w:ilvl w:val="0"/>
        <w:numId w:val="4"/>
      </w:numPr>
      <w:ind w:firstLineChars="0"/>
    </w:pPr>
    <w:rPr>
      <w:sz w:val="21"/>
    </w:rPr>
  </w:style>
  <w:style w:type="character" w:customStyle="1" w:styleId="39">
    <w:name w:val="脚注文本 字符"/>
    <w:basedOn w:val="23"/>
    <w:link w:val="17"/>
    <w:qFormat/>
    <w:uiPriority w:val="0"/>
    <w:rPr>
      <w:kern w:val="2"/>
      <w:sz w:val="18"/>
      <w:szCs w:val="18"/>
    </w:rPr>
  </w:style>
  <w:style w:type="paragraph" w:styleId="40">
    <w:name w:val="List Paragraph"/>
    <w:basedOn w:val="1"/>
    <w:unhideWhenUsed/>
    <w:qFormat/>
    <w:uiPriority w:val="34"/>
    <w:pPr>
      <w:ind w:firstLine="420"/>
    </w:pPr>
  </w:style>
  <w:style w:type="character" w:styleId="41">
    <w:name w:val="Placeholder Text"/>
    <w:basedOn w:val="23"/>
    <w:unhideWhenUsed/>
    <w:qFormat/>
    <w:uiPriority w:val="99"/>
    <w:rPr>
      <w:color w:val="666666"/>
    </w:rPr>
  </w:style>
  <w:style w:type="character" w:customStyle="1" w:styleId="42">
    <w:name w:val="标题 3 字符"/>
    <w:basedOn w:val="23"/>
    <w:link w:val="4"/>
    <w:qFormat/>
    <w:uiPriority w:val="0"/>
    <w:rPr>
      <w:rFonts w:eastAsia="黑体"/>
      <w:sz w:val="28"/>
      <w:szCs w:val="24"/>
    </w:rPr>
  </w:style>
  <w:style w:type="character" w:customStyle="1" w:styleId="43">
    <w:name w:val="MTEquationSection"/>
    <w:basedOn w:val="23"/>
    <w:uiPriority w:val="0"/>
    <w:rPr>
      <w:vanish/>
      <w:color w:val="FF0000"/>
    </w:rPr>
  </w:style>
  <w:style w:type="paragraph" w:customStyle="1" w:styleId="44">
    <w:name w:val="MTDisplayEquation"/>
    <w:basedOn w:val="1"/>
    <w:next w:val="1"/>
    <w:link w:val="45"/>
    <w:qFormat/>
    <w:uiPriority w:val="0"/>
    <w:pPr>
      <w:tabs>
        <w:tab w:val="center" w:pos="4678"/>
        <w:tab w:val="right" w:pos="9356"/>
      </w:tabs>
      <w:spacing w:before="100" w:beforeLines="100" w:after="100" w:afterLines="100"/>
      <w:ind w:firstLine="0" w:firstLineChars="0"/>
    </w:pPr>
  </w:style>
  <w:style w:type="character" w:customStyle="1" w:styleId="45">
    <w:name w:val="MTDisplayEquation 字符"/>
    <w:basedOn w:val="23"/>
    <w:link w:val="44"/>
    <w:uiPriority w:val="0"/>
    <w:rPr>
      <w:kern w:val="2"/>
      <w:sz w:val="24"/>
      <w:szCs w:val="24"/>
    </w:rPr>
  </w:style>
  <w:style w:type="character" w:customStyle="1" w:styleId="46">
    <w:name w:val="页眉 字符"/>
    <w:basedOn w:val="23"/>
    <w:link w:val="15"/>
    <w:uiPriority w:val="99"/>
    <w:rPr>
      <w:kern w:val="2"/>
      <w:sz w:val="21"/>
      <w:szCs w:val="18"/>
    </w:rPr>
  </w:style>
  <w:style w:type="character" w:customStyle="1" w:styleId="47">
    <w:name w:val="页脚 字符"/>
    <w:basedOn w:val="23"/>
    <w:link w:val="14"/>
    <w:qFormat/>
    <w:uiPriority w:val="99"/>
    <w:rPr>
      <w:kern w:val="2"/>
      <w:sz w:val="18"/>
      <w:szCs w:val="18"/>
    </w:rPr>
  </w:style>
  <w:style w:type="character" w:customStyle="1" w:styleId="48">
    <w:name w:val="Unresolved Mention"/>
    <w:basedOn w:val="23"/>
    <w:semiHidden/>
    <w:unhideWhenUsed/>
    <w:qFormat/>
    <w:uiPriority w:val="99"/>
    <w:rPr>
      <w:color w:val="605E5C"/>
      <w:shd w:val="clear" w:color="auto" w:fill="E1DFDD"/>
    </w:rPr>
  </w:style>
  <w:style w:type="character" w:customStyle="1" w:styleId="49">
    <w:name w:val="批注文字 字符"/>
    <w:basedOn w:val="23"/>
    <w:link w:val="12"/>
    <w:qFormat/>
    <w:uiPriority w:val="0"/>
    <w:rPr>
      <w:kern w:val="2"/>
      <w:sz w:val="21"/>
      <w:szCs w:val="24"/>
    </w:rPr>
  </w:style>
  <w:style w:type="character" w:customStyle="1" w:styleId="50">
    <w:name w:val="批注主题 字符"/>
    <w:basedOn w:val="49"/>
    <w:link w:val="20"/>
    <w:uiPriority w:val="0"/>
    <w:rPr>
      <w:b/>
      <w:bCs/>
      <w:kern w:val="2"/>
      <w:sz w:val="24"/>
      <w:szCs w:val="24"/>
    </w:rPr>
  </w:style>
  <w:style w:type="paragraph" w:customStyle="1" w:styleId="51">
    <w:name w:val="摘要"/>
    <w:basedOn w:val="1"/>
    <w:link w:val="52"/>
    <w:qFormat/>
    <w:uiPriority w:val="0"/>
  </w:style>
  <w:style w:type="character" w:customStyle="1" w:styleId="52">
    <w:name w:val="摘要 字符"/>
    <w:basedOn w:val="23"/>
    <w:link w:val="51"/>
    <w:uiPriority w:val="0"/>
    <w:rPr>
      <w:kern w:val="2"/>
      <w:sz w:val="24"/>
      <w:szCs w:val="24"/>
    </w:rPr>
  </w:style>
  <w:style w:type="paragraph" w:customStyle="1" w:styleId="53">
    <w:name w:val="正文图片"/>
    <w:basedOn w:val="1"/>
    <w:next w:val="1"/>
    <w:qFormat/>
    <w:uiPriority w:val="0"/>
    <w:pPr>
      <w:keepNext/>
      <w:spacing w:before="100" w:beforeLines="100"/>
      <w:ind w:firstLine="0" w:firstLineChars="0"/>
      <w:jc w:val="center"/>
    </w:pPr>
  </w:style>
  <w:style w:type="paragraph" w:customStyle="1" w:styleId="54">
    <w:name w:val="Bibliography"/>
    <w:basedOn w:val="1"/>
    <w:next w:val="1"/>
    <w:unhideWhenUsed/>
    <w:uiPriority w:val="37"/>
    <w:pPr>
      <w:tabs>
        <w:tab w:val="left" w:pos="504"/>
      </w:tabs>
      <w:spacing w:line="240" w:lineRule="auto"/>
      <w:ind w:left="504" w:hanging="504"/>
    </w:pPr>
  </w:style>
  <w:style w:type="paragraph" w:customStyle="1" w:styleId="55">
    <w:name w:val="Revision"/>
    <w:hidden/>
    <w:unhideWhenUsed/>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6.png"/><Relationship Id="rId98" Type="http://schemas.openxmlformats.org/officeDocument/2006/relationships/image" Target="media/image35.wmf"/><Relationship Id="rId97" Type="http://schemas.openxmlformats.org/officeDocument/2006/relationships/oleObject" Target="embeddings/oleObject33.bin"/><Relationship Id="rId96" Type="http://schemas.openxmlformats.org/officeDocument/2006/relationships/image" Target="media/image34.wmf"/><Relationship Id="rId95" Type="http://schemas.openxmlformats.org/officeDocument/2006/relationships/oleObject" Target="embeddings/oleObject32.bin"/><Relationship Id="rId94" Type="http://schemas.openxmlformats.org/officeDocument/2006/relationships/image" Target="media/image33.wmf"/><Relationship Id="rId93" Type="http://schemas.openxmlformats.org/officeDocument/2006/relationships/oleObject" Target="embeddings/oleObject31.bin"/><Relationship Id="rId92" Type="http://schemas.openxmlformats.org/officeDocument/2006/relationships/image" Target="media/image32.wmf"/><Relationship Id="rId91" Type="http://schemas.openxmlformats.org/officeDocument/2006/relationships/oleObject" Target="embeddings/oleObject30.bin"/><Relationship Id="rId90" Type="http://schemas.openxmlformats.org/officeDocument/2006/relationships/image" Target="media/image31.wmf"/><Relationship Id="rId9" Type="http://schemas.openxmlformats.org/officeDocument/2006/relationships/footer" Target="footer2.xml"/><Relationship Id="rId89" Type="http://schemas.openxmlformats.org/officeDocument/2006/relationships/oleObject" Target="embeddings/oleObject29.bin"/><Relationship Id="rId88" Type="http://schemas.openxmlformats.org/officeDocument/2006/relationships/image" Target="media/image30.wmf"/><Relationship Id="rId87" Type="http://schemas.openxmlformats.org/officeDocument/2006/relationships/oleObject" Target="embeddings/oleObject28.bin"/><Relationship Id="rId86" Type="http://schemas.openxmlformats.org/officeDocument/2006/relationships/image" Target="media/image29.wmf"/><Relationship Id="rId85" Type="http://schemas.openxmlformats.org/officeDocument/2006/relationships/oleObject" Target="embeddings/oleObject27.bin"/><Relationship Id="rId84" Type="http://schemas.openxmlformats.org/officeDocument/2006/relationships/image" Target="media/image28.wmf"/><Relationship Id="rId83" Type="http://schemas.openxmlformats.org/officeDocument/2006/relationships/oleObject" Target="embeddings/oleObject26.bin"/><Relationship Id="rId82" Type="http://schemas.openxmlformats.org/officeDocument/2006/relationships/image" Target="media/image27.wmf"/><Relationship Id="rId81" Type="http://schemas.openxmlformats.org/officeDocument/2006/relationships/oleObject" Target="embeddings/oleObject25.bin"/><Relationship Id="rId80" Type="http://schemas.openxmlformats.org/officeDocument/2006/relationships/image" Target="media/image26.wmf"/><Relationship Id="rId8" Type="http://schemas.openxmlformats.org/officeDocument/2006/relationships/footer" Target="footer1.xml"/><Relationship Id="rId79" Type="http://schemas.openxmlformats.org/officeDocument/2006/relationships/oleObject" Target="embeddings/oleObject24.bin"/><Relationship Id="rId78" Type="http://schemas.openxmlformats.org/officeDocument/2006/relationships/image" Target="media/image25.wmf"/><Relationship Id="rId77" Type="http://schemas.openxmlformats.org/officeDocument/2006/relationships/oleObject" Target="embeddings/oleObject23.bin"/><Relationship Id="rId76" Type="http://schemas.openxmlformats.org/officeDocument/2006/relationships/image" Target="media/image24.wmf"/><Relationship Id="rId75" Type="http://schemas.openxmlformats.org/officeDocument/2006/relationships/oleObject" Target="embeddings/oleObject22.bin"/><Relationship Id="rId74" Type="http://schemas.openxmlformats.org/officeDocument/2006/relationships/image" Target="media/image23.png"/><Relationship Id="rId73" Type="http://schemas.openxmlformats.org/officeDocument/2006/relationships/image" Target="media/image22.wmf"/><Relationship Id="rId72" Type="http://schemas.openxmlformats.org/officeDocument/2006/relationships/oleObject" Target="embeddings/oleObject21.bin"/><Relationship Id="rId71" Type="http://schemas.openxmlformats.org/officeDocument/2006/relationships/image" Target="media/image21.wmf"/><Relationship Id="rId70" Type="http://schemas.openxmlformats.org/officeDocument/2006/relationships/oleObject" Target="embeddings/oleObject20.bin"/><Relationship Id="rId7" Type="http://schemas.openxmlformats.org/officeDocument/2006/relationships/header" Target="header3.xml"/><Relationship Id="rId69" Type="http://schemas.openxmlformats.org/officeDocument/2006/relationships/image" Target="media/image20.wmf"/><Relationship Id="rId68" Type="http://schemas.openxmlformats.org/officeDocument/2006/relationships/oleObject" Target="embeddings/oleObject19.bin"/><Relationship Id="rId67" Type="http://schemas.openxmlformats.org/officeDocument/2006/relationships/image" Target="media/image19.wmf"/><Relationship Id="rId66" Type="http://schemas.openxmlformats.org/officeDocument/2006/relationships/oleObject" Target="embeddings/oleObject18.bin"/><Relationship Id="rId65" Type="http://schemas.openxmlformats.org/officeDocument/2006/relationships/image" Target="media/image18.wmf"/><Relationship Id="rId64" Type="http://schemas.openxmlformats.org/officeDocument/2006/relationships/oleObject" Target="embeddings/oleObject17.bin"/><Relationship Id="rId63" Type="http://schemas.openxmlformats.org/officeDocument/2006/relationships/image" Target="media/image17.wmf"/><Relationship Id="rId62" Type="http://schemas.openxmlformats.org/officeDocument/2006/relationships/oleObject" Target="embeddings/oleObject16.bin"/><Relationship Id="rId61" Type="http://schemas.openxmlformats.org/officeDocument/2006/relationships/image" Target="media/image16.wmf"/><Relationship Id="rId60" Type="http://schemas.openxmlformats.org/officeDocument/2006/relationships/oleObject" Target="embeddings/oleObject15.bin"/><Relationship Id="rId6" Type="http://schemas.openxmlformats.org/officeDocument/2006/relationships/header" Target="header2.xml"/><Relationship Id="rId59" Type="http://schemas.openxmlformats.org/officeDocument/2006/relationships/image" Target="media/image15.wmf"/><Relationship Id="rId58" Type="http://schemas.openxmlformats.org/officeDocument/2006/relationships/oleObject" Target="embeddings/oleObject14.bin"/><Relationship Id="rId57" Type="http://schemas.openxmlformats.org/officeDocument/2006/relationships/image" Target="media/image14.wmf"/><Relationship Id="rId56" Type="http://schemas.openxmlformats.org/officeDocument/2006/relationships/oleObject" Target="embeddings/oleObject13.bin"/><Relationship Id="rId55" Type="http://schemas.openxmlformats.org/officeDocument/2006/relationships/image" Target="media/image13.wmf"/><Relationship Id="rId54" Type="http://schemas.openxmlformats.org/officeDocument/2006/relationships/oleObject" Target="embeddings/oleObject12.bin"/><Relationship Id="rId53" Type="http://schemas.openxmlformats.org/officeDocument/2006/relationships/image" Target="media/image12.wmf"/><Relationship Id="rId52" Type="http://schemas.openxmlformats.org/officeDocument/2006/relationships/oleObject" Target="embeddings/oleObject11.bin"/><Relationship Id="rId51" Type="http://schemas.openxmlformats.org/officeDocument/2006/relationships/image" Target="media/image11.wmf"/><Relationship Id="rId50" Type="http://schemas.openxmlformats.org/officeDocument/2006/relationships/oleObject" Target="embeddings/oleObject10.bin"/><Relationship Id="rId5" Type="http://schemas.openxmlformats.org/officeDocument/2006/relationships/header" Target="header1.xml"/><Relationship Id="rId49" Type="http://schemas.openxmlformats.org/officeDocument/2006/relationships/image" Target="media/image10.wmf"/><Relationship Id="rId48" Type="http://schemas.openxmlformats.org/officeDocument/2006/relationships/oleObject" Target="embeddings/oleObject9.bin"/><Relationship Id="rId47" Type="http://schemas.openxmlformats.org/officeDocument/2006/relationships/image" Target="media/image9.png"/><Relationship Id="rId46" Type="http://schemas.openxmlformats.org/officeDocument/2006/relationships/image" Target="media/image8.wmf"/><Relationship Id="rId453" Type="http://schemas.microsoft.com/office/2011/relationships/people" Target="people.xml"/><Relationship Id="rId452" Type="http://schemas.openxmlformats.org/officeDocument/2006/relationships/fontTable" Target="fontTable.xml"/><Relationship Id="rId451" Type="http://schemas.openxmlformats.org/officeDocument/2006/relationships/customXml" Target="../customXml/item2.xml"/><Relationship Id="rId450" Type="http://schemas.openxmlformats.org/officeDocument/2006/relationships/numbering" Target="numbering.xml"/><Relationship Id="rId45" Type="http://schemas.openxmlformats.org/officeDocument/2006/relationships/oleObject" Target="embeddings/oleObject8.bin"/><Relationship Id="rId449" Type="http://schemas.openxmlformats.org/officeDocument/2006/relationships/customXml" Target="../customXml/item1.xml"/><Relationship Id="rId448" Type="http://schemas.openxmlformats.org/officeDocument/2006/relationships/image" Target="media/image217.png"/><Relationship Id="rId447" Type="http://schemas.openxmlformats.org/officeDocument/2006/relationships/image" Target="media/image216.png"/><Relationship Id="rId446" Type="http://schemas.openxmlformats.org/officeDocument/2006/relationships/image" Target="media/image215.png"/><Relationship Id="rId445" Type="http://schemas.openxmlformats.org/officeDocument/2006/relationships/image" Target="media/image214.png"/><Relationship Id="rId444" Type="http://schemas.openxmlformats.org/officeDocument/2006/relationships/image" Target="media/image213.png"/><Relationship Id="rId443" Type="http://schemas.openxmlformats.org/officeDocument/2006/relationships/image" Target="media/image212.wmf"/><Relationship Id="rId442" Type="http://schemas.openxmlformats.org/officeDocument/2006/relationships/oleObject" Target="embeddings/oleObject201.bin"/><Relationship Id="rId441" Type="http://schemas.openxmlformats.org/officeDocument/2006/relationships/oleObject" Target="embeddings/oleObject200.bin"/><Relationship Id="rId440" Type="http://schemas.openxmlformats.org/officeDocument/2006/relationships/image" Target="media/image211.wmf"/><Relationship Id="rId44" Type="http://schemas.openxmlformats.org/officeDocument/2006/relationships/image" Target="media/image7.wmf"/><Relationship Id="rId439" Type="http://schemas.openxmlformats.org/officeDocument/2006/relationships/oleObject" Target="embeddings/oleObject199.bin"/><Relationship Id="rId438" Type="http://schemas.openxmlformats.org/officeDocument/2006/relationships/image" Target="media/image210.wmf"/><Relationship Id="rId437" Type="http://schemas.openxmlformats.org/officeDocument/2006/relationships/oleObject" Target="embeddings/oleObject198.bin"/><Relationship Id="rId436" Type="http://schemas.openxmlformats.org/officeDocument/2006/relationships/image" Target="media/image209.wmf"/><Relationship Id="rId435" Type="http://schemas.openxmlformats.org/officeDocument/2006/relationships/oleObject" Target="embeddings/oleObject197.bin"/><Relationship Id="rId434" Type="http://schemas.openxmlformats.org/officeDocument/2006/relationships/image" Target="media/image208.wmf"/><Relationship Id="rId433" Type="http://schemas.openxmlformats.org/officeDocument/2006/relationships/oleObject" Target="embeddings/oleObject196.bin"/><Relationship Id="rId432" Type="http://schemas.openxmlformats.org/officeDocument/2006/relationships/image" Target="media/image207.wmf"/><Relationship Id="rId431" Type="http://schemas.openxmlformats.org/officeDocument/2006/relationships/oleObject" Target="embeddings/oleObject195.bin"/><Relationship Id="rId430" Type="http://schemas.openxmlformats.org/officeDocument/2006/relationships/image" Target="media/image206.wmf"/><Relationship Id="rId43" Type="http://schemas.openxmlformats.org/officeDocument/2006/relationships/oleObject" Target="embeddings/oleObject7.bin"/><Relationship Id="rId429" Type="http://schemas.openxmlformats.org/officeDocument/2006/relationships/oleObject" Target="embeddings/oleObject194.bin"/><Relationship Id="rId428" Type="http://schemas.openxmlformats.org/officeDocument/2006/relationships/image" Target="media/image205.wmf"/><Relationship Id="rId427" Type="http://schemas.openxmlformats.org/officeDocument/2006/relationships/oleObject" Target="embeddings/oleObject193.bin"/><Relationship Id="rId426" Type="http://schemas.openxmlformats.org/officeDocument/2006/relationships/image" Target="media/image204.wmf"/><Relationship Id="rId425" Type="http://schemas.openxmlformats.org/officeDocument/2006/relationships/oleObject" Target="embeddings/oleObject192.bin"/><Relationship Id="rId424" Type="http://schemas.openxmlformats.org/officeDocument/2006/relationships/image" Target="media/image203.wmf"/><Relationship Id="rId423" Type="http://schemas.openxmlformats.org/officeDocument/2006/relationships/oleObject" Target="embeddings/oleObject191.bin"/><Relationship Id="rId422" Type="http://schemas.openxmlformats.org/officeDocument/2006/relationships/image" Target="media/image202.wmf"/><Relationship Id="rId421" Type="http://schemas.openxmlformats.org/officeDocument/2006/relationships/oleObject" Target="embeddings/oleObject190.bin"/><Relationship Id="rId420" Type="http://schemas.openxmlformats.org/officeDocument/2006/relationships/image" Target="media/image201.wmf"/><Relationship Id="rId42" Type="http://schemas.openxmlformats.org/officeDocument/2006/relationships/image" Target="media/image6.wmf"/><Relationship Id="rId419" Type="http://schemas.openxmlformats.org/officeDocument/2006/relationships/oleObject" Target="embeddings/oleObject189.bin"/><Relationship Id="rId418" Type="http://schemas.openxmlformats.org/officeDocument/2006/relationships/image" Target="media/image200.wmf"/><Relationship Id="rId417" Type="http://schemas.openxmlformats.org/officeDocument/2006/relationships/oleObject" Target="embeddings/oleObject188.bin"/><Relationship Id="rId416" Type="http://schemas.openxmlformats.org/officeDocument/2006/relationships/image" Target="media/image199.wmf"/><Relationship Id="rId415" Type="http://schemas.openxmlformats.org/officeDocument/2006/relationships/oleObject" Target="embeddings/oleObject187.bin"/><Relationship Id="rId414" Type="http://schemas.openxmlformats.org/officeDocument/2006/relationships/image" Target="media/image198.wmf"/><Relationship Id="rId413" Type="http://schemas.openxmlformats.org/officeDocument/2006/relationships/oleObject" Target="embeddings/oleObject186.bin"/><Relationship Id="rId412" Type="http://schemas.openxmlformats.org/officeDocument/2006/relationships/image" Target="media/image197.wmf"/><Relationship Id="rId411" Type="http://schemas.openxmlformats.org/officeDocument/2006/relationships/oleObject" Target="embeddings/oleObject185.bin"/><Relationship Id="rId410" Type="http://schemas.openxmlformats.org/officeDocument/2006/relationships/image" Target="media/image196.wmf"/><Relationship Id="rId41" Type="http://schemas.openxmlformats.org/officeDocument/2006/relationships/oleObject" Target="embeddings/oleObject6.bin"/><Relationship Id="rId409" Type="http://schemas.openxmlformats.org/officeDocument/2006/relationships/oleObject" Target="embeddings/oleObject184.bin"/><Relationship Id="rId408" Type="http://schemas.openxmlformats.org/officeDocument/2006/relationships/image" Target="media/image195.wmf"/><Relationship Id="rId407" Type="http://schemas.openxmlformats.org/officeDocument/2006/relationships/oleObject" Target="embeddings/oleObject183.bin"/><Relationship Id="rId406" Type="http://schemas.openxmlformats.org/officeDocument/2006/relationships/image" Target="media/image194.wmf"/><Relationship Id="rId405" Type="http://schemas.openxmlformats.org/officeDocument/2006/relationships/oleObject" Target="embeddings/oleObject182.bin"/><Relationship Id="rId404" Type="http://schemas.openxmlformats.org/officeDocument/2006/relationships/image" Target="media/image193.png"/><Relationship Id="rId403" Type="http://schemas.openxmlformats.org/officeDocument/2006/relationships/image" Target="media/image192.png"/><Relationship Id="rId402" Type="http://schemas.openxmlformats.org/officeDocument/2006/relationships/image" Target="media/image191.wmf"/><Relationship Id="rId401" Type="http://schemas.openxmlformats.org/officeDocument/2006/relationships/oleObject" Target="embeddings/oleObject181.bin"/><Relationship Id="rId400" Type="http://schemas.openxmlformats.org/officeDocument/2006/relationships/image" Target="media/image190.wmf"/><Relationship Id="rId40" Type="http://schemas.openxmlformats.org/officeDocument/2006/relationships/image" Target="media/image5.wmf"/><Relationship Id="rId4" Type="http://schemas.microsoft.com/office/2011/relationships/commentsExtended" Target="commentsExtended.xml"/><Relationship Id="rId399" Type="http://schemas.openxmlformats.org/officeDocument/2006/relationships/oleObject" Target="embeddings/oleObject180.bin"/><Relationship Id="rId398" Type="http://schemas.openxmlformats.org/officeDocument/2006/relationships/image" Target="media/image189.wmf"/><Relationship Id="rId397" Type="http://schemas.openxmlformats.org/officeDocument/2006/relationships/oleObject" Target="embeddings/oleObject179.bin"/><Relationship Id="rId396" Type="http://schemas.openxmlformats.org/officeDocument/2006/relationships/image" Target="media/image188.wmf"/><Relationship Id="rId395" Type="http://schemas.openxmlformats.org/officeDocument/2006/relationships/oleObject" Target="embeddings/oleObject178.bin"/><Relationship Id="rId394" Type="http://schemas.openxmlformats.org/officeDocument/2006/relationships/image" Target="media/image187.wmf"/><Relationship Id="rId393" Type="http://schemas.openxmlformats.org/officeDocument/2006/relationships/oleObject" Target="embeddings/oleObject177.bin"/><Relationship Id="rId392" Type="http://schemas.openxmlformats.org/officeDocument/2006/relationships/image" Target="media/image186.wmf"/><Relationship Id="rId391" Type="http://schemas.openxmlformats.org/officeDocument/2006/relationships/oleObject" Target="embeddings/oleObject176.bin"/><Relationship Id="rId390" Type="http://schemas.openxmlformats.org/officeDocument/2006/relationships/image" Target="media/image185.wmf"/><Relationship Id="rId39" Type="http://schemas.openxmlformats.org/officeDocument/2006/relationships/oleObject" Target="embeddings/oleObject5.bin"/><Relationship Id="rId389" Type="http://schemas.openxmlformats.org/officeDocument/2006/relationships/oleObject" Target="embeddings/oleObject175.bin"/><Relationship Id="rId388" Type="http://schemas.openxmlformats.org/officeDocument/2006/relationships/image" Target="media/image184.wmf"/><Relationship Id="rId387" Type="http://schemas.openxmlformats.org/officeDocument/2006/relationships/oleObject" Target="embeddings/oleObject174.bin"/><Relationship Id="rId386" Type="http://schemas.openxmlformats.org/officeDocument/2006/relationships/image" Target="media/image183.wmf"/><Relationship Id="rId385" Type="http://schemas.openxmlformats.org/officeDocument/2006/relationships/oleObject" Target="embeddings/oleObject173.bin"/><Relationship Id="rId384" Type="http://schemas.openxmlformats.org/officeDocument/2006/relationships/image" Target="media/image182.wmf"/><Relationship Id="rId383" Type="http://schemas.openxmlformats.org/officeDocument/2006/relationships/oleObject" Target="embeddings/oleObject172.bin"/><Relationship Id="rId382" Type="http://schemas.openxmlformats.org/officeDocument/2006/relationships/image" Target="media/image181.wmf"/><Relationship Id="rId381" Type="http://schemas.openxmlformats.org/officeDocument/2006/relationships/oleObject" Target="embeddings/oleObject171.bin"/><Relationship Id="rId380" Type="http://schemas.openxmlformats.org/officeDocument/2006/relationships/image" Target="media/image180.wmf"/><Relationship Id="rId38" Type="http://schemas.openxmlformats.org/officeDocument/2006/relationships/image" Target="media/image4.wmf"/><Relationship Id="rId379" Type="http://schemas.openxmlformats.org/officeDocument/2006/relationships/oleObject" Target="embeddings/oleObject170.bin"/><Relationship Id="rId378" Type="http://schemas.openxmlformats.org/officeDocument/2006/relationships/image" Target="media/image179.wmf"/><Relationship Id="rId377" Type="http://schemas.openxmlformats.org/officeDocument/2006/relationships/oleObject" Target="embeddings/oleObject169.bin"/><Relationship Id="rId376" Type="http://schemas.openxmlformats.org/officeDocument/2006/relationships/image" Target="media/image178.wmf"/><Relationship Id="rId375" Type="http://schemas.openxmlformats.org/officeDocument/2006/relationships/oleObject" Target="embeddings/oleObject168.bin"/><Relationship Id="rId374" Type="http://schemas.openxmlformats.org/officeDocument/2006/relationships/image" Target="media/image177.wmf"/><Relationship Id="rId373" Type="http://schemas.openxmlformats.org/officeDocument/2006/relationships/oleObject" Target="embeddings/oleObject167.bin"/><Relationship Id="rId372" Type="http://schemas.openxmlformats.org/officeDocument/2006/relationships/image" Target="media/image176.wmf"/><Relationship Id="rId371" Type="http://schemas.openxmlformats.org/officeDocument/2006/relationships/oleObject" Target="embeddings/oleObject166.bin"/><Relationship Id="rId370" Type="http://schemas.openxmlformats.org/officeDocument/2006/relationships/image" Target="media/image175.wmf"/><Relationship Id="rId37" Type="http://schemas.openxmlformats.org/officeDocument/2006/relationships/oleObject" Target="embeddings/oleObject4.bin"/><Relationship Id="rId369" Type="http://schemas.openxmlformats.org/officeDocument/2006/relationships/oleObject" Target="embeddings/oleObject165.bin"/><Relationship Id="rId368" Type="http://schemas.openxmlformats.org/officeDocument/2006/relationships/image" Target="media/image174.wmf"/><Relationship Id="rId367" Type="http://schemas.openxmlformats.org/officeDocument/2006/relationships/oleObject" Target="embeddings/oleObject164.bin"/><Relationship Id="rId366" Type="http://schemas.openxmlformats.org/officeDocument/2006/relationships/image" Target="media/image173.wmf"/><Relationship Id="rId365" Type="http://schemas.openxmlformats.org/officeDocument/2006/relationships/oleObject" Target="embeddings/oleObject163.bin"/><Relationship Id="rId364" Type="http://schemas.openxmlformats.org/officeDocument/2006/relationships/image" Target="media/image172.wmf"/><Relationship Id="rId363" Type="http://schemas.openxmlformats.org/officeDocument/2006/relationships/oleObject" Target="embeddings/oleObject162.bin"/><Relationship Id="rId362" Type="http://schemas.openxmlformats.org/officeDocument/2006/relationships/image" Target="media/image171.wmf"/><Relationship Id="rId361" Type="http://schemas.openxmlformats.org/officeDocument/2006/relationships/oleObject" Target="embeddings/oleObject161.bin"/><Relationship Id="rId360" Type="http://schemas.openxmlformats.org/officeDocument/2006/relationships/image" Target="media/image170.wmf"/><Relationship Id="rId36" Type="http://schemas.openxmlformats.org/officeDocument/2006/relationships/image" Target="media/image3.wmf"/><Relationship Id="rId359" Type="http://schemas.openxmlformats.org/officeDocument/2006/relationships/oleObject" Target="embeddings/oleObject160.bin"/><Relationship Id="rId358" Type="http://schemas.openxmlformats.org/officeDocument/2006/relationships/image" Target="media/image169.wmf"/><Relationship Id="rId357" Type="http://schemas.openxmlformats.org/officeDocument/2006/relationships/oleObject" Target="embeddings/oleObject159.bin"/><Relationship Id="rId356" Type="http://schemas.openxmlformats.org/officeDocument/2006/relationships/image" Target="media/image168.wmf"/><Relationship Id="rId355" Type="http://schemas.openxmlformats.org/officeDocument/2006/relationships/oleObject" Target="embeddings/oleObject158.bin"/><Relationship Id="rId354" Type="http://schemas.openxmlformats.org/officeDocument/2006/relationships/image" Target="media/image167.png"/><Relationship Id="rId353" Type="http://schemas.openxmlformats.org/officeDocument/2006/relationships/image" Target="media/image166.png"/><Relationship Id="rId352" Type="http://schemas.openxmlformats.org/officeDocument/2006/relationships/image" Target="media/image165.png"/><Relationship Id="rId351" Type="http://schemas.openxmlformats.org/officeDocument/2006/relationships/image" Target="media/image164.wmf"/><Relationship Id="rId350" Type="http://schemas.openxmlformats.org/officeDocument/2006/relationships/oleObject" Target="embeddings/oleObject157.bin"/><Relationship Id="rId35" Type="http://schemas.openxmlformats.org/officeDocument/2006/relationships/oleObject" Target="embeddings/oleObject3.bin"/><Relationship Id="rId349" Type="http://schemas.openxmlformats.org/officeDocument/2006/relationships/oleObject" Target="embeddings/oleObject156.bin"/><Relationship Id="rId348" Type="http://schemas.openxmlformats.org/officeDocument/2006/relationships/image" Target="media/image163.wmf"/><Relationship Id="rId347" Type="http://schemas.openxmlformats.org/officeDocument/2006/relationships/oleObject" Target="embeddings/oleObject155.bin"/><Relationship Id="rId346" Type="http://schemas.openxmlformats.org/officeDocument/2006/relationships/image" Target="media/image162.wmf"/><Relationship Id="rId345" Type="http://schemas.openxmlformats.org/officeDocument/2006/relationships/oleObject" Target="embeddings/oleObject154.bin"/><Relationship Id="rId344" Type="http://schemas.openxmlformats.org/officeDocument/2006/relationships/image" Target="media/image161.wmf"/><Relationship Id="rId343" Type="http://schemas.openxmlformats.org/officeDocument/2006/relationships/oleObject" Target="embeddings/oleObject153.bin"/><Relationship Id="rId342" Type="http://schemas.openxmlformats.org/officeDocument/2006/relationships/image" Target="media/image160.wmf"/><Relationship Id="rId341" Type="http://schemas.openxmlformats.org/officeDocument/2006/relationships/oleObject" Target="embeddings/oleObject152.bin"/><Relationship Id="rId340" Type="http://schemas.openxmlformats.org/officeDocument/2006/relationships/image" Target="media/image159.wmf"/><Relationship Id="rId34" Type="http://schemas.openxmlformats.org/officeDocument/2006/relationships/image" Target="media/image2.wmf"/><Relationship Id="rId339" Type="http://schemas.openxmlformats.org/officeDocument/2006/relationships/oleObject" Target="embeddings/oleObject151.bin"/><Relationship Id="rId338" Type="http://schemas.openxmlformats.org/officeDocument/2006/relationships/image" Target="media/image158.wmf"/><Relationship Id="rId337" Type="http://schemas.openxmlformats.org/officeDocument/2006/relationships/oleObject" Target="embeddings/oleObject150.bin"/><Relationship Id="rId336" Type="http://schemas.openxmlformats.org/officeDocument/2006/relationships/image" Target="media/image157.wmf"/><Relationship Id="rId335" Type="http://schemas.openxmlformats.org/officeDocument/2006/relationships/oleObject" Target="embeddings/oleObject149.bin"/><Relationship Id="rId334" Type="http://schemas.openxmlformats.org/officeDocument/2006/relationships/image" Target="media/image156.wmf"/><Relationship Id="rId333" Type="http://schemas.openxmlformats.org/officeDocument/2006/relationships/oleObject" Target="embeddings/oleObject148.bin"/><Relationship Id="rId332" Type="http://schemas.openxmlformats.org/officeDocument/2006/relationships/image" Target="media/image155.wmf"/><Relationship Id="rId331" Type="http://schemas.openxmlformats.org/officeDocument/2006/relationships/oleObject" Target="embeddings/oleObject147.bin"/><Relationship Id="rId330" Type="http://schemas.openxmlformats.org/officeDocument/2006/relationships/image" Target="media/image154.wmf"/><Relationship Id="rId33" Type="http://schemas.openxmlformats.org/officeDocument/2006/relationships/oleObject" Target="embeddings/oleObject2.bin"/><Relationship Id="rId329" Type="http://schemas.openxmlformats.org/officeDocument/2006/relationships/oleObject" Target="embeddings/oleObject146.bin"/><Relationship Id="rId328" Type="http://schemas.openxmlformats.org/officeDocument/2006/relationships/image" Target="media/image153.wmf"/><Relationship Id="rId327" Type="http://schemas.openxmlformats.org/officeDocument/2006/relationships/oleObject" Target="embeddings/oleObject145.bin"/><Relationship Id="rId326" Type="http://schemas.openxmlformats.org/officeDocument/2006/relationships/image" Target="media/image152.png"/><Relationship Id="rId325" Type="http://schemas.openxmlformats.org/officeDocument/2006/relationships/image" Target="media/image151.wmf"/><Relationship Id="rId324" Type="http://schemas.openxmlformats.org/officeDocument/2006/relationships/oleObject" Target="embeddings/oleObject144.bin"/><Relationship Id="rId323" Type="http://schemas.openxmlformats.org/officeDocument/2006/relationships/image" Target="media/image150.wmf"/><Relationship Id="rId322" Type="http://schemas.openxmlformats.org/officeDocument/2006/relationships/oleObject" Target="embeddings/oleObject143.bin"/><Relationship Id="rId321" Type="http://schemas.openxmlformats.org/officeDocument/2006/relationships/image" Target="media/image149.wmf"/><Relationship Id="rId320" Type="http://schemas.openxmlformats.org/officeDocument/2006/relationships/oleObject" Target="embeddings/oleObject142.bin"/><Relationship Id="rId32" Type="http://schemas.openxmlformats.org/officeDocument/2006/relationships/image" Target="media/image1.wmf"/><Relationship Id="rId319" Type="http://schemas.openxmlformats.org/officeDocument/2006/relationships/image" Target="media/image148.wmf"/><Relationship Id="rId318" Type="http://schemas.openxmlformats.org/officeDocument/2006/relationships/oleObject" Target="embeddings/oleObject141.bin"/><Relationship Id="rId317" Type="http://schemas.openxmlformats.org/officeDocument/2006/relationships/image" Target="media/image147.wmf"/><Relationship Id="rId316" Type="http://schemas.openxmlformats.org/officeDocument/2006/relationships/oleObject" Target="embeddings/oleObject140.bin"/><Relationship Id="rId315" Type="http://schemas.openxmlformats.org/officeDocument/2006/relationships/image" Target="media/image146.wmf"/><Relationship Id="rId314" Type="http://schemas.openxmlformats.org/officeDocument/2006/relationships/oleObject" Target="embeddings/oleObject139.bin"/><Relationship Id="rId313" Type="http://schemas.openxmlformats.org/officeDocument/2006/relationships/image" Target="media/image145.wmf"/><Relationship Id="rId312" Type="http://schemas.openxmlformats.org/officeDocument/2006/relationships/oleObject" Target="embeddings/oleObject138.bin"/><Relationship Id="rId311" Type="http://schemas.openxmlformats.org/officeDocument/2006/relationships/image" Target="media/image144.wmf"/><Relationship Id="rId310" Type="http://schemas.openxmlformats.org/officeDocument/2006/relationships/oleObject" Target="embeddings/oleObject137.bin"/><Relationship Id="rId31" Type="http://schemas.openxmlformats.org/officeDocument/2006/relationships/oleObject" Target="embeddings/oleObject1.bin"/><Relationship Id="rId309" Type="http://schemas.openxmlformats.org/officeDocument/2006/relationships/image" Target="media/image143.wmf"/><Relationship Id="rId308" Type="http://schemas.openxmlformats.org/officeDocument/2006/relationships/oleObject" Target="embeddings/oleObject136.bin"/><Relationship Id="rId307" Type="http://schemas.openxmlformats.org/officeDocument/2006/relationships/image" Target="media/image142.wmf"/><Relationship Id="rId306" Type="http://schemas.openxmlformats.org/officeDocument/2006/relationships/oleObject" Target="embeddings/oleObject135.bin"/><Relationship Id="rId305" Type="http://schemas.openxmlformats.org/officeDocument/2006/relationships/image" Target="media/image141.wmf"/><Relationship Id="rId304" Type="http://schemas.openxmlformats.org/officeDocument/2006/relationships/oleObject" Target="embeddings/oleObject134.bin"/><Relationship Id="rId303" Type="http://schemas.openxmlformats.org/officeDocument/2006/relationships/image" Target="media/image140.wmf"/><Relationship Id="rId302" Type="http://schemas.openxmlformats.org/officeDocument/2006/relationships/oleObject" Target="embeddings/oleObject133.bin"/><Relationship Id="rId301" Type="http://schemas.openxmlformats.org/officeDocument/2006/relationships/image" Target="media/image139.wmf"/><Relationship Id="rId300" Type="http://schemas.openxmlformats.org/officeDocument/2006/relationships/oleObject" Target="embeddings/oleObject132.bin"/><Relationship Id="rId30" Type="http://schemas.openxmlformats.org/officeDocument/2006/relationships/theme" Target="theme/theme1.xml"/><Relationship Id="rId3" Type="http://schemas.openxmlformats.org/officeDocument/2006/relationships/comments" Target="comments.xml"/><Relationship Id="rId299" Type="http://schemas.openxmlformats.org/officeDocument/2006/relationships/image" Target="media/image138.wmf"/><Relationship Id="rId298" Type="http://schemas.openxmlformats.org/officeDocument/2006/relationships/oleObject" Target="embeddings/oleObject131.bin"/><Relationship Id="rId297" Type="http://schemas.openxmlformats.org/officeDocument/2006/relationships/image" Target="media/image137.wmf"/><Relationship Id="rId296" Type="http://schemas.openxmlformats.org/officeDocument/2006/relationships/oleObject" Target="embeddings/oleObject130.bin"/><Relationship Id="rId295" Type="http://schemas.openxmlformats.org/officeDocument/2006/relationships/image" Target="media/image136.wmf"/><Relationship Id="rId294" Type="http://schemas.openxmlformats.org/officeDocument/2006/relationships/oleObject" Target="embeddings/oleObject129.bin"/><Relationship Id="rId293" Type="http://schemas.openxmlformats.org/officeDocument/2006/relationships/image" Target="media/image135.wmf"/><Relationship Id="rId292" Type="http://schemas.openxmlformats.org/officeDocument/2006/relationships/oleObject" Target="embeddings/oleObject128.bin"/><Relationship Id="rId291" Type="http://schemas.openxmlformats.org/officeDocument/2006/relationships/image" Target="media/image134.wmf"/><Relationship Id="rId290" Type="http://schemas.openxmlformats.org/officeDocument/2006/relationships/oleObject" Target="embeddings/oleObject127.bin"/><Relationship Id="rId29" Type="http://schemas.openxmlformats.org/officeDocument/2006/relationships/header" Target="header18.xml"/><Relationship Id="rId289" Type="http://schemas.openxmlformats.org/officeDocument/2006/relationships/image" Target="media/image133.wmf"/><Relationship Id="rId288" Type="http://schemas.openxmlformats.org/officeDocument/2006/relationships/oleObject" Target="embeddings/oleObject126.bin"/><Relationship Id="rId287" Type="http://schemas.openxmlformats.org/officeDocument/2006/relationships/image" Target="media/image132.wmf"/><Relationship Id="rId286" Type="http://schemas.openxmlformats.org/officeDocument/2006/relationships/oleObject" Target="embeddings/oleObject125.bin"/><Relationship Id="rId285" Type="http://schemas.openxmlformats.org/officeDocument/2006/relationships/image" Target="media/image131.wmf"/><Relationship Id="rId284" Type="http://schemas.openxmlformats.org/officeDocument/2006/relationships/oleObject" Target="embeddings/oleObject124.bin"/><Relationship Id="rId283" Type="http://schemas.openxmlformats.org/officeDocument/2006/relationships/image" Target="media/image130.wmf"/><Relationship Id="rId282" Type="http://schemas.openxmlformats.org/officeDocument/2006/relationships/oleObject" Target="embeddings/oleObject123.bin"/><Relationship Id="rId281" Type="http://schemas.openxmlformats.org/officeDocument/2006/relationships/image" Target="media/image129.wmf"/><Relationship Id="rId280" Type="http://schemas.openxmlformats.org/officeDocument/2006/relationships/oleObject" Target="embeddings/oleObject122.bin"/><Relationship Id="rId28" Type="http://schemas.openxmlformats.org/officeDocument/2006/relationships/header" Target="header17.xml"/><Relationship Id="rId279" Type="http://schemas.openxmlformats.org/officeDocument/2006/relationships/image" Target="media/image128.wmf"/><Relationship Id="rId278" Type="http://schemas.openxmlformats.org/officeDocument/2006/relationships/oleObject" Target="embeddings/oleObject121.bin"/><Relationship Id="rId277" Type="http://schemas.openxmlformats.org/officeDocument/2006/relationships/image" Target="media/image127.wmf"/><Relationship Id="rId276" Type="http://schemas.openxmlformats.org/officeDocument/2006/relationships/oleObject" Target="embeddings/oleObject120.bin"/><Relationship Id="rId275" Type="http://schemas.openxmlformats.org/officeDocument/2006/relationships/image" Target="media/image126.wmf"/><Relationship Id="rId274" Type="http://schemas.openxmlformats.org/officeDocument/2006/relationships/oleObject" Target="embeddings/oleObject119.bin"/><Relationship Id="rId273" Type="http://schemas.openxmlformats.org/officeDocument/2006/relationships/image" Target="media/image125.wmf"/><Relationship Id="rId272" Type="http://schemas.openxmlformats.org/officeDocument/2006/relationships/oleObject" Target="embeddings/oleObject118.bin"/><Relationship Id="rId271" Type="http://schemas.openxmlformats.org/officeDocument/2006/relationships/image" Target="media/image124.wmf"/><Relationship Id="rId270" Type="http://schemas.openxmlformats.org/officeDocument/2006/relationships/oleObject" Target="embeddings/oleObject117.bin"/><Relationship Id="rId27" Type="http://schemas.openxmlformats.org/officeDocument/2006/relationships/header" Target="header16.xml"/><Relationship Id="rId269" Type="http://schemas.openxmlformats.org/officeDocument/2006/relationships/image" Target="media/image123.wmf"/><Relationship Id="rId268" Type="http://schemas.openxmlformats.org/officeDocument/2006/relationships/oleObject" Target="embeddings/oleObject116.bin"/><Relationship Id="rId267" Type="http://schemas.openxmlformats.org/officeDocument/2006/relationships/image" Target="media/image122.wmf"/><Relationship Id="rId266" Type="http://schemas.openxmlformats.org/officeDocument/2006/relationships/oleObject" Target="embeddings/oleObject115.bin"/><Relationship Id="rId265" Type="http://schemas.openxmlformats.org/officeDocument/2006/relationships/image" Target="media/image121.wmf"/><Relationship Id="rId264" Type="http://schemas.openxmlformats.org/officeDocument/2006/relationships/oleObject" Target="embeddings/oleObject114.bin"/><Relationship Id="rId263" Type="http://schemas.openxmlformats.org/officeDocument/2006/relationships/image" Target="media/image120.png"/><Relationship Id="rId262" Type="http://schemas.openxmlformats.org/officeDocument/2006/relationships/image" Target="media/image119.wmf"/><Relationship Id="rId261" Type="http://schemas.openxmlformats.org/officeDocument/2006/relationships/oleObject" Target="embeddings/oleObject113.bin"/><Relationship Id="rId260" Type="http://schemas.openxmlformats.org/officeDocument/2006/relationships/image" Target="media/image118.wmf"/><Relationship Id="rId26" Type="http://schemas.openxmlformats.org/officeDocument/2006/relationships/header" Target="header15.xml"/><Relationship Id="rId259" Type="http://schemas.openxmlformats.org/officeDocument/2006/relationships/oleObject" Target="embeddings/oleObject112.bin"/><Relationship Id="rId258" Type="http://schemas.openxmlformats.org/officeDocument/2006/relationships/image" Target="media/image117.wmf"/><Relationship Id="rId257" Type="http://schemas.openxmlformats.org/officeDocument/2006/relationships/oleObject" Target="embeddings/oleObject111.bin"/><Relationship Id="rId256" Type="http://schemas.openxmlformats.org/officeDocument/2006/relationships/image" Target="media/image116.wmf"/><Relationship Id="rId255" Type="http://schemas.openxmlformats.org/officeDocument/2006/relationships/oleObject" Target="embeddings/oleObject110.bin"/><Relationship Id="rId254" Type="http://schemas.openxmlformats.org/officeDocument/2006/relationships/image" Target="media/image115.wmf"/><Relationship Id="rId253" Type="http://schemas.openxmlformats.org/officeDocument/2006/relationships/oleObject" Target="embeddings/oleObject109.bin"/><Relationship Id="rId252" Type="http://schemas.openxmlformats.org/officeDocument/2006/relationships/image" Target="media/image114.wmf"/><Relationship Id="rId251" Type="http://schemas.openxmlformats.org/officeDocument/2006/relationships/oleObject" Target="embeddings/oleObject108.bin"/><Relationship Id="rId250" Type="http://schemas.openxmlformats.org/officeDocument/2006/relationships/image" Target="media/image113.wmf"/><Relationship Id="rId25" Type="http://schemas.openxmlformats.org/officeDocument/2006/relationships/header" Target="header14.xml"/><Relationship Id="rId249" Type="http://schemas.openxmlformats.org/officeDocument/2006/relationships/oleObject" Target="embeddings/oleObject107.bin"/><Relationship Id="rId248" Type="http://schemas.openxmlformats.org/officeDocument/2006/relationships/image" Target="media/image112.wmf"/><Relationship Id="rId247" Type="http://schemas.openxmlformats.org/officeDocument/2006/relationships/oleObject" Target="embeddings/oleObject106.bin"/><Relationship Id="rId246" Type="http://schemas.openxmlformats.org/officeDocument/2006/relationships/image" Target="media/image111.wmf"/><Relationship Id="rId245" Type="http://schemas.openxmlformats.org/officeDocument/2006/relationships/oleObject" Target="embeddings/oleObject105.bin"/><Relationship Id="rId244" Type="http://schemas.openxmlformats.org/officeDocument/2006/relationships/image" Target="media/image110.wmf"/><Relationship Id="rId243" Type="http://schemas.openxmlformats.org/officeDocument/2006/relationships/oleObject" Target="embeddings/oleObject104.bin"/><Relationship Id="rId242" Type="http://schemas.openxmlformats.org/officeDocument/2006/relationships/image" Target="media/image109.wmf"/><Relationship Id="rId241" Type="http://schemas.openxmlformats.org/officeDocument/2006/relationships/oleObject" Target="embeddings/oleObject103.bin"/><Relationship Id="rId240" Type="http://schemas.openxmlformats.org/officeDocument/2006/relationships/image" Target="media/image108.wmf"/><Relationship Id="rId24" Type="http://schemas.openxmlformats.org/officeDocument/2006/relationships/header" Target="header13.xml"/><Relationship Id="rId239" Type="http://schemas.openxmlformats.org/officeDocument/2006/relationships/oleObject" Target="embeddings/oleObject102.bin"/><Relationship Id="rId238" Type="http://schemas.openxmlformats.org/officeDocument/2006/relationships/image" Target="media/image107.wmf"/><Relationship Id="rId237" Type="http://schemas.openxmlformats.org/officeDocument/2006/relationships/oleObject" Target="embeddings/oleObject101.bin"/><Relationship Id="rId236" Type="http://schemas.openxmlformats.org/officeDocument/2006/relationships/image" Target="media/image106.png"/><Relationship Id="rId235" Type="http://schemas.openxmlformats.org/officeDocument/2006/relationships/image" Target="media/image105.wmf"/><Relationship Id="rId234" Type="http://schemas.openxmlformats.org/officeDocument/2006/relationships/oleObject" Target="embeddings/oleObject100.bin"/><Relationship Id="rId233" Type="http://schemas.openxmlformats.org/officeDocument/2006/relationships/image" Target="media/image104.wmf"/><Relationship Id="rId232" Type="http://schemas.openxmlformats.org/officeDocument/2006/relationships/oleObject" Target="embeddings/oleObject99.bin"/><Relationship Id="rId231" Type="http://schemas.openxmlformats.org/officeDocument/2006/relationships/image" Target="media/image103.wmf"/><Relationship Id="rId230" Type="http://schemas.openxmlformats.org/officeDocument/2006/relationships/oleObject" Target="embeddings/oleObject98.bin"/><Relationship Id="rId23" Type="http://schemas.openxmlformats.org/officeDocument/2006/relationships/header" Target="header12.xml"/><Relationship Id="rId229" Type="http://schemas.openxmlformats.org/officeDocument/2006/relationships/image" Target="media/image102.wmf"/><Relationship Id="rId228" Type="http://schemas.openxmlformats.org/officeDocument/2006/relationships/oleObject" Target="embeddings/oleObject97.bin"/><Relationship Id="rId227" Type="http://schemas.openxmlformats.org/officeDocument/2006/relationships/image" Target="media/image101.wmf"/><Relationship Id="rId226" Type="http://schemas.openxmlformats.org/officeDocument/2006/relationships/oleObject" Target="embeddings/oleObject96.bin"/><Relationship Id="rId225" Type="http://schemas.openxmlformats.org/officeDocument/2006/relationships/image" Target="media/image100.wmf"/><Relationship Id="rId224" Type="http://schemas.openxmlformats.org/officeDocument/2006/relationships/oleObject" Target="embeddings/oleObject95.bin"/><Relationship Id="rId223" Type="http://schemas.openxmlformats.org/officeDocument/2006/relationships/image" Target="media/image99.wmf"/><Relationship Id="rId222" Type="http://schemas.openxmlformats.org/officeDocument/2006/relationships/oleObject" Target="embeddings/oleObject94.bin"/><Relationship Id="rId221" Type="http://schemas.openxmlformats.org/officeDocument/2006/relationships/image" Target="media/image98.wmf"/><Relationship Id="rId220" Type="http://schemas.openxmlformats.org/officeDocument/2006/relationships/oleObject" Target="embeddings/oleObject93.bin"/><Relationship Id="rId22" Type="http://schemas.openxmlformats.org/officeDocument/2006/relationships/header" Target="header11.xml"/><Relationship Id="rId219" Type="http://schemas.openxmlformats.org/officeDocument/2006/relationships/image" Target="media/image97.wmf"/><Relationship Id="rId218" Type="http://schemas.openxmlformats.org/officeDocument/2006/relationships/oleObject" Target="embeddings/oleObject92.bin"/><Relationship Id="rId217" Type="http://schemas.openxmlformats.org/officeDocument/2006/relationships/image" Target="media/image96.wmf"/><Relationship Id="rId216" Type="http://schemas.openxmlformats.org/officeDocument/2006/relationships/oleObject" Target="embeddings/oleObject91.bin"/><Relationship Id="rId215" Type="http://schemas.openxmlformats.org/officeDocument/2006/relationships/image" Target="media/image95.png"/><Relationship Id="rId214" Type="http://schemas.openxmlformats.org/officeDocument/2006/relationships/image" Target="media/image94.png"/><Relationship Id="rId213" Type="http://schemas.openxmlformats.org/officeDocument/2006/relationships/image" Target="media/image93.wmf"/><Relationship Id="rId212" Type="http://schemas.openxmlformats.org/officeDocument/2006/relationships/oleObject" Target="embeddings/oleObject90.bin"/><Relationship Id="rId211" Type="http://schemas.openxmlformats.org/officeDocument/2006/relationships/image" Target="media/image92.wmf"/><Relationship Id="rId210" Type="http://schemas.openxmlformats.org/officeDocument/2006/relationships/oleObject" Target="embeddings/oleObject89.bin"/><Relationship Id="rId21" Type="http://schemas.openxmlformats.org/officeDocument/2006/relationships/header" Target="header10.xml"/><Relationship Id="rId209" Type="http://schemas.openxmlformats.org/officeDocument/2006/relationships/image" Target="media/image91.wmf"/><Relationship Id="rId208" Type="http://schemas.openxmlformats.org/officeDocument/2006/relationships/oleObject" Target="embeddings/oleObject88.bin"/><Relationship Id="rId207" Type="http://schemas.openxmlformats.org/officeDocument/2006/relationships/image" Target="media/image90.wmf"/><Relationship Id="rId206" Type="http://schemas.openxmlformats.org/officeDocument/2006/relationships/oleObject" Target="embeddings/oleObject87.bin"/><Relationship Id="rId205" Type="http://schemas.openxmlformats.org/officeDocument/2006/relationships/image" Target="media/image89.wmf"/><Relationship Id="rId204" Type="http://schemas.openxmlformats.org/officeDocument/2006/relationships/oleObject" Target="embeddings/oleObject86.bin"/><Relationship Id="rId203" Type="http://schemas.openxmlformats.org/officeDocument/2006/relationships/image" Target="media/image88.wmf"/><Relationship Id="rId202" Type="http://schemas.openxmlformats.org/officeDocument/2006/relationships/oleObject" Target="embeddings/oleObject85.bin"/><Relationship Id="rId201" Type="http://schemas.openxmlformats.org/officeDocument/2006/relationships/image" Target="media/image87.wmf"/><Relationship Id="rId200" Type="http://schemas.openxmlformats.org/officeDocument/2006/relationships/oleObject" Target="embeddings/oleObject84.bin"/><Relationship Id="rId20" Type="http://schemas.openxmlformats.org/officeDocument/2006/relationships/header" Target="header9.xml"/><Relationship Id="rId2" Type="http://schemas.openxmlformats.org/officeDocument/2006/relationships/settings" Target="settings.xml"/><Relationship Id="rId199" Type="http://schemas.openxmlformats.org/officeDocument/2006/relationships/image" Target="media/image86.wmf"/><Relationship Id="rId198" Type="http://schemas.openxmlformats.org/officeDocument/2006/relationships/oleObject" Target="embeddings/oleObject83.bin"/><Relationship Id="rId197" Type="http://schemas.openxmlformats.org/officeDocument/2006/relationships/image" Target="media/image85.wmf"/><Relationship Id="rId196" Type="http://schemas.openxmlformats.org/officeDocument/2006/relationships/oleObject" Target="embeddings/oleObject82.bin"/><Relationship Id="rId195" Type="http://schemas.openxmlformats.org/officeDocument/2006/relationships/image" Target="media/image84.wmf"/><Relationship Id="rId194" Type="http://schemas.openxmlformats.org/officeDocument/2006/relationships/oleObject" Target="embeddings/oleObject81.bin"/><Relationship Id="rId193" Type="http://schemas.openxmlformats.org/officeDocument/2006/relationships/image" Target="media/image83.wmf"/><Relationship Id="rId192" Type="http://schemas.openxmlformats.org/officeDocument/2006/relationships/oleObject" Target="embeddings/oleObject80.bin"/><Relationship Id="rId191" Type="http://schemas.openxmlformats.org/officeDocument/2006/relationships/image" Target="media/image82.wmf"/><Relationship Id="rId190" Type="http://schemas.openxmlformats.org/officeDocument/2006/relationships/oleObject" Target="embeddings/oleObject79.bin"/><Relationship Id="rId19" Type="http://schemas.openxmlformats.org/officeDocument/2006/relationships/header" Target="header8.xml"/><Relationship Id="rId189" Type="http://schemas.openxmlformats.org/officeDocument/2006/relationships/image" Target="media/image81.wmf"/><Relationship Id="rId188" Type="http://schemas.openxmlformats.org/officeDocument/2006/relationships/oleObject" Target="embeddings/oleObject78.bin"/><Relationship Id="rId187" Type="http://schemas.openxmlformats.org/officeDocument/2006/relationships/image" Target="media/image80.wmf"/><Relationship Id="rId186" Type="http://schemas.openxmlformats.org/officeDocument/2006/relationships/oleObject" Target="embeddings/oleObject77.bin"/><Relationship Id="rId185" Type="http://schemas.openxmlformats.org/officeDocument/2006/relationships/image" Target="media/image79.wmf"/><Relationship Id="rId184" Type="http://schemas.openxmlformats.org/officeDocument/2006/relationships/oleObject" Target="embeddings/oleObject76.bin"/><Relationship Id="rId183" Type="http://schemas.openxmlformats.org/officeDocument/2006/relationships/image" Target="media/image78.wmf"/><Relationship Id="rId182" Type="http://schemas.openxmlformats.org/officeDocument/2006/relationships/oleObject" Target="embeddings/oleObject75.bin"/><Relationship Id="rId181" Type="http://schemas.openxmlformats.org/officeDocument/2006/relationships/image" Target="media/image77.wmf"/><Relationship Id="rId180" Type="http://schemas.openxmlformats.org/officeDocument/2006/relationships/oleObject" Target="embeddings/oleObject74.bin"/><Relationship Id="rId18" Type="http://schemas.openxmlformats.org/officeDocument/2006/relationships/header" Target="header7.xml"/><Relationship Id="rId179" Type="http://schemas.openxmlformats.org/officeDocument/2006/relationships/image" Target="media/image76.wmf"/><Relationship Id="rId178" Type="http://schemas.openxmlformats.org/officeDocument/2006/relationships/oleObject" Target="embeddings/oleObject73.bin"/><Relationship Id="rId177" Type="http://schemas.openxmlformats.org/officeDocument/2006/relationships/image" Target="media/image75.wmf"/><Relationship Id="rId176" Type="http://schemas.openxmlformats.org/officeDocument/2006/relationships/oleObject" Target="embeddings/oleObject72.bin"/><Relationship Id="rId175" Type="http://schemas.openxmlformats.org/officeDocument/2006/relationships/image" Target="media/image74.wmf"/><Relationship Id="rId174" Type="http://schemas.openxmlformats.org/officeDocument/2006/relationships/oleObject" Target="embeddings/oleObject71.bin"/><Relationship Id="rId173" Type="http://schemas.openxmlformats.org/officeDocument/2006/relationships/image" Target="media/image73.wmf"/><Relationship Id="rId172" Type="http://schemas.openxmlformats.org/officeDocument/2006/relationships/oleObject" Target="embeddings/oleObject70.bin"/><Relationship Id="rId171" Type="http://schemas.openxmlformats.org/officeDocument/2006/relationships/image" Target="media/image72.wmf"/><Relationship Id="rId170" Type="http://schemas.openxmlformats.org/officeDocument/2006/relationships/oleObject" Target="embeddings/oleObject69.bin"/><Relationship Id="rId17" Type="http://schemas.openxmlformats.org/officeDocument/2006/relationships/footer" Target="footer7.xml"/><Relationship Id="rId169" Type="http://schemas.openxmlformats.org/officeDocument/2006/relationships/image" Target="media/image71.wmf"/><Relationship Id="rId168" Type="http://schemas.openxmlformats.org/officeDocument/2006/relationships/oleObject" Target="embeddings/oleObject68.bin"/><Relationship Id="rId167" Type="http://schemas.openxmlformats.org/officeDocument/2006/relationships/image" Target="media/image70.wmf"/><Relationship Id="rId166" Type="http://schemas.openxmlformats.org/officeDocument/2006/relationships/oleObject" Target="embeddings/oleObject67.bin"/><Relationship Id="rId165" Type="http://schemas.openxmlformats.org/officeDocument/2006/relationships/image" Target="media/image69.wmf"/><Relationship Id="rId164" Type="http://schemas.openxmlformats.org/officeDocument/2006/relationships/oleObject" Target="embeddings/oleObject66.bin"/><Relationship Id="rId163" Type="http://schemas.openxmlformats.org/officeDocument/2006/relationships/image" Target="media/image68.wmf"/><Relationship Id="rId162" Type="http://schemas.openxmlformats.org/officeDocument/2006/relationships/oleObject" Target="embeddings/oleObject65.bin"/><Relationship Id="rId161" Type="http://schemas.openxmlformats.org/officeDocument/2006/relationships/image" Target="media/image67.wmf"/><Relationship Id="rId160" Type="http://schemas.openxmlformats.org/officeDocument/2006/relationships/oleObject" Target="embeddings/oleObject64.bin"/><Relationship Id="rId16" Type="http://schemas.openxmlformats.org/officeDocument/2006/relationships/footer" Target="footer6.xml"/><Relationship Id="rId159" Type="http://schemas.openxmlformats.org/officeDocument/2006/relationships/image" Target="media/image66.wmf"/><Relationship Id="rId158" Type="http://schemas.openxmlformats.org/officeDocument/2006/relationships/oleObject" Target="embeddings/oleObject63.bin"/><Relationship Id="rId157" Type="http://schemas.openxmlformats.org/officeDocument/2006/relationships/image" Target="media/image65.wmf"/><Relationship Id="rId156" Type="http://schemas.openxmlformats.org/officeDocument/2006/relationships/oleObject" Target="embeddings/oleObject62.bin"/><Relationship Id="rId155" Type="http://schemas.openxmlformats.org/officeDocument/2006/relationships/image" Target="media/image64.wmf"/><Relationship Id="rId154" Type="http://schemas.openxmlformats.org/officeDocument/2006/relationships/oleObject" Target="embeddings/oleObject61.bin"/><Relationship Id="rId153" Type="http://schemas.openxmlformats.org/officeDocument/2006/relationships/image" Target="media/image63.wmf"/><Relationship Id="rId152" Type="http://schemas.openxmlformats.org/officeDocument/2006/relationships/oleObject" Target="embeddings/oleObject60.bin"/><Relationship Id="rId151" Type="http://schemas.openxmlformats.org/officeDocument/2006/relationships/image" Target="media/image62.wmf"/><Relationship Id="rId150" Type="http://schemas.openxmlformats.org/officeDocument/2006/relationships/oleObject" Target="embeddings/oleObject59.bin"/><Relationship Id="rId15" Type="http://schemas.openxmlformats.org/officeDocument/2006/relationships/header" Target="header6.xml"/><Relationship Id="rId149" Type="http://schemas.openxmlformats.org/officeDocument/2006/relationships/image" Target="media/image61.wmf"/><Relationship Id="rId148" Type="http://schemas.openxmlformats.org/officeDocument/2006/relationships/oleObject" Target="embeddings/oleObject58.bin"/><Relationship Id="rId147" Type="http://schemas.openxmlformats.org/officeDocument/2006/relationships/image" Target="media/image60.wmf"/><Relationship Id="rId146" Type="http://schemas.openxmlformats.org/officeDocument/2006/relationships/oleObject" Target="embeddings/oleObject57.bin"/><Relationship Id="rId145" Type="http://schemas.openxmlformats.org/officeDocument/2006/relationships/image" Target="media/image59.wmf"/><Relationship Id="rId144" Type="http://schemas.openxmlformats.org/officeDocument/2006/relationships/oleObject" Target="embeddings/oleObject56.bin"/><Relationship Id="rId143" Type="http://schemas.openxmlformats.org/officeDocument/2006/relationships/image" Target="media/image58.wmf"/><Relationship Id="rId142" Type="http://schemas.openxmlformats.org/officeDocument/2006/relationships/oleObject" Target="embeddings/oleObject55.bin"/><Relationship Id="rId141" Type="http://schemas.openxmlformats.org/officeDocument/2006/relationships/image" Target="media/image57.wmf"/><Relationship Id="rId140" Type="http://schemas.openxmlformats.org/officeDocument/2006/relationships/oleObject" Target="embeddings/oleObject54.bin"/><Relationship Id="rId14" Type="http://schemas.openxmlformats.org/officeDocument/2006/relationships/header" Target="header5.xml"/><Relationship Id="rId139" Type="http://schemas.openxmlformats.org/officeDocument/2006/relationships/image" Target="media/image56.wmf"/><Relationship Id="rId138" Type="http://schemas.openxmlformats.org/officeDocument/2006/relationships/oleObject" Target="embeddings/oleObject53.bin"/><Relationship Id="rId137" Type="http://schemas.openxmlformats.org/officeDocument/2006/relationships/image" Target="media/image55.wmf"/><Relationship Id="rId136" Type="http://schemas.openxmlformats.org/officeDocument/2006/relationships/oleObject" Target="embeddings/oleObject52.bin"/><Relationship Id="rId135" Type="http://schemas.openxmlformats.org/officeDocument/2006/relationships/image" Target="media/image54.wmf"/><Relationship Id="rId134" Type="http://schemas.openxmlformats.org/officeDocument/2006/relationships/oleObject" Target="embeddings/oleObject51.bin"/><Relationship Id="rId133" Type="http://schemas.openxmlformats.org/officeDocument/2006/relationships/image" Target="media/image53.wmf"/><Relationship Id="rId132" Type="http://schemas.openxmlformats.org/officeDocument/2006/relationships/oleObject" Target="embeddings/oleObject50.bin"/><Relationship Id="rId131" Type="http://schemas.openxmlformats.org/officeDocument/2006/relationships/image" Target="media/image52.wmf"/><Relationship Id="rId130" Type="http://schemas.openxmlformats.org/officeDocument/2006/relationships/oleObject" Target="embeddings/oleObject49.bin"/><Relationship Id="rId13" Type="http://schemas.openxmlformats.org/officeDocument/2006/relationships/footer" Target="footer5.xml"/><Relationship Id="rId129" Type="http://schemas.openxmlformats.org/officeDocument/2006/relationships/image" Target="media/image51.wmf"/><Relationship Id="rId128" Type="http://schemas.openxmlformats.org/officeDocument/2006/relationships/oleObject" Target="embeddings/oleObject48.bin"/><Relationship Id="rId127" Type="http://schemas.openxmlformats.org/officeDocument/2006/relationships/image" Target="media/image50.wmf"/><Relationship Id="rId126" Type="http://schemas.openxmlformats.org/officeDocument/2006/relationships/oleObject" Target="embeddings/oleObject47.bin"/><Relationship Id="rId125" Type="http://schemas.openxmlformats.org/officeDocument/2006/relationships/image" Target="media/image49.wmf"/><Relationship Id="rId124" Type="http://schemas.openxmlformats.org/officeDocument/2006/relationships/oleObject" Target="embeddings/oleObject46.bin"/><Relationship Id="rId123" Type="http://schemas.openxmlformats.org/officeDocument/2006/relationships/image" Target="media/image48.wmf"/><Relationship Id="rId122" Type="http://schemas.openxmlformats.org/officeDocument/2006/relationships/oleObject" Target="embeddings/oleObject45.bin"/><Relationship Id="rId121" Type="http://schemas.openxmlformats.org/officeDocument/2006/relationships/image" Target="media/image47.wmf"/><Relationship Id="rId120" Type="http://schemas.openxmlformats.org/officeDocument/2006/relationships/oleObject" Target="embeddings/oleObject44.bin"/><Relationship Id="rId12" Type="http://schemas.openxmlformats.org/officeDocument/2006/relationships/footer" Target="footer4.xml"/><Relationship Id="rId119" Type="http://schemas.openxmlformats.org/officeDocument/2006/relationships/image" Target="media/image46.wmf"/><Relationship Id="rId118" Type="http://schemas.openxmlformats.org/officeDocument/2006/relationships/oleObject" Target="embeddings/oleObject43.bin"/><Relationship Id="rId117" Type="http://schemas.openxmlformats.org/officeDocument/2006/relationships/image" Target="media/image45.wmf"/><Relationship Id="rId116" Type="http://schemas.openxmlformats.org/officeDocument/2006/relationships/oleObject" Target="embeddings/oleObject42.bin"/><Relationship Id="rId115" Type="http://schemas.openxmlformats.org/officeDocument/2006/relationships/image" Target="media/image44.wmf"/><Relationship Id="rId114" Type="http://schemas.openxmlformats.org/officeDocument/2006/relationships/oleObject" Target="embeddings/oleObject41.bin"/><Relationship Id="rId113" Type="http://schemas.openxmlformats.org/officeDocument/2006/relationships/image" Target="media/image43.wmf"/><Relationship Id="rId112" Type="http://schemas.openxmlformats.org/officeDocument/2006/relationships/oleObject" Target="embeddings/oleObject40.bin"/><Relationship Id="rId111" Type="http://schemas.openxmlformats.org/officeDocument/2006/relationships/image" Target="media/image42.wmf"/><Relationship Id="rId110" Type="http://schemas.openxmlformats.org/officeDocument/2006/relationships/oleObject" Target="embeddings/oleObject39.bin"/><Relationship Id="rId11" Type="http://schemas.openxmlformats.org/officeDocument/2006/relationships/header" Target="header4.xml"/><Relationship Id="rId109" Type="http://schemas.openxmlformats.org/officeDocument/2006/relationships/image" Target="media/image41.wmf"/><Relationship Id="rId108" Type="http://schemas.openxmlformats.org/officeDocument/2006/relationships/oleObject" Target="embeddings/oleObject38.bin"/><Relationship Id="rId107" Type="http://schemas.openxmlformats.org/officeDocument/2006/relationships/image" Target="media/image40.wmf"/><Relationship Id="rId106" Type="http://schemas.openxmlformats.org/officeDocument/2006/relationships/oleObject" Target="embeddings/oleObject37.bin"/><Relationship Id="rId105" Type="http://schemas.openxmlformats.org/officeDocument/2006/relationships/image" Target="media/image39.wmf"/><Relationship Id="rId104" Type="http://schemas.openxmlformats.org/officeDocument/2006/relationships/oleObject" Target="embeddings/oleObject36.bin"/><Relationship Id="rId103" Type="http://schemas.openxmlformats.org/officeDocument/2006/relationships/image" Target="media/image38.wmf"/><Relationship Id="rId102" Type="http://schemas.openxmlformats.org/officeDocument/2006/relationships/oleObject" Target="embeddings/oleObject35.bin"/><Relationship Id="rId101" Type="http://schemas.openxmlformats.org/officeDocument/2006/relationships/image" Target="media/image37.wmf"/><Relationship Id="rId100" Type="http://schemas.openxmlformats.org/officeDocument/2006/relationships/oleObject" Target="embeddings/oleObject34.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8909BE-86AB-4D7B-988C-C88FD2F20443}">
  <ds:schemaRefs/>
</ds:datastoreItem>
</file>

<file path=docProps/app.xml><?xml version="1.0" encoding="utf-8"?>
<Properties xmlns="http://schemas.openxmlformats.org/officeDocument/2006/extended-properties" xmlns:vt="http://schemas.openxmlformats.org/officeDocument/2006/docPropsVTypes">
  <Template>Normal.dotm</Template>
  <Pages>81</Pages>
  <Words>41739</Words>
  <Characters>66258</Characters>
  <Lines>682</Lines>
  <Paragraphs>192</Paragraphs>
  <TotalTime>32687</TotalTime>
  <ScaleCrop>false</ScaleCrop>
  <LinksUpToDate>false</LinksUpToDate>
  <CharactersWithSpaces>69570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2026-03-06T14:03:00Z</dcterms:created>
  <dc:creator>DELL</dc:creator>
  <cp:lastModifiedBy>Administrator</cp:lastModifiedBy>
  <cp:lastPrinted>2026-04-18T07:01:00Z</cp:lastPrinted>
  <dcterms:modified xsi:type="dcterms:W3CDTF">2026-05-11T12:47:56Z</dcterms:modified>
  <cp:revision>577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5A42619EACE746528190165281C55736_12</vt:lpwstr>
  </property>
  <property fmtid="{D5CDD505-2E9C-101B-9397-08002B2CF9AE}" pid="4" name="KSOTemplateDocerSaveRecord">
    <vt:lpwstr>eyJoZGlkIjoiZDg1NGE5MjEwMGYxMTgwMjZlNjM1NTZiYmYzOGIyNzkiLCJ1c2VySWQiOiIxMDAyNjk2MDIwIn0=</vt:lpwstr>
  </property>
  <property fmtid="{D5CDD505-2E9C-101B-9397-08002B2CF9AE}" pid="5" name="ZOTERO_PREF_1">
    <vt:lpwstr>&lt;data data-version="3" zotero-version="8.0.4"&gt;&lt;session id="Nm77nE5S"/&gt;&lt;style id="http://www.zotero.org/styles/lanzhou-university" hasBibliography="1" bibliographyStyleHasBeenSet="1"/&gt;&lt;prefs&gt;&lt;pref name="fieldType" value="Field"/&gt;&lt;/prefs&gt;&lt;/data&gt;</vt:lpwstr>
  </property>
  <property fmtid="{D5CDD505-2E9C-101B-9397-08002B2CF9AE}" pid="6" name="MTEquationNumber2">
    <vt:lpwstr>(#C1-#E1)</vt:lpwstr>
  </property>
  <property fmtid="{D5CDD505-2E9C-101B-9397-08002B2CF9AE}" pid="7" name="MTUseMTPrefs">
    <vt:lpwstr>1</vt:lpwstr>
  </property>
  <property fmtid="{D5CDD505-2E9C-101B-9397-08002B2CF9AE}" pid="8" name="MTWinEqns">
    <vt:bool>true</vt:bool>
  </property>
  <property fmtid="{D5CDD505-2E9C-101B-9397-08002B2CF9AE}" pid="9" name="MTEquationSection">
    <vt:lpwstr>1</vt:lpwstr>
  </property>
</Properties>
</file>