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 12 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bookmarkStart w:id="0" w:name="_GoBack"/>
      <w:bookmarkEnd w:id="0"/>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21"/>
        <w:gridCol w:w="1086"/>
        <w:gridCol w:w="878"/>
        <w:gridCol w:w="1053"/>
        <w:gridCol w:w="875"/>
        <w:gridCol w:w="1064"/>
        <w:gridCol w:w="961"/>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(0.002)</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11B5DB7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1. 物理性质任务中的结构主导效应</w:t>
      </w:r>
    </w:p>
    <w:p w14:paraId="4B635C6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在预测分子的物理化学性质时，模型表现出对拓扑结构的高度依赖。</w:t>
      </w:r>
    </w:p>
    <w:p w14:paraId="371EA66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FreeSolv（溶剂化自由能）和 ESOL（水溶性）任务中，Graph 模态的权重分别高达 0.40 和 0.39，显著高于其他模态。</w:t>
      </w:r>
    </w:p>
    <w:p w14:paraId="3F4943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这与化学直觉高度一致。分子的溶解能力和能量状态主要由其分子骨架的拓扑连接及原子间的空间排布决定。图神经网络（Graphormer）提取的显式结构特征在此类任务中提供了最核心的判别依据，起到了“语义锚点”的作用。</w:t>
      </w:r>
    </w:p>
    <w:p w14:paraId="5C04042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指纹的特异性：值得注意的是，在 Lipo（亲脂性/LogP）任务中，Fingerprint（分子指纹）获得了全场最高的权重 0.38，甚至超过了 Graph。这是因为亲脂性与分子中特定的疏水/亲水官能团数量呈强线性相关，而基于统计计数的分子指纹恰好擅长捕获此类特征。</w:t>
      </w:r>
    </w:p>
    <w:p w14:paraId="02307D7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2. 知识增强在生物药理任务中的突破</w:t>
      </w:r>
    </w:p>
    <w:p w14:paraId="51E1391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与物理任务形成鲜明对比的是，在涉及复杂生物相互作用的任务中，模型自动学会了依赖专家知识。</w:t>
      </w:r>
    </w:p>
    <w:p w14:paraId="2CB27BD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Sider（副作用预测）、ClinTox（临床毒性）和 Tox21 任务中，Text 模态的权重出现了显著跃升，分别为 0.38、0.36 和 0.32。</w:t>
      </w:r>
    </w:p>
    <w:p w14:paraId="2331043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分析：副作用和毒性往往难以仅从分子结构中直接推断，但通常在文献或专家描述中有明确记载（例如“该结构可能导致心脏毒性”）。此时，经过 LLM 重写并注入了 12 项理化性质的文本模态成为了关键的信息源。模型给予 Text 高权重，证明了本文提出的“知识增强”策略成功地将非结构化的药理知识转化为了可被模型利用的特征，弥补了纯结构视角的盲区。</w:t>
      </w:r>
    </w:p>
    <w:p w14:paraId="127004E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 序列模态的稳健补充作用</w:t>
      </w:r>
    </w:p>
    <w:p w14:paraId="5735BB4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SMILES 模态在所有 9 个任务中的权重分布呈现出高度的稳定性，维持在 0.18 - 0.24 的区间内。</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9"/>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增加一个预训练和没有预训练的一个图</w:t>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为了验证模型在不同超参数设置下的鲁棒性，并探究核心超参数对对比学习性能的影响规律，本节选取了对比损失函数中的温度系数 $\tau$ (Temperature Coefficient) 进行敏感性实验。实验在 ClinTox 和 BBBP 两个代表性数据集上进行，其他训练参数保持不变。1. 温度系数 $\tau$ 的影响分析温度系数 $\tau$ 在 NT-Xent 损失函数中起着调节负样本梯度的关键作用。图 3-X 展示了模型性能随 $\tau$ 值（取值范围 $\{0.05, 0.1, 0.2, 0.5, 1.0\}$）的变化曲线。从图中可以观察到明显的“倒 U 型”趋势，具体分析如下：过小的 $\tau$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$\tau$ (0.5 - 1.0)：随着温度系数增大，分布趋于平滑，模型对不同负样本的区分能力减弱。当 $\tau=1.0$ 时，模型实际上是在同等程度地惩罚所有非匹配样本，失去了挖掘难样本的能力，导致特征空间的判别性降低，性能随之衰减。最优区间 (0.1 - 0.2)：实验结果表明，当 $\tau$ 设定在 0.1 至 0.2 之间时，模型取得了最佳的预测性能。在此区间内，模型在挖掘难样本与保持训练稳定性之间达到了平衡，能够学习到既具有区分度又具备泛化能力的分子表征。因此，本研究在所有后续实验中均将 $\tau$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7754928"/>
    <w:rsid w:val="08155C5D"/>
    <w:rsid w:val="08805332"/>
    <w:rsid w:val="08CE2541"/>
    <w:rsid w:val="0B6B22C9"/>
    <w:rsid w:val="0BD64449"/>
    <w:rsid w:val="0BFF569C"/>
    <w:rsid w:val="0C965756"/>
    <w:rsid w:val="0D9773A6"/>
    <w:rsid w:val="0ED168E7"/>
    <w:rsid w:val="0F503503"/>
    <w:rsid w:val="0F7C2CF7"/>
    <w:rsid w:val="10D475A4"/>
    <w:rsid w:val="118A0FD0"/>
    <w:rsid w:val="11CC3396"/>
    <w:rsid w:val="120548F1"/>
    <w:rsid w:val="1212349F"/>
    <w:rsid w:val="13741F37"/>
    <w:rsid w:val="13BE388E"/>
    <w:rsid w:val="144B713C"/>
    <w:rsid w:val="14667AD2"/>
    <w:rsid w:val="14681A9C"/>
    <w:rsid w:val="146944C2"/>
    <w:rsid w:val="14E37374"/>
    <w:rsid w:val="15CF1017"/>
    <w:rsid w:val="1666772B"/>
    <w:rsid w:val="16721235"/>
    <w:rsid w:val="16EE3830"/>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7A162F"/>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577A9F"/>
    <w:rsid w:val="2DF45CF7"/>
    <w:rsid w:val="2E0F77BA"/>
    <w:rsid w:val="2F917CA1"/>
    <w:rsid w:val="2FBA3380"/>
    <w:rsid w:val="2FBC06DB"/>
    <w:rsid w:val="2FD656B4"/>
    <w:rsid w:val="2FFE2E5D"/>
    <w:rsid w:val="30586A11"/>
    <w:rsid w:val="32220E91"/>
    <w:rsid w:val="333077D1"/>
    <w:rsid w:val="34B61F58"/>
    <w:rsid w:val="34CE2DFE"/>
    <w:rsid w:val="34DF14AF"/>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3F12422F"/>
    <w:rsid w:val="3F32042D"/>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AB34B18"/>
    <w:rsid w:val="4C4507B6"/>
    <w:rsid w:val="4D551EB6"/>
    <w:rsid w:val="4D8B14D9"/>
    <w:rsid w:val="4DB33B09"/>
    <w:rsid w:val="4F1813ED"/>
    <w:rsid w:val="4FA30A16"/>
    <w:rsid w:val="525C3CE7"/>
    <w:rsid w:val="528E3D51"/>
    <w:rsid w:val="53D55AFF"/>
    <w:rsid w:val="546B0211"/>
    <w:rsid w:val="55B44A7B"/>
    <w:rsid w:val="560E70A6"/>
    <w:rsid w:val="572D5C52"/>
    <w:rsid w:val="583B7EFB"/>
    <w:rsid w:val="58B061F7"/>
    <w:rsid w:val="58C16652"/>
    <w:rsid w:val="59576FB6"/>
    <w:rsid w:val="5B305D11"/>
    <w:rsid w:val="5B4F0B23"/>
    <w:rsid w:val="5B4F731A"/>
    <w:rsid w:val="5B993B5A"/>
    <w:rsid w:val="5BF907F8"/>
    <w:rsid w:val="5D9A3915"/>
    <w:rsid w:val="5EA7453C"/>
    <w:rsid w:val="5F573763"/>
    <w:rsid w:val="5FC01AAC"/>
    <w:rsid w:val="61D513C0"/>
    <w:rsid w:val="621C33F7"/>
    <w:rsid w:val="621E4B15"/>
    <w:rsid w:val="637C5F97"/>
    <w:rsid w:val="666902A6"/>
    <w:rsid w:val="68464DC5"/>
    <w:rsid w:val="692A78CC"/>
    <w:rsid w:val="69502941"/>
    <w:rsid w:val="69D81A4D"/>
    <w:rsid w:val="69F97043"/>
    <w:rsid w:val="6A2373A8"/>
    <w:rsid w:val="6A627569"/>
    <w:rsid w:val="6AAF6C52"/>
    <w:rsid w:val="6CCA3A1C"/>
    <w:rsid w:val="6CE81FA7"/>
    <w:rsid w:val="6E577D47"/>
    <w:rsid w:val="6F170AB2"/>
    <w:rsid w:val="6F745D74"/>
    <w:rsid w:val="6F9562E9"/>
    <w:rsid w:val="70756248"/>
    <w:rsid w:val="709B2013"/>
    <w:rsid w:val="70AF4C91"/>
    <w:rsid w:val="71267542"/>
    <w:rsid w:val="71706A0F"/>
    <w:rsid w:val="723D2D95"/>
    <w:rsid w:val="7248226E"/>
    <w:rsid w:val="72783DCD"/>
    <w:rsid w:val="752E2E69"/>
    <w:rsid w:val="75A803EA"/>
    <w:rsid w:val="76E2215D"/>
    <w:rsid w:val="771B020D"/>
    <w:rsid w:val="77435AB2"/>
    <w:rsid w:val="78407BB7"/>
    <w:rsid w:val="78533470"/>
    <w:rsid w:val="79A47B9E"/>
    <w:rsid w:val="7A220727"/>
    <w:rsid w:val="7AFD1314"/>
    <w:rsid w:val="7B1F572E"/>
    <w:rsid w:val="7B95154C"/>
    <w:rsid w:val="7BAE5340"/>
    <w:rsid w:val="7BC23531"/>
    <w:rsid w:val="7CEF576A"/>
    <w:rsid w:val="7DD722F0"/>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1</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2026-02-06T16:07:29Z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