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A840ED7">
      <w:pPr>
        <w:pStyle w:val="2"/>
        <w:bidi w:val="0"/>
        <w:rPr>
          <w:rFonts w:hint="eastAsia"/>
          <w:lang w:val="en-US" w:eastAsia="zh-CN"/>
        </w:rPr>
      </w:pPr>
      <w:r>
        <w:rPr>
          <w:rFonts w:hint="eastAsia"/>
          <w:lang w:val="en-US" w:eastAsia="zh-CN"/>
        </w:rPr>
        <w:t>基于思维链增强与交叉依赖图融合的分子性质预测方法</w:t>
      </w:r>
    </w:p>
    <w:p w14:paraId="61B6AE7E">
      <w:pPr>
        <w:pStyle w:val="3"/>
        <w:bidi w:val="0"/>
        <w:rPr>
          <w:rFonts w:hint="default"/>
          <w:lang w:val="en-US" w:eastAsia="zh-CN"/>
        </w:rPr>
      </w:pPr>
      <w:r>
        <w:rPr>
          <w:rFonts w:hint="eastAsia"/>
          <w:lang w:val="en-US" w:eastAsia="zh-CN"/>
        </w:rPr>
        <w:t>模型设计与描述</w:t>
      </w:r>
    </w:p>
    <w:p w14:paraId="68DD33CA">
      <w:pPr>
        <w:pStyle w:val="4"/>
        <w:bidi w:val="0"/>
        <w:rPr>
          <w:rFonts w:hint="default"/>
          <w:lang w:val="en-US" w:eastAsia="zh-CN"/>
        </w:rPr>
      </w:pPr>
      <w:r>
        <w:rPr>
          <w:rFonts w:hint="eastAsia"/>
          <w:lang w:val="en-US" w:eastAsia="zh-CN"/>
        </w:rPr>
        <w:t>CoT-MMP模型架构概述</w:t>
      </w:r>
    </w:p>
    <w:p w14:paraId="3DF5D0E5">
      <w:pPr>
        <w:bidi w:val="0"/>
        <w:rPr>
          <w:rFonts w:hint="default"/>
          <w:lang w:val="en-US" w:eastAsia="zh-CN"/>
        </w:rPr>
      </w:pPr>
      <w:r>
        <w:rPr>
          <w:rFonts w:hint="default"/>
          <w:lang w:val="en-US" w:eastAsia="zh-CN"/>
        </w:rPr>
        <w:t>针对 ADMET（吸收、分布、代谢、排泄、毒性）分子性质预测任务中存在的结构特征与语义逻辑之间的异构性挑战，本章提出了一种全新的端到端预测框架——基于思维链增强与交叉依赖图融合的分子性质预测模型（Knowledge-enhanced Graph Anchor Multimodal Alignment, KGAMA）。该框架的核心设计理念在于打破传统单一模态在信息表达上的局限性，通过构建“语义推理</w:t>
      </w:r>
      <w:bookmarkStart w:id="0" w:name="_GoBack"/>
      <w:bookmarkEnd w:id="0"/>
      <w:r>
        <w:rPr>
          <w:rFonts w:hint="default"/>
          <w:lang w:val="en-US" w:eastAsia="zh-CN"/>
        </w:rPr>
        <w:t>”与“拓扑交互”的双视角并行编码机制，实现对药物分子全方位特征的精准捕获。</w:t>
      </w:r>
    </w:p>
    <w:p w14:paraId="538CAA29">
      <w:pPr>
        <w:bidi w:val="0"/>
        <w:rPr>
          <w:rFonts w:hint="default"/>
          <w:lang w:val="en-US" w:eastAsia="zh-CN"/>
        </w:rPr>
      </w:pPr>
    </w:p>
    <w:p w14:paraId="4195FE81">
      <w:pPr>
        <w:bidi w:val="0"/>
        <w:rPr>
          <w:rFonts w:hint="eastAsia"/>
          <w:lang w:val="en-US" w:eastAsia="zh-CN"/>
        </w:rPr>
      </w:pPr>
      <w:r>
        <w:rPr>
          <w:rFonts w:hint="default"/>
          <w:lang w:val="en-US" w:eastAsia="zh-CN"/>
        </w:rPr>
        <w:t>具体而言，KGAMA 框架摒弃了传统的“预训练-微调”范式，转而采用更具针对性的下游任务直接微调策略，以适应 ADMET 数据集样本量少但领域特异性强的特点。如图 3-1 所示，模型的整体拓扑结构由三条核心处理链路耦合而成：首先是基于思维链（Chain-of-Thought, CoT）的大语言模型文本编码链路，该模块利用 LLaMA-3.1-8B 强大的广义知识库与逻辑推理能力，将分子的 SMILES 序列转化为蕴含丰富药理规则的显式推理文本，并通过低秩自适应（LoRA）技术提取高维语义特征；其次是交叉依赖多视图图编码链路，该模块引入了改进型的 CD-MVGNN 网络，突破了传统图神经网络仅关注原子节点更新而忽视化学键独立语义的瓶颈，通过构建原子中心视图与边中心视图的交叉依赖消息传递机制，捕捉分子内部深层的原子-键相互作用；最后是多模态交叉注意力融合链路，该模块以图表征为锚点，动态聚合文本推理特征，最终通过多层感知机实现对分子性质的高精度预测。这种设计不仅赋予了模型强大的预测能力，更通过思维链的生成显著提升了模型决策过程的可解释性</w:t>
      </w:r>
      <w:r>
        <w:rPr>
          <w:rFonts w:hint="eastAsia"/>
          <w:lang w:val="en-US" w:eastAsia="zh-CN"/>
        </w:rPr>
        <w:t>。</w:t>
      </w:r>
    </w:p>
    <w:p w14:paraId="0057F760">
      <w:pPr>
        <w:pStyle w:val="4"/>
        <w:bidi w:val="0"/>
        <w:rPr>
          <w:rFonts w:hint="default"/>
          <w:lang w:val="en-US" w:eastAsia="zh-CN"/>
        </w:rPr>
      </w:pPr>
      <w:r>
        <w:rPr>
          <w:rFonts w:ascii="宋体" w:hAnsi="宋体" w:eastAsia="宋体" w:cs="宋体"/>
          <w:sz w:val="24"/>
          <w:szCs w:val="24"/>
        </w:rPr>
        <w:t>基于思维链的大模型文本编码器</w:t>
      </w:r>
    </w:p>
    <w:p w14:paraId="34A126C5">
      <w:pPr>
        <w:rPr>
          <w:rFonts w:hint="default"/>
          <w:lang w:val="en-US" w:eastAsia="zh-CN"/>
        </w:rPr>
      </w:pPr>
      <w:r>
        <w:rPr>
          <w:rFonts w:hint="default"/>
          <w:lang w:val="en-US" w:eastAsia="zh-CN"/>
        </w:rPr>
        <w:t>在药物分子性质预测中，传统的文本编码方式往往仅将 SMILES 字符串视为无语义的符号序列，难以挖掘其中隐含的构效关系逻辑。为了解决这一问题，本研究引入了思维链（Chain-of-Thought, CoT）技术，旨在模拟药物化学家在分析分子时的逐步推理过程</w:t>
      </w:r>
      <w:r>
        <w:rPr>
          <w:rFonts w:hint="eastAsia"/>
          <w:lang w:val="en-US" w:eastAsia="zh-CN"/>
        </w:rPr>
        <w:t>，以便能够让模型输出更加合理的可解释性的推理结果</w:t>
      </w:r>
      <w:r>
        <w:rPr>
          <w:rFonts w:hint="default"/>
          <w:lang w:val="en-US" w:eastAsia="zh-CN"/>
        </w:rPr>
        <w:t>。文本编码器的首要任务是构建高质量的提示词工程。我们不再直接要求模型输出预测结果，而是设计了一种包含“分子描述+任务指令+推理引导”的复合提示模板。具体来说，输入的 SMILES 序列首先被转化为自然语言描述，并结合“Let's think step by step”的引导指令输入至大语言模型中。这一过程能够激发大模型内部潜藏的化学知识，使其自发地从分子量、氢键供受体数量、旋转键数等理化性质出发，逐步推导其对特定 ADMET 性质（如血脑屏障通透性或心脏毒性）的影响，最终生成一段逻辑严密的推理文本 。</w:t>
      </w:r>
    </w:p>
    <w:p w14:paraId="3A6746EA">
      <w:pPr>
        <w:rPr>
          <w:rFonts w:hint="default"/>
          <w:lang w:val="en-US" w:eastAsia="zh-CN"/>
        </w:rPr>
      </w:pPr>
      <w:r>
        <w:rPr>
          <w:rFonts w:hint="default"/>
          <w:lang w:val="en-US" w:eastAsia="zh-CN"/>
        </w:rPr>
        <w:t>在模型选择上，本研究选用了具有 80 亿参数的 LLaMA-3.1 模型作为文本编码的主干网络。鉴于全参数微调大模型对计算资源的需求极高且容易在小样本的 ADMET 数据集上发生过拟合，我们采用了低秩自适应（LoRA）微调策略 。LoRA 技术通过在预训练模型的每一层注入可训练的低秩分解矩阵，在保持预训练权重冻结的前提下，仅更新极少量的附加参数。这种方法不仅大幅降低了显存开销，更重要的是，它允许模型在保留通用化学知识的同时，能够快速适配下游特定的分子性质预测任务。生成的思维链文本与原始分子描述经过 LLaMA 模型的多层 Transformer 处理后，提取出最终的隐藏层状态作为分子的文本语义表征向量。这一表征不仅包含了分子的静态属性，更融合了动态的药理推理逻辑，为后续的多模态融合提供了高密度的语义信息补充。</w:t>
      </w:r>
    </w:p>
    <w:p w14:paraId="408A4960">
      <w:pPr>
        <w:pStyle w:val="4"/>
        <w:bidi w:val="0"/>
        <w:rPr>
          <w:rFonts w:hint="default"/>
          <w:lang w:val="en-US" w:eastAsia="zh-CN"/>
        </w:rPr>
      </w:pPr>
      <w:r>
        <w:rPr>
          <w:rFonts w:hint="default"/>
          <w:lang w:val="en-US" w:eastAsia="zh-CN"/>
        </w:rPr>
        <w:t>交叉依赖多视图图编码器</w:t>
      </w:r>
    </w:p>
    <w:p w14:paraId="011010FB">
      <w:pPr>
        <w:rPr>
          <w:rFonts w:hint="default"/>
          <w:lang w:val="en-US" w:eastAsia="zh-CN"/>
        </w:rPr>
      </w:pPr>
      <w:r>
        <w:rPr>
          <w:rFonts w:hint="default"/>
          <w:lang w:val="en-US" w:eastAsia="zh-CN"/>
        </w:rPr>
        <w:t>虽然大语言模型在语义推理方面表现出色，但其对分子微观拓扑结构的感知能力相对较弱。为了弥补这一短板，本研究设计了交叉依赖多视图图神经网络（Cross-Dependent Multi-View Graph Neural Network, CD-MVGNN）作为图编码器，以替代传统的 AttentiveFP 或 MPNN 模型 。传统的图神经网络通常采用“原子中心（Node-Central）”的消息传递机制，即将化学键仅作为边缘属性进行聚合，这在一定程度上忽略了化学键作为独立实体在决定分子性质（如共轭效应、键能稳定性）中的关键作用 。</w:t>
      </w:r>
    </w:p>
    <w:p w14:paraId="6AD4D49C">
      <w:pPr>
        <w:rPr>
          <w:rFonts w:hint="default"/>
          <w:lang w:val="en-US" w:eastAsia="zh-CN"/>
        </w:rPr>
      </w:pPr>
      <w:r>
        <w:rPr>
          <w:rFonts w:hint="default"/>
          <w:lang w:val="en-US" w:eastAsia="zh-CN"/>
        </w:rPr>
        <w:t>CD-MVGNN 编码器创新性地构建了两个并行的视图处理通道：原子视图通道与化学键视图通道。在消息传递的每一次迭代过程中，模型引入了交叉依赖机制 。具体而言，原子状态的更新不仅依赖于其邻居原子的特征，还强制依赖于连接这些原子的化学键的最新状态表征；反之，化学键状态的更新也必须融合其所连接原子的最新特征信息。这种双向的、交叉的信息流动机制，使得模型能够模拟出“原子性质改变导致化学键极化”以及“化学键类型决定原子局部环境”的动态交互过程，从而捕捉到更为细腻的分子拓扑特征。为了获得图级别的全局表征，我们并未采用简单的平均池化，而是引入了自注意力读出（Self-Attentive Readout）机制 。该机制能够根据下游任务的需求，自动为图中的关键药效团（如苯环、羟基等）分配更高的注意力权重，最终聚合成一个具有高度结构保真度的图表征向量。这一向量将作为后续多模态融合过程中的“语义锚点”，引导文本模态与之对齐。</w:t>
      </w:r>
    </w:p>
    <w:p w14:paraId="68748C6B">
      <w:pPr>
        <w:pStyle w:val="4"/>
        <w:bidi w:val="0"/>
        <w:rPr>
          <w:rFonts w:hint="default"/>
          <w:lang w:val="en-US" w:eastAsia="zh-CN"/>
        </w:rPr>
      </w:pPr>
      <w:r>
        <w:t>多模态交叉融合与预测模块</w:t>
      </w:r>
    </w:p>
    <w:p w14:paraId="4DDA8B19">
      <w:pPr>
        <w:rPr>
          <w:rFonts w:hint="default"/>
          <w:lang w:val="en-US" w:eastAsia="zh-CN"/>
        </w:rPr>
      </w:pPr>
      <w:r>
        <w:rPr>
          <w:rFonts w:hint="default"/>
          <w:lang w:val="en-US" w:eastAsia="zh-CN"/>
        </w:rPr>
        <w:t>在获取了包含显式推理逻辑的文本表征与包含深层拓扑结构的图表征后，如何将这两股异构信息进行有效融合是决定预测性能的关键。简单的特征拼接（Concatenation）往往忽略了不同模态特征之间的语义鸿沟，难以实现深度的信息交互。因此，本研究设计了一个基于交叉注意力（Cross-Attention）机制的融合模块 。在该模块中，我们选取物理意义更为明确、结构更为稳定的图表征向量作为查询向量（Query），而将包含丰富语义推理信息的文本表征向量作为键向量（Key）和值向量（Value）。</w:t>
      </w:r>
    </w:p>
    <w:p w14:paraId="7C91856F">
      <w:pPr>
        <w:rPr>
          <w:rFonts w:hint="default"/>
          <w:lang w:val="en-US" w:eastAsia="zh-CN"/>
        </w:rPr>
      </w:pPr>
    </w:p>
    <w:p w14:paraId="1D464A3D">
      <w:pPr>
        <w:rPr>
          <w:rFonts w:hint="default"/>
          <w:lang w:val="en-US" w:eastAsia="zh-CN"/>
        </w:rPr>
      </w:pPr>
      <w:r>
        <w:rPr>
          <w:rFonts w:hint="default"/>
          <w:lang w:val="en-US" w:eastAsia="zh-CN"/>
        </w:rP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如毒性），模型会更加关注图结构中对应的子结构特征；而对于某些依赖整体理化性质的属性（如溶解度），模型则会从文本模态中提取更多的推理信息。经过交叉注意力融合后的特征向量，不仅保留了分子的结构骨架，还融入了专家的推理逻辑。最后，该融合向量被输入至一个由多层全连接网络构成的预测头（Prediction Head）中。针对 ADMET 数据集中的不同任务类型，预测头分别输出分类任务的概率值或回归任务的实数值，从而实现端到端的分子性质预测。</w:t>
      </w:r>
    </w:p>
    <w:p w14:paraId="1AB40FA9">
      <w:pPr>
        <w:bidi w:val="0"/>
        <w:ind w:left="420" w:leftChars="0"/>
        <w:rPr>
          <w:rFonts w:hint="default"/>
          <w:lang w:val="en-US" w:eastAsia="zh-CN"/>
        </w:rPr>
      </w:pPr>
    </w:p>
    <w:p w14:paraId="23D3353C">
      <w:pPr>
        <w:rPr>
          <w:rFonts w:hint="default"/>
          <w:lang w:val="en-US" w:eastAsia="zh-CN"/>
        </w:rPr>
      </w:pPr>
    </w:p>
    <w:p w14:paraId="36ADE4C2">
      <w:pPr>
        <w:rPr>
          <w:rFonts w:hint="default"/>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5"/>
        <w:gridCol w:w="1411"/>
        <w:gridCol w:w="1411"/>
        <w:gridCol w:w="1411"/>
        <w:gridCol w:w="1412"/>
        <w:gridCol w:w="1412"/>
      </w:tblGrid>
      <w:tr w14:paraId="074C5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96AAEBC">
            <w:pPr>
              <w:ind w:left="0" w:leftChars="0" w:firstLine="0" w:firstLineChars="0"/>
              <w:rPr>
                <w:rFonts w:hint="eastAsia"/>
                <w:vertAlign w:val="baseline"/>
                <w:lang w:val="en-US" w:eastAsia="zh-CN"/>
              </w:rPr>
            </w:pPr>
            <w:r>
              <w:rPr>
                <w:rFonts w:hint="eastAsia"/>
                <w:vertAlign w:val="baseline"/>
                <w:lang w:val="en-US" w:eastAsia="zh-CN"/>
              </w:rPr>
              <w:t>Solubility</w:t>
            </w:r>
          </w:p>
        </w:tc>
        <w:tc>
          <w:tcPr>
            <w:tcW w:w="1411" w:type="dxa"/>
          </w:tcPr>
          <w:p w14:paraId="4247DFFF">
            <w:pPr>
              <w:rPr>
                <w:rFonts w:hint="default"/>
                <w:vertAlign w:val="baseline"/>
                <w:lang w:val="en-US" w:eastAsia="zh-CN"/>
              </w:rPr>
            </w:pPr>
          </w:p>
        </w:tc>
        <w:tc>
          <w:tcPr>
            <w:tcW w:w="1411" w:type="dxa"/>
          </w:tcPr>
          <w:p w14:paraId="31131863">
            <w:pPr>
              <w:rPr>
                <w:rFonts w:hint="default"/>
                <w:vertAlign w:val="baseline"/>
                <w:lang w:val="en-US" w:eastAsia="zh-CN"/>
              </w:rPr>
            </w:pPr>
          </w:p>
        </w:tc>
        <w:tc>
          <w:tcPr>
            <w:tcW w:w="1411" w:type="dxa"/>
          </w:tcPr>
          <w:p w14:paraId="6B9B9BBC">
            <w:pPr>
              <w:rPr>
                <w:rFonts w:hint="default"/>
                <w:vertAlign w:val="baseline"/>
                <w:lang w:val="en-US" w:eastAsia="zh-CN"/>
              </w:rPr>
            </w:pPr>
          </w:p>
        </w:tc>
        <w:tc>
          <w:tcPr>
            <w:tcW w:w="1412" w:type="dxa"/>
          </w:tcPr>
          <w:p w14:paraId="07D0E4E1">
            <w:pPr>
              <w:rPr>
                <w:rFonts w:hint="default"/>
                <w:vertAlign w:val="baseline"/>
                <w:lang w:val="en-US" w:eastAsia="zh-CN"/>
              </w:rPr>
            </w:pPr>
          </w:p>
        </w:tc>
        <w:tc>
          <w:tcPr>
            <w:tcW w:w="1412" w:type="dxa"/>
          </w:tcPr>
          <w:p w14:paraId="61FF7857">
            <w:pPr>
              <w:rPr>
                <w:rFonts w:hint="default"/>
                <w:vertAlign w:val="baseline"/>
                <w:lang w:val="en-US" w:eastAsia="zh-CN"/>
              </w:rPr>
            </w:pPr>
          </w:p>
        </w:tc>
      </w:tr>
      <w:tr w14:paraId="120D2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544FF3C">
            <w:pPr>
              <w:ind w:left="0" w:leftChars="0" w:firstLine="0" w:firstLineChars="0"/>
              <w:rPr>
                <w:rFonts w:hint="eastAsia"/>
                <w:vertAlign w:val="baseline"/>
                <w:lang w:val="en-US" w:eastAsia="zh-CN"/>
              </w:rPr>
            </w:pPr>
            <w:r>
              <w:rPr>
                <w:rFonts w:hint="eastAsia"/>
                <w:vertAlign w:val="baseline"/>
                <w:lang w:val="en-US" w:eastAsia="zh-CN"/>
              </w:rPr>
              <w:t>PPBR</w:t>
            </w:r>
          </w:p>
        </w:tc>
        <w:tc>
          <w:tcPr>
            <w:tcW w:w="1411" w:type="dxa"/>
          </w:tcPr>
          <w:p w14:paraId="208D1346">
            <w:pPr>
              <w:rPr>
                <w:rFonts w:hint="default"/>
                <w:vertAlign w:val="baseline"/>
                <w:lang w:val="en-US" w:eastAsia="zh-CN"/>
              </w:rPr>
            </w:pPr>
          </w:p>
        </w:tc>
        <w:tc>
          <w:tcPr>
            <w:tcW w:w="1411" w:type="dxa"/>
          </w:tcPr>
          <w:p w14:paraId="3DCD98C2">
            <w:pPr>
              <w:rPr>
                <w:rFonts w:hint="default"/>
                <w:vertAlign w:val="baseline"/>
                <w:lang w:val="en-US" w:eastAsia="zh-CN"/>
              </w:rPr>
            </w:pPr>
          </w:p>
        </w:tc>
        <w:tc>
          <w:tcPr>
            <w:tcW w:w="1411" w:type="dxa"/>
          </w:tcPr>
          <w:p w14:paraId="46EB1C44">
            <w:pPr>
              <w:rPr>
                <w:rFonts w:hint="default"/>
                <w:vertAlign w:val="baseline"/>
                <w:lang w:val="en-US" w:eastAsia="zh-CN"/>
              </w:rPr>
            </w:pPr>
          </w:p>
        </w:tc>
        <w:tc>
          <w:tcPr>
            <w:tcW w:w="1412" w:type="dxa"/>
          </w:tcPr>
          <w:p w14:paraId="5B69758F">
            <w:pPr>
              <w:rPr>
                <w:rFonts w:hint="default"/>
                <w:vertAlign w:val="baseline"/>
                <w:lang w:val="en-US" w:eastAsia="zh-CN"/>
              </w:rPr>
            </w:pPr>
          </w:p>
        </w:tc>
        <w:tc>
          <w:tcPr>
            <w:tcW w:w="1412" w:type="dxa"/>
          </w:tcPr>
          <w:p w14:paraId="0A67F0AC">
            <w:pPr>
              <w:rPr>
                <w:rFonts w:hint="default"/>
                <w:vertAlign w:val="baseline"/>
                <w:lang w:val="en-US" w:eastAsia="zh-CN"/>
              </w:rPr>
            </w:pPr>
          </w:p>
        </w:tc>
      </w:tr>
      <w:tr w14:paraId="6FBFA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CACDF07">
            <w:pPr>
              <w:ind w:left="0" w:leftChars="0" w:firstLine="0" w:firstLineChars="0"/>
              <w:rPr>
                <w:rFonts w:hint="eastAsia"/>
                <w:vertAlign w:val="baseline"/>
                <w:lang w:val="en-US" w:eastAsia="zh-CN"/>
              </w:rPr>
            </w:pPr>
            <w:r>
              <w:rPr>
                <w:rFonts w:hint="eastAsia"/>
                <w:vertAlign w:val="baseline"/>
                <w:lang w:val="en-US" w:eastAsia="zh-CN"/>
              </w:rPr>
              <w:t>LD50</w:t>
            </w:r>
          </w:p>
        </w:tc>
        <w:tc>
          <w:tcPr>
            <w:tcW w:w="1411" w:type="dxa"/>
          </w:tcPr>
          <w:p w14:paraId="11E59B90">
            <w:pPr>
              <w:rPr>
                <w:rFonts w:hint="default"/>
                <w:vertAlign w:val="baseline"/>
                <w:lang w:val="en-US" w:eastAsia="zh-CN"/>
              </w:rPr>
            </w:pPr>
          </w:p>
        </w:tc>
        <w:tc>
          <w:tcPr>
            <w:tcW w:w="1411" w:type="dxa"/>
          </w:tcPr>
          <w:p w14:paraId="3500EA39">
            <w:pPr>
              <w:rPr>
                <w:rFonts w:hint="default"/>
                <w:vertAlign w:val="baseline"/>
                <w:lang w:val="en-US" w:eastAsia="zh-CN"/>
              </w:rPr>
            </w:pPr>
          </w:p>
        </w:tc>
        <w:tc>
          <w:tcPr>
            <w:tcW w:w="1411" w:type="dxa"/>
          </w:tcPr>
          <w:p w14:paraId="2F4A200F">
            <w:pPr>
              <w:rPr>
                <w:rFonts w:hint="default"/>
                <w:vertAlign w:val="baseline"/>
                <w:lang w:val="en-US" w:eastAsia="zh-CN"/>
              </w:rPr>
            </w:pPr>
          </w:p>
        </w:tc>
        <w:tc>
          <w:tcPr>
            <w:tcW w:w="1412" w:type="dxa"/>
          </w:tcPr>
          <w:p w14:paraId="5566F505">
            <w:pPr>
              <w:rPr>
                <w:rFonts w:hint="default"/>
                <w:vertAlign w:val="baseline"/>
                <w:lang w:val="en-US" w:eastAsia="zh-CN"/>
              </w:rPr>
            </w:pPr>
          </w:p>
        </w:tc>
        <w:tc>
          <w:tcPr>
            <w:tcW w:w="1412" w:type="dxa"/>
          </w:tcPr>
          <w:p w14:paraId="62B98A7C">
            <w:pPr>
              <w:rPr>
                <w:rFonts w:hint="default"/>
                <w:vertAlign w:val="baseline"/>
                <w:lang w:val="en-US" w:eastAsia="zh-CN"/>
              </w:rPr>
            </w:pPr>
          </w:p>
        </w:tc>
      </w:tr>
      <w:tr w14:paraId="12A776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3D05337">
            <w:pPr>
              <w:ind w:left="0" w:leftChars="0" w:firstLine="0" w:firstLineChars="0"/>
              <w:rPr>
                <w:rFonts w:hint="eastAsia"/>
                <w:vertAlign w:val="baseline"/>
                <w:lang w:val="en-US" w:eastAsia="zh-CN"/>
              </w:rPr>
            </w:pPr>
            <w:r>
              <w:rPr>
                <w:rFonts w:hint="eastAsia"/>
                <w:vertAlign w:val="baseline"/>
                <w:lang w:val="en-US" w:eastAsia="zh-CN"/>
              </w:rPr>
              <w:t>HIA</w:t>
            </w:r>
          </w:p>
        </w:tc>
        <w:tc>
          <w:tcPr>
            <w:tcW w:w="1411" w:type="dxa"/>
          </w:tcPr>
          <w:p w14:paraId="5A9D130E">
            <w:pPr>
              <w:rPr>
                <w:rFonts w:hint="default"/>
                <w:vertAlign w:val="baseline"/>
                <w:lang w:val="en-US" w:eastAsia="zh-CN"/>
              </w:rPr>
            </w:pPr>
          </w:p>
        </w:tc>
        <w:tc>
          <w:tcPr>
            <w:tcW w:w="1411" w:type="dxa"/>
          </w:tcPr>
          <w:p w14:paraId="6CC587C6">
            <w:pPr>
              <w:rPr>
                <w:rFonts w:hint="default"/>
                <w:vertAlign w:val="baseline"/>
                <w:lang w:val="en-US" w:eastAsia="zh-CN"/>
              </w:rPr>
            </w:pPr>
          </w:p>
        </w:tc>
        <w:tc>
          <w:tcPr>
            <w:tcW w:w="1411" w:type="dxa"/>
          </w:tcPr>
          <w:p w14:paraId="327E3784">
            <w:pPr>
              <w:rPr>
                <w:rFonts w:hint="default"/>
                <w:vertAlign w:val="baseline"/>
                <w:lang w:val="en-US" w:eastAsia="zh-CN"/>
              </w:rPr>
            </w:pPr>
          </w:p>
        </w:tc>
        <w:tc>
          <w:tcPr>
            <w:tcW w:w="1412" w:type="dxa"/>
          </w:tcPr>
          <w:p w14:paraId="18A82BAF">
            <w:pPr>
              <w:rPr>
                <w:rFonts w:hint="default"/>
                <w:vertAlign w:val="baseline"/>
                <w:lang w:val="en-US" w:eastAsia="zh-CN"/>
              </w:rPr>
            </w:pPr>
          </w:p>
        </w:tc>
        <w:tc>
          <w:tcPr>
            <w:tcW w:w="1412" w:type="dxa"/>
          </w:tcPr>
          <w:p w14:paraId="1A861152">
            <w:pPr>
              <w:rPr>
                <w:rFonts w:hint="default"/>
                <w:vertAlign w:val="baseline"/>
                <w:lang w:val="en-US" w:eastAsia="zh-CN"/>
              </w:rPr>
            </w:pPr>
          </w:p>
        </w:tc>
      </w:tr>
      <w:tr w14:paraId="588348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D3D744">
            <w:pPr>
              <w:ind w:left="0" w:leftChars="0" w:firstLine="0" w:firstLineChars="0"/>
              <w:rPr>
                <w:rFonts w:hint="eastAsia"/>
                <w:vertAlign w:val="baseline"/>
                <w:lang w:val="en-US" w:eastAsia="zh-CN"/>
              </w:rPr>
            </w:pPr>
            <w:r>
              <w:rPr>
                <w:rFonts w:hint="eastAsia"/>
                <w:vertAlign w:val="baseline"/>
                <w:lang w:val="en-US" w:eastAsia="zh-CN"/>
              </w:rPr>
              <w:t>Pgp</w:t>
            </w:r>
          </w:p>
        </w:tc>
        <w:tc>
          <w:tcPr>
            <w:tcW w:w="1411" w:type="dxa"/>
          </w:tcPr>
          <w:p w14:paraId="226F528B">
            <w:pPr>
              <w:rPr>
                <w:rFonts w:hint="default"/>
                <w:vertAlign w:val="baseline"/>
                <w:lang w:val="en-US" w:eastAsia="zh-CN"/>
              </w:rPr>
            </w:pPr>
          </w:p>
        </w:tc>
        <w:tc>
          <w:tcPr>
            <w:tcW w:w="1411" w:type="dxa"/>
          </w:tcPr>
          <w:p w14:paraId="0BB3A47A">
            <w:pPr>
              <w:rPr>
                <w:rFonts w:hint="default"/>
                <w:vertAlign w:val="baseline"/>
                <w:lang w:val="en-US" w:eastAsia="zh-CN"/>
              </w:rPr>
            </w:pPr>
          </w:p>
        </w:tc>
        <w:tc>
          <w:tcPr>
            <w:tcW w:w="1411" w:type="dxa"/>
          </w:tcPr>
          <w:p w14:paraId="2B28D8DE">
            <w:pPr>
              <w:rPr>
                <w:rFonts w:hint="default"/>
                <w:vertAlign w:val="baseline"/>
                <w:lang w:val="en-US" w:eastAsia="zh-CN"/>
              </w:rPr>
            </w:pPr>
          </w:p>
        </w:tc>
        <w:tc>
          <w:tcPr>
            <w:tcW w:w="1412" w:type="dxa"/>
          </w:tcPr>
          <w:p w14:paraId="1DCB693C">
            <w:pPr>
              <w:rPr>
                <w:rFonts w:hint="default"/>
                <w:vertAlign w:val="baseline"/>
                <w:lang w:val="en-US" w:eastAsia="zh-CN"/>
              </w:rPr>
            </w:pPr>
          </w:p>
        </w:tc>
        <w:tc>
          <w:tcPr>
            <w:tcW w:w="1412" w:type="dxa"/>
          </w:tcPr>
          <w:p w14:paraId="6DF33078">
            <w:pPr>
              <w:rPr>
                <w:rFonts w:hint="default"/>
                <w:vertAlign w:val="baseline"/>
                <w:lang w:val="en-US" w:eastAsia="zh-CN"/>
              </w:rPr>
            </w:pPr>
          </w:p>
        </w:tc>
      </w:tr>
      <w:tr w14:paraId="7F57BD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53375ED">
            <w:pPr>
              <w:ind w:left="0" w:leftChars="0" w:firstLine="0" w:firstLineChars="0"/>
              <w:rPr>
                <w:rFonts w:hint="eastAsia"/>
                <w:vertAlign w:val="baseline"/>
                <w:lang w:val="en-US" w:eastAsia="zh-CN"/>
              </w:rPr>
            </w:pPr>
            <w:r>
              <w:rPr>
                <w:rFonts w:hint="eastAsia"/>
                <w:vertAlign w:val="baseline"/>
                <w:lang w:val="en-US" w:eastAsia="zh-CN"/>
              </w:rPr>
              <w:t>Bioavailability</w:t>
            </w:r>
          </w:p>
        </w:tc>
        <w:tc>
          <w:tcPr>
            <w:tcW w:w="1411" w:type="dxa"/>
          </w:tcPr>
          <w:p w14:paraId="129DE942">
            <w:pPr>
              <w:rPr>
                <w:rFonts w:hint="default"/>
                <w:vertAlign w:val="baseline"/>
                <w:lang w:val="en-US" w:eastAsia="zh-CN"/>
              </w:rPr>
            </w:pPr>
          </w:p>
        </w:tc>
        <w:tc>
          <w:tcPr>
            <w:tcW w:w="1411" w:type="dxa"/>
          </w:tcPr>
          <w:p w14:paraId="215B161D">
            <w:pPr>
              <w:rPr>
                <w:rFonts w:hint="default"/>
                <w:vertAlign w:val="baseline"/>
                <w:lang w:val="en-US" w:eastAsia="zh-CN"/>
              </w:rPr>
            </w:pPr>
          </w:p>
        </w:tc>
        <w:tc>
          <w:tcPr>
            <w:tcW w:w="1411" w:type="dxa"/>
          </w:tcPr>
          <w:p w14:paraId="05F980DB">
            <w:pPr>
              <w:rPr>
                <w:rFonts w:hint="default"/>
                <w:vertAlign w:val="baseline"/>
                <w:lang w:val="en-US" w:eastAsia="zh-CN"/>
              </w:rPr>
            </w:pPr>
          </w:p>
        </w:tc>
        <w:tc>
          <w:tcPr>
            <w:tcW w:w="1412" w:type="dxa"/>
          </w:tcPr>
          <w:p w14:paraId="5FE3267E">
            <w:pPr>
              <w:rPr>
                <w:rFonts w:hint="default"/>
                <w:vertAlign w:val="baseline"/>
                <w:lang w:val="en-US" w:eastAsia="zh-CN"/>
              </w:rPr>
            </w:pPr>
          </w:p>
        </w:tc>
        <w:tc>
          <w:tcPr>
            <w:tcW w:w="1412" w:type="dxa"/>
          </w:tcPr>
          <w:p w14:paraId="2DCEE511">
            <w:pPr>
              <w:rPr>
                <w:rFonts w:hint="default"/>
                <w:vertAlign w:val="baseline"/>
                <w:lang w:val="en-US" w:eastAsia="zh-CN"/>
              </w:rPr>
            </w:pPr>
          </w:p>
        </w:tc>
      </w:tr>
      <w:tr w14:paraId="6B45B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2563BCC">
            <w:pPr>
              <w:ind w:left="0" w:leftChars="0" w:firstLine="0" w:firstLineChars="0"/>
              <w:rPr>
                <w:rFonts w:hint="eastAsia"/>
                <w:vertAlign w:val="baseline"/>
                <w:lang w:val="en-US" w:eastAsia="zh-CN"/>
              </w:rPr>
            </w:pPr>
            <w:r>
              <w:rPr>
                <w:rFonts w:hint="eastAsia"/>
                <w:vertAlign w:val="baseline"/>
                <w:lang w:val="en-US" w:eastAsia="zh-CN"/>
              </w:rPr>
              <w:t>CYP3A4 substrate</w:t>
            </w:r>
          </w:p>
        </w:tc>
        <w:tc>
          <w:tcPr>
            <w:tcW w:w="1411" w:type="dxa"/>
          </w:tcPr>
          <w:p w14:paraId="23FF5BE4">
            <w:pPr>
              <w:rPr>
                <w:rFonts w:hint="default"/>
                <w:vertAlign w:val="baseline"/>
                <w:lang w:val="en-US" w:eastAsia="zh-CN"/>
              </w:rPr>
            </w:pPr>
          </w:p>
        </w:tc>
        <w:tc>
          <w:tcPr>
            <w:tcW w:w="1411" w:type="dxa"/>
          </w:tcPr>
          <w:p w14:paraId="123B356F">
            <w:pPr>
              <w:rPr>
                <w:rFonts w:hint="default"/>
                <w:vertAlign w:val="baseline"/>
                <w:lang w:val="en-US" w:eastAsia="zh-CN"/>
              </w:rPr>
            </w:pPr>
          </w:p>
        </w:tc>
        <w:tc>
          <w:tcPr>
            <w:tcW w:w="1411" w:type="dxa"/>
          </w:tcPr>
          <w:p w14:paraId="78717C3A">
            <w:pPr>
              <w:rPr>
                <w:rFonts w:hint="default"/>
                <w:vertAlign w:val="baseline"/>
                <w:lang w:val="en-US" w:eastAsia="zh-CN"/>
              </w:rPr>
            </w:pPr>
          </w:p>
        </w:tc>
        <w:tc>
          <w:tcPr>
            <w:tcW w:w="1412" w:type="dxa"/>
          </w:tcPr>
          <w:p w14:paraId="0B720410">
            <w:pPr>
              <w:rPr>
                <w:rFonts w:hint="default"/>
                <w:vertAlign w:val="baseline"/>
                <w:lang w:val="en-US" w:eastAsia="zh-CN"/>
              </w:rPr>
            </w:pPr>
          </w:p>
        </w:tc>
        <w:tc>
          <w:tcPr>
            <w:tcW w:w="1412" w:type="dxa"/>
          </w:tcPr>
          <w:p w14:paraId="0FFAA854">
            <w:pPr>
              <w:rPr>
                <w:rFonts w:hint="default"/>
                <w:vertAlign w:val="baseline"/>
                <w:lang w:val="en-US" w:eastAsia="zh-CN"/>
              </w:rPr>
            </w:pPr>
          </w:p>
        </w:tc>
      </w:tr>
      <w:tr w14:paraId="7480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17EE4BF">
            <w:pPr>
              <w:ind w:left="0" w:leftChars="0" w:firstLine="0" w:firstLineChars="0"/>
              <w:rPr>
                <w:rFonts w:hint="eastAsia"/>
                <w:vertAlign w:val="baseline"/>
                <w:lang w:val="en-US" w:eastAsia="zh-CN"/>
              </w:rPr>
            </w:pPr>
            <w:r>
              <w:rPr>
                <w:rFonts w:hint="eastAsia"/>
                <w:vertAlign w:val="baseline"/>
                <w:lang w:val="en-US" w:eastAsia="zh-CN"/>
              </w:rPr>
              <w:t>hERG</w:t>
            </w:r>
          </w:p>
        </w:tc>
        <w:tc>
          <w:tcPr>
            <w:tcW w:w="1411" w:type="dxa"/>
          </w:tcPr>
          <w:p w14:paraId="19D23CE7">
            <w:pPr>
              <w:rPr>
                <w:rFonts w:hint="default"/>
                <w:vertAlign w:val="baseline"/>
                <w:lang w:val="en-US" w:eastAsia="zh-CN"/>
              </w:rPr>
            </w:pPr>
          </w:p>
        </w:tc>
        <w:tc>
          <w:tcPr>
            <w:tcW w:w="1411" w:type="dxa"/>
          </w:tcPr>
          <w:p w14:paraId="589F5F94">
            <w:pPr>
              <w:rPr>
                <w:rFonts w:hint="default"/>
                <w:vertAlign w:val="baseline"/>
                <w:lang w:val="en-US" w:eastAsia="zh-CN"/>
              </w:rPr>
            </w:pPr>
          </w:p>
        </w:tc>
        <w:tc>
          <w:tcPr>
            <w:tcW w:w="1411" w:type="dxa"/>
          </w:tcPr>
          <w:p w14:paraId="0F3265FD">
            <w:pPr>
              <w:rPr>
                <w:rFonts w:hint="default"/>
                <w:vertAlign w:val="baseline"/>
                <w:lang w:val="en-US" w:eastAsia="zh-CN"/>
              </w:rPr>
            </w:pPr>
          </w:p>
        </w:tc>
        <w:tc>
          <w:tcPr>
            <w:tcW w:w="1412" w:type="dxa"/>
          </w:tcPr>
          <w:p w14:paraId="02DDC701">
            <w:pPr>
              <w:rPr>
                <w:rFonts w:hint="default"/>
                <w:vertAlign w:val="baseline"/>
                <w:lang w:val="en-US" w:eastAsia="zh-CN"/>
              </w:rPr>
            </w:pPr>
          </w:p>
        </w:tc>
        <w:tc>
          <w:tcPr>
            <w:tcW w:w="1412" w:type="dxa"/>
          </w:tcPr>
          <w:p w14:paraId="342691FB">
            <w:pPr>
              <w:rPr>
                <w:rFonts w:hint="default"/>
                <w:vertAlign w:val="baseline"/>
                <w:lang w:val="en-US" w:eastAsia="zh-CN"/>
              </w:rPr>
            </w:pPr>
          </w:p>
        </w:tc>
      </w:tr>
      <w:tr w14:paraId="3F7E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30E86309">
            <w:pPr>
              <w:ind w:left="0" w:leftChars="0" w:firstLine="0" w:firstLineChars="0"/>
              <w:rPr>
                <w:rFonts w:hint="eastAsia"/>
                <w:vertAlign w:val="baseline"/>
                <w:lang w:val="en-US" w:eastAsia="zh-CN"/>
              </w:rPr>
            </w:pPr>
            <w:r>
              <w:rPr>
                <w:rFonts w:hint="eastAsia"/>
                <w:vertAlign w:val="baseline"/>
                <w:lang w:val="en-US" w:eastAsia="zh-CN"/>
              </w:rPr>
              <w:t>Ames</w:t>
            </w:r>
          </w:p>
        </w:tc>
        <w:tc>
          <w:tcPr>
            <w:tcW w:w="1411" w:type="dxa"/>
          </w:tcPr>
          <w:p w14:paraId="1A2AEBBA">
            <w:pPr>
              <w:rPr>
                <w:rFonts w:hint="default"/>
                <w:vertAlign w:val="baseline"/>
                <w:lang w:val="en-US" w:eastAsia="zh-CN"/>
              </w:rPr>
            </w:pPr>
          </w:p>
        </w:tc>
        <w:tc>
          <w:tcPr>
            <w:tcW w:w="1411" w:type="dxa"/>
          </w:tcPr>
          <w:p w14:paraId="0B7A5C4E">
            <w:pPr>
              <w:rPr>
                <w:rFonts w:hint="default"/>
                <w:vertAlign w:val="baseline"/>
                <w:lang w:val="en-US" w:eastAsia="zh-CN"/>
              </w:rPr>
            </w:pPr>
          </w:p>
        </w:tc>
        <w:tc>
          <w:tcPr>
            <w:tcW w:w="1411" w:type="dxa"/>
          </w:tcPr>
          <w:p w14:paraId="24D90C07">
            <w:pPr>
              <w:rPr>
                <w:rFonts w:hint="default"/>
                <w:vertAlign w:val="baseline"/>
                <w:lang w:val="en-US" w:eastAsia="zh-CN"/>
              </w:rPr>
            </w:pPr>
          </w:p>
        </w:tc>
        <w:tc>
          <w:tcPr>
            <w:tcW w:w="1412" w:type="dxa"/>
          </w:tcPr>
          <w:p w14:paraId="010F0979">
            <w:pPr>
              <w:rPr>
                <w:rFonts w:hint="default"/>
                <w:vertAlign w:val="baseline"/>
                <w:lang w:val="en-US" w:eastAsia="zh-CN"/>
              </w:rPr>
            </w:pPr>
          </w:p>
        </w:tc>
        <w:tc>
          <w:tcPr>
            <w:tcW w:w="1412" w:type="dxa"/>
          </w:tcPr>
          <w:p w14:paraId="6D987CFA">
            <w:pPr>
              <w:rPr>
                <w:rFonts w:hint="default"/>
                <w:vertAlign w:val="baseline"/>
                <w:lang w:val="en-US" w:eastAsia="zh-CN"/>
              </w:rPr>
            </w:pPr>
          </w:p>
        </w:tc>
      </w:tr>
      <w:tr w14:paraId="76EF5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2D7E580A">
            <w:pPr>
              <w:ind w:left="0" w:leftChars="0" w:firstLine="0" w:firstLineChars="0"/>
              <w:rPr>
                <w:rFonts w:hint="eastAsia"/>
                <w:vertAlign w:val="baseline"/>
                <w:lang w:val="en-US" w:eastAsia="zh-CN"/>
              </w:rPr>
            </w:pPr>
            <w:r>
              <w:rPr>
                <w:rFonts w:hint="eastAsia"/>
                <w:vertAlign w:val="baseline"/>
                <w:lang w:val="en-US" w:eastAsia="zh-CN"/>
              </w:rPr>
              <w:t>DILI</w:t>
            </w:r>
          </w:p>
        </w:tc>
        <w:tc>
          <w:tcPr>
            <w:tcW w:w="1411" w:type="dxa"/>
          </w:tcPr>
          <w:p w14:paraId="4997FAC0">
            <w:pPr>
              <w:rPr>
                <w:rFonts w:hint="default"/>
                <w:vertAlign w:val="baseline"/>
                <w:lang w:val="en-US" w:eastAsia="zh-CN"/>
              </w:rPr>
            </w:pPr>
          </w:p>
        </w:tc>
        <w:tc>
          <w:tcPr>
            <w:tcW w:w="1411" w:type="dxa"/>
          </w:tcPr>
          <w:p w14:paraId="3089BC83">
            <w:pPr>
              <w:rPr>
                <w:rFonts w:hint="default"/>
                <w:vertAlign w:val="baseline"/>
                <w:lang w:val="en-US" w:eastAsia="zh-CN"/>
              </w:rPr>
            </w:pPr>
          </w:p>
        </w:tc>
        <w:tc>
          <w:tcPr>
            <w:tcW w:w="1411" w:type="dxa"/>
          </w:tcPr>
          <w:p w14:paraId="2141E5A7">
            <w:pPr>
              <w:rPr>
                <w:rFonts w:hint="default"/>
                <w:vertAlign w:val="baseline"/>
                <w:lang w:val="en-US" w:eastAsia="zh-CN"/>
              </w:rPr>
            </w:pPr>
          </w:p>
        </w:tc>
        <w:tc>
          <w:tcPr>
            <w:tcW w:w="1412" w:type="dxa"/>
          </w:tcPr>
          <w:p w14:paraId="74A9014A">
            <w:pPr>
              <w:rPr>
                <w:rFonts w:hint="default"/>
                <w:vertAlign w:val="baseline"/>
                <w:lang w:val="en-US" w:eastAsia="zh-CN"/>
              </w:rPr>
            </w:pPr>
          </w:p>
        </w:tc>
        <w:tc>
          <w:tcPr>
            <w:tcW w:w="1412" w:type="dxa"/>
          </w:tcPr>
          <w:p w14:paraId="52145FE1">
            <w:pPr>
              <w:rPr>
                <w:rFonts w:hint="default"/>
                <w:vertAlign w:val="baseline"/>
                <w:lang w:val="en-US" w:eastAsia="zh-CN"/>
              </w:rPr>
            </w:pPr>
          </w:p>
        </w:tc>
      </w:tr>
      <w:tr w14:paraId="379D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7D52D18F">
            <w:pPr>
              <w:ind w:left="0" w:leftChars="0" w:firstLine="0" w:firstLineChars="0"/>
              <w:rPr>
                <w:rFonts w:hint="eastAsia"/>
                <w:vertAlign w:val="baseline"/>
                <w:lang w:val="en-US" w:eastAsia="zh-CN"/>
              </w:rPr>
            </w:pPr>
            <w:r>
              <w:rPr>
                <w:rFonts w:hint="eastAsia"/>
                <w:vertAlign w:val="baseline"/>
                <w:lang w:val="en-US" w:eastAsia="zh-CN"/>
              </w:rPr>
              <w:t>CYP2D6 inhibition</w:t>
            </w:r>
          </w:p>
        </w:tc>
        <w:tc>
          <w:tcPr>
            <w:tcW w:w="1411" w:type="dxa"/>
          </w:tcPr>
          <w:p w14:paraId="424C27BB">
            <w:pPr>
              <w:rPr>
                <w:rFonts w:hint="default"/>
                <w:vertAlign w:val="baseline"/>
                <w:lang w:val="en-US" w:eastAsia="zh-CN"/>
              </w:rPr>
            </w:pPr>
          </w:p>
        </w:tc>
        <w:tc>
          <w:tcPr>
            <w:tcW w:w="1411" w:type="dxa"/>
          </w:tcPr>
          <w:p w14:paraId="050DA7B5">
            <w:pPr>
              <w:rPr>
                <w:rFonts w:hint="default"/>
                <w:vertAlign w:val="baseline"/>
                <w:lang w:val="en-US" w:eastAsia="zh-CN"/>
              </w:rPr>
            </w:pPr>
          </w:p>
        </w:tc>
        <w:tc>
          <w:tcPr>
            <w:tcW w:w="1411" w:type="dxa"/>
          </w:tcPr>
          <w:p w14:paraId="064D0B6F">
            <w:pPr>
              <w:rPr>
                <w:rFonts w:hint="default"/>
                <w:vertAlign w:val="baseline"/>
                <w:lang w:val="en-US" w:eastAsia="zh-CN"/>
              </w:rPr>
            </w:pPr>
          </w:p>
        </w:tc>
        <w:tc>
          <w:tcPr>
            <w:tcW w:w="1412" w:type="dxa"/>
          </w:tcPr>
          <w:p w14:paraId="66FFA693">
            <w:pPr>
              <w:rPr>
                <w:rFonts w:hint="default"/>
                <w:vertAlign w:val="baseline"/>
                <w:lang w:val="en-US" w:eastAsia="zh-CN"/>
              </w:rPr>
            </w:pPr>
          </w:p>
        </w:tc>
        <w:tc>
          <w:tcPr>
            <w:tcW w:w="1412" w:type="dxa"/>
          </w:tcPr>
          <w:p w14:paraId="13B364FB">
            <w:pPr>
              <w:rPr>
                <w:rFonts w:hint="default"/>
                <w:vertAlign w:val="baseline"/>
                <w:lang w:val="en-US" w:eastAsia="zh-CN"/>
              </w:rPr>
            </w:pPr>
          </w:p>
        </w:tc>
      </w:tr>
      <w:tr w14:paraId="2A94A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567757D2">
            <w:pPr>
              <w:ind w:left="0" w:leftChars="0" w:firstLine="0" w:firstLineChars="0"/>
              <w:rPr>
                <w:rFonts w:hint="eastAsia"/>
                <w:vertAlign w:val="baseline"/>
                <w:lang w:val="en-US" w:eastAsia="zh-CN"/>
              </w:rPr>
            </w:pPr>
            <w:r>
              <w:rPr>
                <w:rFonts w:hint="eastAsia"/>
                <w:vertAlign w:val="baseline"/>
                <w:lang w:val="en-US" w:eastAsia="zh-CN"/>
              </w:rPr>
              <w:t>CYP3A4 inhibition</w:t>
            </w:r>
          </w:p>
        </w:tc>
        <w:tc>
          <w:tcPr>
            <w:tcW w:w="1411" w:type="dxa"/>
          </w:tcPr>
          <w:p w14:paraId="762DA999">
            <w:pPr>
              <w:rPr>
                <w:rFonts w:hint="default"/>
                <w:vertAlign w:val="baseline"/>
                <w:lang w:val="en-US" w:eastAsia="zh-CN"/>
              </w:rPr>
            </w:pPr>
          </w:p>
        </w:tc>
        <w:tc>
          <w:tcPr>
            <w:tcW w:w="1411" w:type="dxa"/>
          </w:tcPr>
          <w:p w14:paraId="24EE1D83">
            <w:pPr>
              <w:rPr>
                <w:rFonts w:hint="default"/>
                <w:vertAlign w:val="baseline"/>
                <w:lang w:val="en-US" w:eastAsia="zh-CN"/>
              </w:rPr>
            </w:pPr>
          </w:p>
        </w:tc>
        <w:tc>
          <w:tcPr>
            <w:tcW w:w="1411" w:type="dxa"/>
          </w:tcPr>
          <w:p w14:paraId="4F24253F">
            <w:pPr>
              <w:rPr>
                <w:rFonts w:hint="default"/>
                <w:vertAlign w:val="baseline"/>
                <w:lang w:val="en-US" w:eastAsia="zh-CN"/>
              </w:rPr>
            </w:pPr>
          </w:p>
        </w:tc>
        <w:tc>
          <w:tcPr>
            <w:tcW w:w="1412" w:type="dxa"/>
          </w:tcPr>
          <w:p w14:paraId="5FE1ADF7">
            <w:pPr>
              <w:rPr>
                <w:rFonts w:hint="default"/>
                <w:vertAlign w:val="baseline"/>
                <w:lang w:val="en-US" w:eastAsia="zh-CN"/>
              </w:rPr>
            </w:pPr>
          </w:p>
        </w:tc>
        <w:tc>
          <w:tcPr>
            <w:tcW w:w="1412" w:type="dxa"/>
          </w:tcPr>
          <w:p w14:paraId="0DCB3276">
            <w:pPr>
              <w:rPr>
                <w:rFonts w:hint="default"/>
                <w:vertAlign w:val="baseline"/>
                <w:lang w:val="en-US" w:eastAsia="zh-CN"/>
              </w:rPr>
            </w:pPr>
          </w:p>
        </w:tc>
      </w:tr>
      <w:tr w14:paraId="0A6AA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48BD2AAD">
            <w:pPr>
              <w:ind w:left="0" w:leftChars="0" w:firstLine="0" w:firstLineChars="0"/>
              <w:rPr>
                <w:rFonts w:hint="eastAsia"/>
                <w:vertAlign w:val="baseline"/>
                <w:lang w:val="en-US" w:eastAsia="zh-CN"/>
              </w:rPr>
            </w:pPr>
            <w:r>
              <w:rPr>
                <w:rFonts w:hint="eastAsia"/>
                <w:vertAlign w:val="baseline"/>
                <w:lang w:val="en-US" w:eastAsia="zh-CN"/>
              </w:rPr>
              <w:t>CYP2C9 inhibition</w:t>
            </w:r>
          </w:p>
        </w:tc>
        <w:tc>
          <w:tcPr>
            <w:tcW w:w="1411" w:type="dxa"/>
          </w:tcPr>
          <w:p w14:paraId="123E7400">
            <w:pPr>
              <w:rPr>
                <w:rFonts w:hint="default"/>
                <w:vertAlign w:val="baseline"/>
                <w:lang w:val="en-US" w:eastAsia="zh-CN"/>
              </w:rPr>
            </w:pPr>
          </w:p>
        </w:tc>
        <w:tc>
          <w:tcPr>
            <w:tcW w:w="1411" w:type="dxa"/>
          </w:tcPr>
          <w:p w14:paraId="46EE05BE">
            <w:pPr>
              <w:rPr>
                <w:rFonts w:hint="default"/>
                <w:vertAlign w:val="baseline"/>
                <w:lang w:val="en-US" w:eastAsia="zh-CN"/>
              </w:rPr>
            </w:pPr>
          </w:p>
        </w:tc>
        <w:tc>
          <w:tcPr>
            <w:tcW w:w="1411" w:type="dxa"/>
          </w:tcPr>
          <w:p w14:paraId="3599C966">
            <w:pPr>
              <w:rPr>
                <w:rFonts w:hint="default"/>
                <w:vertAlign w:val="baseline"/>
                <w:lang w:val="en-US" w:eastAsia="zh-CN"/>
              </w:rPr>
            </w:pPr>
          </w:p>
        </w:tc>
        <w:tc>
          <w:tcPr>
            <w:tcW w:w="1412" w:type="dxa"/>
          </w:tcPr>
          <w:p w14:paraId="1AAB7757">
            <w:pPr>
              <w:rPr>
                <w:rFonts w:hint="default"/>
                <w:vertAlign w:val="baseline"/>
                <w:lang w:val="en-US" w:eastAsia="zh-CN"/>
              </w:rPr>
            </w:pPr>
          </w:p>
        </w:tc>
        <w:tc>
          <w:tcPr>
            <w:tcW w:w="1412" w:type="dxa"/>
          </w:tcPr>
          <w:p w14:paraId="1852407D">
            <w:pPr>
              <w:rPr>
                <w:rFonts w:hint="default"/>
                <w:vertAlign w:val="baseline"/>
                <w:lang w:val="en-US" w:eastAsia="zh-CN"/>
              </w:rPr>
            </w:pPr>
          </w:p>
        </w:tc>
      </w:tr>
      <w:tr w14:paraId="7E6CB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01EF22B">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B0E4E20">
            <w:pPr>
              <w:rPr>
                <w:rFonts w:hint="default"/>
                <w:vertAlign w:val="baseline"/>
                <w:lang w:val="en-US" w:eastAsia="zh-CN"/>
              </w:rPr>
            </w:pPr>
          </w:p>
        </w:tc>
        <w:tc>
          <w:tcPr>
            <w:tcW w:w="1411" w:type="dxa"/>
          </w:tcPr>
          <w:p w14:paraId="2BDCA7C8">
            <w:pPr>
              <w:rPr>
                <w:rFonts w:hint="default"/>
                <w:vertAlign w:val="baseline"/>
                <w:lang w:val="en-US" w:eastAsia="zh-CN"/>
              </w:rPr>
            </w:pPr>
          </w:p>
        </w:tc>
        <w:tc>
          <w:tcPr>
            <w:tcW w:w="1411" w:type="dxa"/>
          </w:tcPr>
          <w:p w14:paraId="31BEEDE2">
            <w:pPr>
              <w:rPr>
                <w:rFonts w:hint="default"/>
                <w:vertAlign w:val="baseline"/>
                <w:lang w:val="en-US" w:eastAsia="zh-CN"/>
              </w:rPr>
            </w:pPr>
          </w:p>
        </w:tc>
        <w:tc>
          <w:tcPr>
            <w:tcW w:w="1412" w:type="dxa"/>
          </w:tcPr>
          <w:p w14:paraId="1B47E256">
            <w:pPr>
              <w:rPr>
                <w:rFonts w:hint="default"/>
                <w:vertAlign w:val="baseline"/>
                <w:lang w:val="en-US" w:eastAsia="zh-CN"/>
              </w:rPr>
            </w:pPr>
          </w:p>
        </w:tc>
        <w:tc>
          <w:tcPr>
            <w:tcW w:w="1412" w:type="dxa"/>
          </w:tcPr>
          <w:p w14:paraId="395F812C">
            <w:pPr>
              <w:rPr>
                <w:rFonts w:hint="default"/>
                <w:vertAlign w:val="baseline"/>
                <w:lang w:val="en-US" w:eastAsia="zh-CN"/>
              </w:rPr>
            </w:pPr>
          </w:p>
        </w:tc>
      </w:tr>
      <w:tr w14:paraId="5A418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CAFBD60">
            <w:pPr>
              <w:ind w:left="0" w:leftChars="0" w:firstLine="0" w:firstLineChars="0"/>
              <w:rPr>
                <w:rFonts w:hint="eastAsia"/>
                <w:vertAlign w:val="baseline"/>
                <w:lang w:val="en-US" w:eastAsia="zh-CN"/>
              </w:rPr>
            </w:pPr>
            <w:r>
              <w:rPr>
                <w:rFonts w:hint="eastAsia"/>
                <w:vertAlign w:val="baseline"/>
                <w:lang w:val="en-US" w:eastAsia="zh-CN"/>
              </w:rPr>
              <w:t xml:space="preserve">CYP2D6 substrate </w:t>
            </w:r>
          </w:p>
        </w:tc>
        <w:tc>
          <w:tcPr>
            <w:tcW w:w="1411" w:type="dxa"/>
          </w:tcPr>
          <w:p w14:paraId="5D1219EE">
            <w:pPr>
              <w:rPr>
                <w:rFonts w:hint="default"/>
                <w:vertAlign w:val="baseline"/>
                <w:lang w:val="en-US" w:eastAsia="zh-CN"/>
              </w:rPr>
            </w:pPr>
          </w:p>
        </w:tc>
        <w:tc>
          <w:tcPr>
            <w:tcW w:w="1411" w:type="dxa"/>
          </w:tcPr>
          <w:p w14:paraId="7FB66D56">
            <w:pPr>
              <w:rPr>
                <w:rFonts w:hint="default"/>
                <w:vertAlign w:val="baseline"/>
                <w:lang w:val="en-US" w:eastAsia="zh-CN"/>
              </w:rPr>
            </w:pPr>
          </w:p>
        </w:tc>
        <w:tc>
          <w:tcPr>
            <w:tcW w:w="1411" w:type="dxa"/>
          </w:tcPr>
          <w:p w14:paraId="043A288A">
            <w:pPr>
              <w:rPr>
                <w:rFonts w:hint="default"/>
                <w:vertAlign w:val="baseline"/>
                <w:lang w:val="en-US" w:eastAsia="zh-CN"/>
              </w:rPr>
            </w:pPr>
          </w:p>
        </w:tc>
        <w:tc>
          <w:tcPr>
            <w:tcW w:w="1412" w:type="dxa"/>
          </w:tcPr>
          <w:p w14:paraId="003E52B8">
            <w:pPr>
              <w:rPr>
                <w:rFonts w:hint="default"/>
                <w:vertAlign w:val="baseline"/>
                <w:lang w:val="en-US" w:eastAsia="zh-CN"/>
              </w:rPr>
            </w:pPr>
          </w:p>
        </w:tc>
        <w:tc>
          <w:tcPr>
            <w:tcW w:w="1412" w:type="dxa"/>
          </w:tcPr>
          <w:p w14:paraId="41A272AF">
            <w:pPr>
              <w:rPr>
                <w:rFonts w:hint="default"/>
                <w:vertAlign w:val="baseline"/>
                <w:lang w:val="en-US" w:eastAsia="zh-CN"/>
              </w:rPr>
            </w:pPr>
          </w:p>
        </w:tc>
      </w:tr>
      <w:tr w14:paraId="3BAB6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78808CB">
            <w:pPr>
              <w:ind w:left="0" w:leftChars="0" w:firstLine="0" w:firstLineChars="0"/>
              <w:rPr>
                <w:rFonts w:hint="eastAsia"/>
                <w:vertAlign w:val="baseline"/>
                <w:lang w:val="en-US" w:eastAsia="zh-CN"/>
              </w:rPr>
            </w:pPr>
            <w:r>
              <w:rPr>
                <w:rFonts w:hint="eastAsia"/>
                <w:vertAlign w:val="baseline"/>
                <w:lang w:val="en-US" w:eastAsia="zh-CN"/>
              </w:rPr>
              <w:t>Half life</w:t>
            </w:r>
          </w:p>
        </w:tc>
        <w:tc>
          <w:tcPr>
            <w:tcW w:w="1411" w:type="dxa"/>
          </w:tcPr>
          <w:p w14:paraId="2D01FC52">
            <w:pPr>
              <w:rPr>
                <w:rFonts w:hint="default"/>
                <w:vertAlign w:val="baseline"/>
                <w:lang w:val="en-US" w:eastAsia="zh-CN"/>
              </w:rPr>
            </w:pPr>
          </w:p>
        </w:tc>
        <w:tc>
          <w:tcPr>
            <w:tcW w:w="1411" w:type="dxa"/>
          </w:tcPr>
          <w:p w14:paraId="61597153">
            <w:pPr>
              <w:rPr>
                <w:rFonts w:hint="default"/>
                <w:vertAlign w:val="baseline"/>
                <w:lang w:val="en-US" w:eastAsia="zh-CN"/>
              </w:rPr>
            </w:pPr>
          </w:p>
        </w:tc>
        <w:tc>
          <w:tcPr>
            <w:tcW w:w="1411" w:type="dxa"/>
          </w:tcPr>
          <w:p w14:paraId="41C3028D">
            <w:pPr>
              <w:rPr>
                <w:rFonts w:hint="default"/>
                <w:vertAlign w:val="baseline"/>
                <w:lang w:val="en-US" w:eastAsia="zh-CN"/>
              </w:rPr>
            </w:pPr>
          </w:p>
        </w:tc>
        <w:tc>
          <w:tcPr>
            <w:tcW w:w="1412" w:type="dxa"/>
          </w:tcPr>
          <w:p w14:paraId="7B18AA81">
            <w:pPr>
              <w:rPr>
                <w:rFonts w:hint="default"/>
                <w:vertAlign w:val="baseline"/>
                <w:lang w:val="en-US" w:eastAsia="zh-CN"/>
              </w:rPr>
            </w:pPr>
          </w:p>
        </w:tc>
        <w:tc>
          <w:tcPr>
            <w:tcW w:w="1412" w:type="dxa"/>
          </w:tcPr>
          <w:p w14:paraId="6DAEA425">
            <w:pPr>
              <w:rPr>
                <w:rFonts w:hint="default"/>
                <w:vertAlign w:val="baseline"/>
                <w:lang w:val="en-US" w:eastAsia="zh-CN"/>
              </w:rPr>
            </w:pPr>
          </w:p>
        </w:tc>
      </w:tr>
      <w:tr w14:paraId="48213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1D9C5AE3">
            <w:pPr>
              <w:ind w:left="0" w:leftChars="0" w:firstLine="0" w:firstLineChars="0"/>
              <w:rPr>
                <w:rFonts w:hint="eastAsia"/>
                <w:vertAlign w:val="baseline"/>
                <w:lang w:val="en-US" w:eastAsia="zh-CN"/>
              </w:rPr>
            </w:pPr>
            <w:r>
              <w:rPr>
                <w:rFonts w:hint="eastAsia"/>
                <w:vertAlign w:val="baseline"/>
                <w:lang w:val="en-US" w:eastAsia="zh-CN"/>
              </w:rPr>
              <w:t>VDss</w:t>
            </w:r>
          </w:p>
        </w:tc>
        <w:tc>
          <w:tcPr>
            <w:tcW w:w="1411" w:type="dxa"/>
          </w:tcPr>
          <w:p w14:paraId="262CC0BC">
            <w:pPr>
              <w:rPr>
                <w:rFonts w:hint="default"/>
                <w:vertAlign w:val="baseline"/>
                <w:lang w:val="en-US" w:eastAsia="zh-CN"/>
              </w:rPr>
            </w:pPr>
          </w:p>
        </w:tc>
        <w:tc>
          <w:tcPr>
            <w:tcW w:w="1411" w:type="dxa"/>
          </w:tcPr>
          <w:p w14:paraId="10B3B964">
            <w:pPr>
              <w:rPr>
                <w:rFonts w:hint="default"/>
                <w:vertAlign w:val="baseline"/>
                <w:lang w:val="en-US" w:eastAsia="zh-CN"/>
              </w:rPr>
            </w:pPr>
          </w:p>
        </w:tc>
        <w:tc>
          <w:tcPr>
            <w:tcW w:w="1411" w:type="dxa"/>
          </w:tcPr>
          <w:p w14:paraId="00236E7B">
            <w:pPr>
              <w:rPr>
                <w:rFonts w:hint="default"/>
                <w:vertAlign w:val="baseline"/>
                <w:lang w:val="en-US" w:eastAsia="zh-CN"/>
              </w:rPr>
            </w:pPr>
          </w:p>
        </w:tc>
        <w:tc>
          <w:tcPr>
            <w:tcW w:w="1412" w:type="dxa"/>
          </w:tcPr>
          <w:p w14:paraId="18CBE28A">
            <w:pPr>
              <w:rPr>
                <w:rFonts w:hint="default"/>
                <w:vertAlign w:val="baseline"/>
                <w:lang w:val="en-US" w:eastAsia="zh-CN"/>
              </w:rPr>
            </w:pPr>
          </w:p>
        </w:tc>
        <w:tc>
          <w:tcPr>
            <w:tcW w:w="1412" w:type="dxa"/>
          </w:tcPr>
          <w:p w14:paraId="450BA4E8">
            <w:pPr>
              <w:rPr>
                <w:rFonts w:hint="default"/>
                <w:vertAlign w:val="baseline"/>
                <w:lang w:val="en-US" w:eastAsia="zh-CN"/>
              </w:rPr>
            </w:pPr>
          </w:p>
        </w:tc>
      </w:tr>
      <w:tr w14:paraId="69BA6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61C73998">
            <w:pPr>
              <w:ind w:left="0" w:leftChars="0" w:firstLine="0" w:firstLineChars="0"/>
              <w:rPr>
                <w:rFonts w:hint="eastAsia"/>
                <w:vertAlign w:val="baseline"/>
                <w:lang w:val="en-US" w:eastAsia="zh-CN"/>
              </w:rPr>
            </w:pPr>
            <w:r>
              <w:rPr>
                <w:rFonts w:hint="eastAsia"/>
                <w:vertAlign w:val="baseline"/>
                <w:lang w:val="en-US" w:eastAsia="zh-CN"/>
              </w:rPr>
              <w:t>Clearance microsome</w:t>
            </w:r>
          </w:p>
        </w:tc>
        <w:tc>
          <w:tcPr>
            <w:tcW w:w="1411" w:type="dxa"/>
          </w:tcPr>
          <w:p w14:paraId="1038C20F">
            <w:pPr>
              <w:rPr>
                <w:rFonts w:hint="default"/>
                <w:vertAlign w:val="baseline"/>
                <w:lang w:val="en-US" w:eastAsia="zh-CN"/>
              </w:rPr>
            </w:pPr>
          </w:p>
        </w:tc>
        <w:tc>
          <w:tcPr>
            <w:tcW w:w="1411" w:type="dxa"/>
          </w:tcPr>
          <w:p w14:paraId="4CD1130D">
            <w:pPr>
              <w:rPr>
                <w:rFonts w:hint="default"/>
                <w:vertAlign w:val="baseline"/>
                <w:lang w:val="en-US" w:eastAsia="zh-CN"/>
              </w:rPr>
            </w:pPr>
          </w:p>
        </w:tc>
        <w:tc>
          <w:tcPr>
            <w:tcW w:w="1411" w:type="dxa"/>
          </w:tcPr>
          <w:p w14:paraId="602ADBBE">
            <w:pPr>
              <w:rPr>
                <w:rFonts w:hint="default"/>
                <w:vertAlign w:val="baseline"/>
                <w:lang w:val="en-US" w:eastAsia="zh-CN"/>
              </w:rPr>
            </w:pPr>
          </w:p>
        </w:tc>
        <w:tc>
          <w:tcPr>
            <w:tcW w:w="1412" w:type="dxa"/>
          </w:tcPr>
          <w:p w14:paraId="726FF078">
            <w:pPr>
              <w:rPr>
                <w:rFonts w:hint="default"/>
                <w:vertAlign w:val="baseline"/>
                <w:lang w:val="en-US" w:eastAsia="zh-CN"/>
              </w:rPr>
            </w:pPr>
          </w:p>
        </w:tc>
        <w:tc>
          <w:tcPr>
            <w:tcW w:w="1412" w:type="dxa"/>
          </w:tcPr>
          <w:p w14:paraId="147634AA">
            <w:pPr>
              <w:rPr>
                <w:rFonts w:hint="default"/>
                <w:vertAlign w:val="baseline"/>
                <w:lang w:val="en-US" w:eastAsia="zh-CN"/>
              </w:rPr>
            </w:pPr>
          </w:p>
        </w:tc>
      </w:tr>
      <w:tr w14:paraId="6D241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65" w:type="dxa"/>
          </w:tcPr>
          <w:p w14:paraId="02A8BE9E">
            <w:pPr>
              <w:ind w:left="0" w:leftChars="0" w:firstLine="0" w:firstLineChars="0"/>
              <w:rPr>
                <w:rFonts w:hint="eastAsia"/>
                <w:vertAlign w:val="baseline"/>
                <w:lang w:val="en-US" w:eastAsia="zh-CN"/>
              </w:rPr>
            </w:pPr>
            <w:r>
              <w:rPr>
                <w:rFonts w:hint="eastAsia"/>
                <w:vertAlign w:val="baseline"/>
                <w:lang w:val="en-US" w:eastAsia="zh-CN"/>
              </w:rPr>
              <w:t>Clearance hepatocyte</w:t>
            </w:r>
          </w:p>
        </w:tc>
        <w:tc>
          <w:tcPr>
            <w:tcW w:w="1411" w:type="dxa"/>
          </w:tcPr>
          <w:p w14:paraId="6C738C5C">
            <w:pPr>
              <w:rPr>
                <w:rFonts w:hint="default"/>
                <w:vertAlign w:val="baseline"/>
                <w:lang w:val="en-US" w:eastAsia="zh-CN"/>
              </w:rPr>
            </w:pPr>
          </w:p>
        </w:tc>
        <w:tc>
          <w:tcPr>
            <w:tcW w:w="1411" w:type="dxa"/>
          </w:tcPr>
          <w:p w14:paraId="419BB803">
            <w:pPr>
              <w:rPr>
                <w:rFonts w:hint="default"/>
                <w:vertAlign w:val="baseline"/>
                <w:lang w:val="en-US" w:eastAsia="zh-CN"/>
              </w:rPr>
            </w:pPr>
          </w:p>
        </w:tc>
        <w:tc>
          <w:tcPr>
            <w:tcW w:w="1411" w:type="dxa"/>
          </w:tcPr>
          <w:p w14:paraId="65D17E4F">
            <w:pPr>
              <w:rPr>
                <w:rFonts w:hint="default"/>
                <w:vertAlign w:val="baseline"/>
                <w:lang w:val="en-US" w:eastAsia="zh-CN"/>
              </w:rPr>
            </w:pPr>
          </w:p>
        </w:tc>
        <w:tc>
          <w:tcPr>
            <w:tcW w:w="1412" w:type="dxa"/>
          </w:tcPr>
          <w:p w14:paraId="52F34EC1">
            <w:pPr>
              <w:rPr>
                <w:rFonts w:hint="default"/>
                <w:vertAlign w:val="baseline"/>
                <w:lang w:val="en-US" w:eastAsia="zh-CN"/>
              </w:rPr>
            </w:pPr>
          </w:p>
        </w:tc>
        <w:tc>
          <w:tcPr>
            <w:tcW w:w="1412" w:type="dxa"/>
          </w:tcPr>
          <w:p w14:paraId="136E2D8B">
            <w:pPr>
              <w:rPr>
                <w:rFonts w:hint="default"/>
                <w:vertAlign w:val="baseline"/>
                <w:lang w:val="en-US" w:eastAsia="zh-CN"/>
              </w:rPr>
            </w:pPr>
          </w:p>
        </w:tc>
      </w:tr>
    </w:tbl>
    <w:p w14:paraId="6602BE93">
      <w:pPr>
        <w:rPr>
          <w:rFonts w:hint="default"/>
          <w:lang w:val="en-US" w:eastAsia="zh-CN"/>
        </w:rPr>
      </w:pPr>
    </w:p>
    <w:p w14:paraId="17ED0AB0">
      <w:pPr>
        <w:rPr>
          <w:rFonts w:hint="default"/>
          <w:lang w:val="en-US" w:eastAsia="zh-CN"/>
        </w:rPr>
      </w:pPr>
    </w:p>
    <w:p w14:paraId="5644B9B8">
      <w:pPr>
        <w:pStyle w:val="3"/>
        <w:bidi w:val="0"/>
        <w:rPr>
          <w:rFonts w:hint="default"/>
          <w:lang w:val="en-US" w:eastAsia="zh-CN"/>
        </w:rPr>
      </w:pPr>
      <w:r>
        <w:rPr>
          <w:rFonts w:hint="eastAsia"/>
          <w:lang w:val="en-US" w:eastAsia="zh-CN"/>
        </w:rPr>
        <w:t>本章小结</w:t>
      </w:r>
    </w:p>
    <w:p w14:paraId="5B3CDD47">
      <w:pPr>
        <w:pStyle w:val="2"/>
        <w:bidi w:val="0"/>
        <w:rPr>
          <w:rFonts w:hint="eastAsia"/>
          <w:lang w:val="en-US" w:eastAsia="zh-CN"/>
        </w:rPr>
      </w:pPr>
      <w:r>
        <w:t>基于知识增强</w:t>
      </w:r>
      <w:r>
        <w:rPr>
          <w:rFonts w:hint="eastAsia"/>
          <w:lang w:val="en-US" w:eastAsia="zh-CN"/>
        </w:rPr>
        <w:t>与</w:t>
      </w:r>
      <w:r>
        <w:t>图对齐的分子性质预测方法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3ADFD0FE">
      <w:pPr>
        <w:pStyle w:val="4"/>
        <w:bidi w:val="0"/>
        <w:rPr>
          <w:rFonts w:hint="default"/>
          <w:lang w:val="en-US" w:eastAsia="zh-CN"/>
        </w:rPr>
      </w:pPr>
      <w:r>
        <w:rPr>
          <w:rFonts w:hint="eastAsia"/>
          <w:lang w:val="en-US" w:eastAsia="zh-CN"/>
        </w:rPr>
        <w:t>KGAMA框架概述</w:t>
      </w:r>
    </w:p>
    <w:p w14:paraId="0C19663F">
      <w:pPr>
        <w:bidi w:val="0"/>
        <w:rPr>
          <w:rFonts w:hint="eastAsia"/>
          <w:lang w:val="en-US" w:eastAsia="zh-CN"/>
        </w:rPr>
      </w:pPr>
      <w:r>
        <w:rPr>
          <w:rFonts w:hint="eastAsia"/>
          <w:lang w:val="en-US" w:eastAsia="zh-CN"/>
        </w:rPr>
        <w:t>在本章节中我们提出了一个基于图表征为核心、多模态知识增强的分子预测架构，</w:t>
      </w:r>
      <w:r>
        <w:t>该框架的核心愿景在于突破多源异构数据的语义壁垒，构建一个能够将多通道数据高效对齐至统一高维空间的表征体系。</w:t>
      </w:r>
      <w:r>
        <w:rPr>
          <w:rFonts w:hint="eastAsia"/>
          <w:lang w:val="en-US" w:eastAsia="zh-CN"/>
        </w:rPr>
        <w:t>此框架采用预训练-微调范式，在预训练阶段，引入图中心对比学习策略，驱动各模态在潜在空间内完成语义锚定；而在面向特定下游任务的微调阶段，则部署交叉注意力模块与</w:t>
      </w:r>
      <w:r>
        <w:t>多层感知机（MLP），实现对任务敏感特征的动态捕捉与灵活预测。</w:t>
      </w:r>
    </w:p>
    <w:p w14:paraId="7996BBC3">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该模型的架构图如图 3-1 所示，其总体拓扑结构可清晰划分为三大核心组件：模态专属编码器：用于提取异构特征、统一嵌入空间映射模块：用于维度对齐，以及基于交叉注意力机制的融合模块：用于特征交互与预测。</w:t>
      </w:r>
    </w:p>
    <w:p w14:paraId="0912A60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7960" cy="3104515"/>
            <wp:effectExtent l="0" t="0" r="5080" b="4445"/>
            <wp:docPr id="7" name="图片 7" descr="模型架构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模型架构图.drawio"/>
                    <pic:cNvPicPr>
                      <a:picLocks noChangeAspect="1"/>
                    </pic:cNvPicPr>
                  </pic:nvPicPr>
                  <pic:blipFill>
                    <a:blip r:embed="rId6"/>
                    <a:stretch>
                      <a:fillRect/>
                    </a:stretch>
                  </pic:blipFill>
                  <pic:spPr>
                    <a:xfrm>
                      <a:off x="0" y="0"/>
                      <a:ext cx="5267960" cy="3104515"/>
                    </a:xfrm>
                    <a:prstGeom prst="rect">
                      <a:avLst/>
                    </a:prstGeom>
                  </pic:spPr>
                </pic:pic>
              </a:graphicData>
            </a:graphic>
          </wp:inline>
        </w:drawing>
      </w:r>
    </w:p>
    <w:p w14:paraId="2E48092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16E2FDF8">
      <w:pPr>
        <w:pStyle w:val="4"/>
        <w:bidi w:val="0"/>
        <w:rPr>
          <w:rFonts w:hint="eastAsia"/>
          <w:lang w:val="en-US" w:eastAsia="zh-CN"/>
        </w:rPr>
      </w:pPr>
      <w:r>
        <w:rPr>
          <w:rFonts w:hint="eastAsia"/>
          <w:lang w:val="en-US" w:eastAsia="zh-CN"/>
        </w:rPr>
        <w:t>图编码器</w:t>
      </w:r>
    </w:p>
    <w:p w14:paraId="5970E9D2">
      <w:pPr>
        <w:rPr>
          <w:rFonts w:hint="eastAsia"/>
          <w:lang w:val="en-US" w:eastAsia="zh-CN"/>
        </w:rPr>
      </w:pPr>
      <w:r>
        <w:rPr>
          <w:rFonts w:hint="eastAsia"/>
          <w:lang w:val="en-US" w:eastAsia="zh-CN"/>
        </w:rPr>
        <w:t xml:space="preserve">图编码器构成了本框架的语义核心（Anchor）。本文部署 Graphormer 架构，旨在从拓扑连接与几何空间两个维度对分子图进行深度解构。区别于传统图神经网络受限于局部感受野的缺陷，Graphormer 引入了三位一体的编码策略：中心性编码用于量化原子的节点重要度，空间编码负责记录原子间的最短路径距离，而边缘编码则精确描述化学键类型。经由多层 Graphormer Layer 的迭代处理，模型输出具备高度结构保真度的图表征向量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eastAsia"/>
          <w:lang w:val="en-US" w:eastAsia="zh-CN"/>
        </w:rPr>
        <w:t>，该向量在预训练阶段充当了其他模态对齐的“语义锚点”。</w:t>
      </w:r>
    </w:p>
    <w:p w14:paraId="3E4A7DE5">
      <w:pPr>
        <w:pStyle w:val="4"/>
        <w:bidi w:val="0"/>
        <w:rPr>
          <w:rFonts w:hint="default"/>
          <w:lang w:val="en-US" w:eastAsia="zh-CN"/>
        </w:rPr>
      </w:pPr>
      <w:r>
        <w:rPr>
          <w:rFonts w:hint="eastAsia"/>
          <w:lang w:val="en-US" w:eastAsia="zh-CN"/>
        </w:rPr>
        <w:t>指纹编码器</w:t>
      </w:r>
    </w:p>
    <w:p w14:paraId="7522D1C5">
      <w:pPr>
        <w:bidi w:val="0"/>
        <w:rPr>
          <w:rFonts w:hint="eastAsia"/>
          <w:lang w:val="en-US" w:eastAsia="zh-CN"/>
        </w:rPr>
      </w:pPr>
      <w:r>
        <w:t>分子指纹作为一种将分子局部子结构转化为二进制代码的数字化表征手段，其核心机制在于依据既定规则判定分子特定结构是否存在，如图X所示。基于编码策略之差异，现有指纹技术主要涵盖AtomPairs、MACCS及Morgan三类。表XX详尽列示了各指纹</w:t>
      </w:r>
      <w:r>
        <w:rPr>
          <w:rFonts w:hint="eastAsia"/>
          <w:lang w:val="en-US" w:eastAsia="zh-CN"/>
        </w:rPr>
        <w:t>所</w:t>
      </w:r>
      <w:r>
        <w:t>能承载的信息维度。</w:t>
      </w:r>
    </w:p>
    <w:p w14:paraId="18602F8E">
      <w:pPr>
        <w:rPr>
          <w:rFonts w:hint="eastAsia"/>
          <w:lang w:val="en-US" w:eastAsia="zh-CN"/>
        </w:rPr>
      </w:pP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6"/>
        <w:gridCol w:w="1638"/>
        <w:gridCol w:w="1574"/>
        <w:gridCol w:w="1575"/>
      </w:tblGrid>
      <w:tr w14:paraId="195B1D9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PrEx>
        <w:trPr>
          <w:jc w:val="center"/>
        </w:trPr>
        <w:tc>
          <w:tcPr>
            <w:tcW w:w="1786" w:type="dxa"/>
            <w:tcBorders>
              <w:bottom w:val="single" w:color="auto" w:sz="8" w:space="0"/>
            </w:tcBorders>
          </w:tcPr>
          <w:p w14:paraId="0AA94A75">
            <w:pPr>
              <w:rPr>
                <w:rFonts w:hint="default"/>
                <w:vertAlign w:val="baseline"/>
                <w:lang w:val="en-US" w:eastAsia="zh-CN"/>
              </w:rPr>
            </w:pPr>
            <w:r>
              <w:rPr>
                <w:rFonts w:hint="eastAsia"/>
                <w:vertAlign w:val="baseline"/>
                <w:lang w:val="en-US" w:eastAsia="zh-CN"/>
              </w:rPr>
              <w:t>指纹类型</w:t>
            </w:r>
          </w:p>
        </w:tc>
        <w:tc>
          <w:tcPr>
            <w:tcW w:w="1638" w:type="dxa"/>
            <w:tcBorders>
              <w:bottom w:val="single" w:color="auto" w:sz="8" w:space="0"/>
            </w:tcBorders>
          </w:tcPr>
          <w:p w14:paraId="3A6CC5E2">
            <w:pPr>
              <w:rPr>
                <w:rFonts w:hint="default"/>
                <w:vertAlign w:val="baseline"/>
                <w:lang w:val="en-US" w:eastAsia="zh-CN"/>
              </w:rPr>
            </w:pPr>
            <w:r>
              <w:rPr>
                <w:rFonts w:hint="eastAsia"/>
                <w:vertAlign w:val="baseline"/>
                <w:lang w:val="en-US" w:eastAsia="zh-CN"/>
              </w:rPr>
              <w:t>结构信息</w:t>
            </w:r>
          </w:p>
        </w:tc>
        <w:tc>
          <w:tcPr>
            <w:tcW w:w="1574" w:type="dxa"/>
            <w:tcBorders>
              <w:bottom w:val="single" w:color="auto" w:sz="8" w:space="0"/>
            </w:tcBorders>
          </w:tcPr>
          <w:p w14:paraId="31D0B825">
            <w:pPr>
              <w:rPr>
                <w:rFonts w:hint="default"/>
                <w:vertAlign w:val="baseline"/>
                <w:lang w:val="en-US" w:eastAsia="zh-CN"/>
              </w:rPr>
            </w:pPr>
            <w:r>
              <w:rPr>
                <w:rFonts w:hint="eastAsia"/>
                <w:vertAlign w:val="baseline"/>
                <w:lang w:val="en-US" w:eastAsia="zh-CN"/>
              </w:rPr>
              <w:t>功能信息</w:t>
            </w:r>
          </w:p>
        </w:tc>
        <w:tc>
          <w:tcPr>
            <w:tcW w:w="1575" w:type="dxa"/>
            <w:tcBorders>
              <w:bottom w:val="single" w:color="auto" w:sz="8" w:space="0"/>
            </w:tcBorders>
          </w:tcPr>
          <w:p w14:paraId="1FA6559A">
            <w:pPr>
              <w:rPr>
                <w:rFonts w:hint="default"/>
                <w:vertAlign w:val="baseline"/>
                <w:lang w:val="en-US" w:eastAsia="zh-CN"/>
              </w:rPr>
            </w:pPr>
            <w:r>
              <w:rPr>
                <w:rFonts w:hint="eastAsia"/>
                <w:vertAlign w:val="baseline"/>
                <w:lang w:val="en-US" w:eastAsia="zh-CN"/>
              </w:rPr>
              <w:t>拓扑信息</w:t>
            </w:r>
          </w:p>
        </w:tc>
      </w:tr>
      <w:tr w14:paraId="5DE879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op w:val="single" w:color="auto" w:sz="8" w:space="0"/>
              <w:tl2br w:val="nil"/>
              <w:tr2bl w:val="nil"/>
            </w:tcBorders>
          </w:tcPr>
          <w:p w14:paraId="4A560315">
            <w:pPr>
              <w:rPr>
                <w:rFonts w:hint="default"/>
                <w:vertAlign w:val="baseline"/>
                <w:lang w:val="en-US" w:eastAsia="zh-CN"/>
              </w:rPr>
            </w:pPr>
            <w:r>
              <w:rPr>
                <w:rFonts w:hint="eastAsia"/>
                <w:lang w:val="en-US" w:eastAsia="zh-CN"/>
              </w:rPr>
              <w:t xml:space="preserve">AtomPairs </w:t>
            </w:r>
          </w:p>
        </w:tc>
        <w:tc>
          <w:tcPr>
            <w:tcW w:w="1638" w:type="dxa"/>
            <w:tcBorders>
              <w:top w:val="single" w:color="auto" w:sz="8" w:space="0"/>
              <w:tl2br w:val="nil"/>
              <w:tr2bl w:val="nil"/>
            </w:tcBorders>
          </w:tcPr>
          <w:p w14:paraId="09A50823">
            <w:pPr>
              <w:rPr>
                <w:rFonts w:hint="default"/>
                <w:vertAlign w:val="baseline"/>
                <w:lang w:val="en-US" w:eastAsia="zh-CN"/>
              </w:rPr>
            </w:pPr>
            <w:r>
              <w:rPr>
                <w:rFonts w:hint="eastAsia"/>
                <w:vertAlign w:val="baseline"/>
                <w:lang w:val="en-US" w:eastAsia="zh-CN"/>
              </w:rPr>
              <w:t>√</w:t>
            </w:r>
          </w:p>
        </w:tc>
        <w:tc>
          <w:tcPr>
            <w:tcW w:w="1574" w:type="dxa"/>
            <w:tcBorders>
              <w:top w:val="single" w:color="auto" w:sz="8" w:space="0"/>
              <w:tl2br w:val="nil"/>
              <w:tr2bl w:val="nil"/>
            </w:tcBorders>
          </w:tcPr>
          <w:p w14:paraId="1E01253E">
            <w:pPr>
              <w:rPr>
                <w:rFonts w:hint="default"/>
                <w:vertAlign w:val="baseline"/>
                <w:lang w:val="en-US" w:eastAsia="zh-CN"/>
              </w:rPr>
            </w:pPr>
          </w:p>
        </w:tc>
        <w:tc>
          <w:tcPr>
            <w:tcW w:w="1575" w:type="dxa"/>
            <w:tcBorders>
              <w:top w:val="single" w:color="auto" w:sz="8" w:space="0"/>
              <w:tl2br w:val="nil"/>
              <w:tr2bl w:val="nil"/>
            </w:tcBorders>
          </w:tcPr>
          <w:p w14:paraId="3D74EBA4">
            <w:pPr>
              <w:rPr>
                <w:rFonts w:hint="default"/>
                <w:vertAlign w:val="baseline"/>
                <w:lang w:val="en-US" w:eastAsia="zh-CN"/>
              </w:rPr>
            </w:pPr>
            <w:r>
              <w:rPr>
                <w:rFonts w:hint="eastAsia"/>
                <w:vertAlign w:val="baseline"/>
                <w:lang w:val="en-US" w:eastAsia="zh-CN"/>
              </w:rPr>
              <w:t>√</w:t>
            </w:r>
          </w:p>
        </w:tc>
      </w:tr>
      <w:tr w14:paraId="22A9730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31514E53">
            <w:pPr>
              <w:rPr>
                <w:rFonts w:hint="eastAsia"/>
                <w:lang w:val="en-US" w:eastAsia="zh-CN"/>
              </w:rPr>
            </w:pPr>
            <w:r>
              <w:rPr>
                <w:rFonts w:hint="eastAsia"/>
                <w:lang w:val="en-US" w:eastAsia="zh-CN"/>
              </w:rPr>
              <w:t xml:space="preserve">MACCS </w:t>
            </w:r>
          </w:p>
        </w:tc>
        <w:tc>
          <w:tcPr>
            <w:tcW w:w="1638" w:type="dxa"/>
            <w:tcBorders>
              <w:tl2br w:val="nil"/>
              <w:tr2bl w:val="nil"/>
            </w:tcBorders>
          </w:tcPr>
          <w:p w14:paraId="680C3DC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6447CA02">
            <w:pPr>
              <w:rPr>
                <w:rFonts w:hint="default"/>
                <w:vertAlign w:val="baseline"/>
                <w:lang w:val="en-US" w:eastAsia="zh-CN"/>
              </w:rPr>
            </w:pPr>
            <w:r>
              <w:rPr>
                <w:rFonts w:hint="eastAsia"/>
                <w:vertAlign w:val="baseline"/>
                <w:lang w:val="en-US" w:eastAsia="zh-CN"/>
              </w:rPr>
              <w:t>√</w:t>
            </w:r>
          </w:p>
        </w:tc>
        <w:tc>
          <w:tcPr>
            <w:tcW w:w="1575" w:type="dxa"/>
            <w:tcBorders>
              <w:tl2br w:val="nil"/>
              <w:tr2bl w:val="nil"/>
            </w:tcBorders>
          </w:tcPr>
          <w:p w14:paraId="0091A139">
            <w:pPr>
              <w:rPr>
                <w:rFonts w:hint="default"/>
                <w:vertAlign w:val="baseline"/>
                <w:lang w:val="en-US" w:eastAsia="zh-CN"/>
              </w:rPr>
            </w:pPr>
          </w:p>
        </w:tc>
      </w:tr>
      <w:tr w14:paraId="7F3AD56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786" w:type="dxa"/>
            <w:tcBorders>
              <w:tl2br w:val="nil"/>
              <w:tr2bl w:val="nil"/>
            </w:tcBorders>
          </w:tcPr>
          <w:p w14:paraId="02BFD4F1">
            <w:pPr>
              <w:rPr>
                <w:rFonts w:hint="eastAsia"/>
                <w:lang w:val="en-US" w:eastAsia="zh-CN"/>
              </w:rPr>
            </w:pPr>
            <w:r>
              <w:rPr>
                <w:rFonts w:hint="default"/>
                <w:lang w:val="en-US" w:eastAsia="zh-CN"/>
              </w:rPr>
              <w:t>Morgan</w:t>
            </w:r>
          </w:p>
        </w:tc>
        <w:tc>
          <w:tcPr>
            <w:tcW w:w="1638" w:type="dxa"/>
            <w:tcBorders>
              <w:tl2br w:val="nil"/>
              <w:tr2bl w:val="nil"/>
            </w:tcBorders>
          </w:tcPr>
          <w:p w14:paraId="235A28F7">
            <w:pPr>
              <w:rPr>
                <w:rFonts w:hint="default"/>
                <w:vertAlign w:val="baseline"/>
                <w:lang w:val="en-US" w:eastAsia="zh-CN"/>
              </w:rPr>
            </w:pPr>
            <w:r>
              <w:rPr>
                <w:rFonts w:hint="eastAsia"/>
                <w:vertAlign w:val="baseline"/>
                <w:lang w:val="en-US" w:eastAsia="zh-CN"/>
              </w:rPr>
              <w:t>√</w:t>
            </w:r>
          </w:p>
        </w:tc>
        <w:tc>
          <w:tcPr>
            <w:tcW w:w="1574" w:type="dxa"/>
            <w:tcBorders>
              <w:tl2br w:val="nil"/>
              <w:tr2bl w:val="nil"/>
            </w:tcBorders>
          </w:tcPr>
          <w:p w14:paraId="17D50701">
            <w:pPr>
              <w:rPr>
                <w:rFonts w:hint="default"/>
                <w:vertAlign w:val="baseline"/>
                <w:lang w:val="en-US" w:eastAsia="zh-CN"/>
              </w:rPr>
            </w:pPr>
          </w:p>
        </w:tc>
        <w:tc>
          <w:tcPr>
            <w:tcW w:w="1575" w:type="dxa"/>
            <w:tcBorders>
              <w:tl2br w:val="nil"/>
              <w:tr2bl w:val="nil"/>
            </w:tcBorders>
          </w:tcPr>
          <w:p w14:paraId="25781416">
            <w:pPr>
              <w:rPr>
                <w:rFonts w:hint="default"/>
                <w:vertAlign w:val="baseline"/>
                <w:lang w:val="en-US" w:eastAsia="zh-CN"/>
              </w:rPr>
            </w:pPr>
            <w:r>
              <w:rPr>
                <w:rFonts w:hint="eastAsia"/>
                <w:vertAlign w:val="baseline"/>
                <w:lang w:val="en-US" w:eastAsia="zh-CN"/>
              </w:rPr>
              <w:t>√</w:t>
            </w:r>
          </w:p>
        </w:tc>
      </w:tr>
    </w:tbl>
    <w:p w14:paraId="543C034C">
      <w:pPr>
        <w:ind w:left="0" w:leftChars="0" w:firstLine="0" w:firstLineChars="0"/>
        <w:rPr>
          <w:rFonts w:hint="default"/>
          <w:lang w:val="en-US" w:eastAsia="zh-CN"/>
        </w:rPr>
      </w:pPr>
    </w:p>
    <w:p w14:paraId="793FBA7A">
      <w:pPr>
        <w:bidi w:val="0"/>
      </w:pPr>
      <w:r>
        <w:rPr>
          <w:rFonts w:hint="default"/>
        </w:rPr>
        <w:t>AtomPairs</w:t>
      </w:r>
      <w:r>
        <w:t>指纹侧重于提取分子内全部非氢原子对的拓扑特征，该方法依照原子类型及原子间最短路径距离实施编码，进而有效捕捉分子内部空间关联与结构属性，尤为适宜表征分散官能团与整体构型间之关系。MACCS指纹则建立于166个结构密钥基础之上形成二进制序列，每一密钥均指向特定分子子结构或化学特性；若分子具备密钥定义之结构，对应位赋值为1，反之则置0。本研究中，Morgan算法参数设定为半径2，比特数2048。</w:t>
      </w:r>
    </w:p>
    <w:p w14:paraId="02498C8B">
      <w:pPr>
        <w:bidi w:val="0"/>
      </w:pPr>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MLP）习得非线性映射关系，将其投影至统一向量空间。具体运算流程如下：</w:t>
      </w:r>
    </w:p>
    <w:p w14:paraId="2DE1FD8E">
      <w:pPr>
        <w:bidi w:val="0"/>
        <w:rPr>
          <w:rFonts w:hint="default" w:hAnsi="Cambria Math" w:cs="Times New Roman"/>
          <w:i w:val="0"/>
          <w:kern w:val="2"/>
          <w:sz w:val="21"/>
          <w:szCs w:val="24"/>
          <w:lang w:val="en-US" w:eastAsia="zh-CN" w:bidi="ar-SA"/>
        </w:rPr>
      </w:pPr>
      <m:oMathPara>
        <m:oMath>
          <m:r>
            <m:rPr/>
            <w:rPr>
              <w:rFonts w:hint="default" w:ascii="Cambria Math" w:hAnsi="Cambria Math" w:eastAsia="sans-serif"/>
              <w:sz w:val="24"/>
            </w:rPr>
            <m:t>Output=σ(W⋅[</m:t>
          </m:r>
          <m:r>
            <m:rPr/>
            <w:rPr>
              <w:rFonts w:hint="default" w:ascii="Cambria Math" w:hAnsi="Cambria Math" w:eastAsia="宋体"/>
              <w:sz w:val="24"/>
              <w:lang w:val="en-US" w:eastAsia="zh-CN"/>
            </w:rPr>
            <m:t>A</m:t>
          </m:r>
          <m:r>
            <m:rPr/>
            <w:rPr>
              <w:rFonts w:hint="default" w:ascii="Cambria Math" w:hAnsi="Cambria Math" w:eastAsia="sans-serif"/>
              <w:sz w:val="24"/>
            </w:rPr>
            <m:t>(x),B(x),C(x)]+b)</m:t>
          </m:r>
        </m:oMath>
      </m:oMathPara>
    </w:p>
    <w:p w14:paraId="6DB75378">
      <w:pPr>
        <w:bidi w:val="0"/>
      </w:pPr>
      <w:r>
        <w:rPr>
          <w:lang w:val="en-US" w:eastAsia="zh-CN"/>
        </w:rPr>
        <w:t>式中：</w:t>
      </w:r>
      <m:oMath>
        <m:r>
          <m:rPr/>
          <w:rPr>
            <w:rFonts w:hint="default" w:ascii="Cambria Math" w:hAnsi="Cambria Math" w:eastAsia="宋体"/>
            <w:sz w:val="24"/>
            <w:lang w:val="en-US" w:eastAsia="zh-CN"/>
          </w:rPr>
          <m:t>A</m:t>
        </m:r>
        <m:r>
          <m:rPr/>
          <w:rPr>
            <w:rFonts w:hint="default" w:ascii="Cambria Math" w:hAnsi="Cambria Math" w:eastAsia="sans-serif"/>
            <w:sz w:val="24"/>
          </w:rPr>
          <m:t>(x)</m:t>
        </m:r>
      </m:oMath>
      <w:r>
        <w:rPr>
          <w:lang w:val="en-US" w:eastAsia="zh-CN"/>
        </w:rPr>
        <w:t>代表AtomPairs指纹，</w:t>
      </w:r>
      <m:oMath>
        <m:r>
          <m:rPr>
            <m:sty m:val="p"/>
          </m:rPr>
          <w:rPr>
            <w:rFonts w:hint="default" w:ascii="Times New Roman" w:hAnsi="Times New Roman"/>
          </w:rPr>
          <m:t>B(x)</m:t>
        </m:r>
      </m:oMath>
      <w:r>
        <w:rPr>
          <w:lang w:val="en-US" w:eastAsia="zh-CN"/>
        </w:rPr>
        <w:t>指代MACCS指纹，</w:t>
      </w:r>
      <m:oMath>
        <m:r>
          <m:rPr>
            <m:sty m:val="p"/>
          </m:rPr>
          <w:rPr>
            <w:rFonts w:hint="default" w:ascii="Times New Roman" w:hAnsi="Times New Roman"/>
          </w:rPr>
          <m:t>C(x)</m:t>
        </m:r>
      </m:oMath>
      <w:r>
        <w:rPr>
          <w:lang w:val="en-US" w:eastAsia="zh-CN"/>
        </w:rPr>
        <w:t>为Morgan指纹；</w:t>
      </w:r>
      <m:oMath>
        <m:r>
          <m:rPr>
            <m:sty m:val="p"/>
          </m:rPr>
          <w:rPr>
            <w:rFonts w:hint="default" w:ascii="Times New Roman" w:hAnsi="Times New Roman"/>
          </w:rPr>
          <m:t>σ</m:t>
        </m:r>
      </m:oMath>
      <w:r>
        <w:rPr>
          <w:lang w:val="en-US" w:eastAsia="zh-CN"/>
        </w:rPr>
        <w:t>表示ReLU激活函数，</w:t>
      </w:r>
      <m:oMath>
        <m:r>
          <m:rPr>
            <m:sty m:val="p"/>
          </m:rPr>
          <w:rPr>
            <w:rFonts w:hint="default" w:ascii="Times New Roman" w:hAnsi="Times New Roman"/>
          </w:rPr>
          <m:t>W</m:t>
        </m:r>
      </m:oMath>
      <w:r>
        <w:rPr>
          <w:lang w:val="en-US" w:eastAsia="zh-CN"/>
        </w:rPr>
        <w:t>与</w:t>
      </w:r>
      <m:oMath>
        <m:r>
          <m:rPr>
            <m:sty m:val="p"/>
          </m:rPr>
          <w:rPr>
            <w:rFonts w:hint="default" w:ascii="Times New Roman" w:hAnsi="Times New Roman"/>
          </w:rPr>
          <m:t>b</m:t>
        </m:r>
      </m:oMath>
      <w:r>
        <w:rPr>
          <w:lang w:val="en-US" w:eastAsia="zh-CN"/>
        </w:rPr>
        <w:t>分别对应权重矩阵及偏置向量。</w:t>
      </w:r>
    </w:p>
    <w:p w14:paraId="670561D1">
      <w:pPr>
        <w:pStyle w:val="4"/>
        <w:bidi w:val="0"/>
        <w:rPr>
          <w:rFonts w:hint="default"/>
          <w:lang w:val="en-US" w:eastAsia="zh-CN"/>
        </w:rPr>
      </w:pPr>
      <w:r>
        <w:rPr>
          <w:rFonts w:hint="eastAsia"/>
          <w:lang w:val="en-US" w:eastAsia="zh-CN"/>
        </w:rPr>
        <w:t>序列编码器</w:t>
      </w:r>
    </w:p>
    <w:p w14:paraId="5A11323B">
      <w:pPr>
        <w:rPr>
          <w:rFonts w:hint="default"/>
          <w:lang w:val="en-US" w:eastAsia="zh-CN"/>
        </w:rPr>
      </w:pPr>
      <w:r>
        <w:rPr>
          <w:rFonts w:hint="default"/>
          <w:lang w:val="en-US" w:eastAsia="zh-CN"/>
        </w:rPr>
        <w:t xml:space="preserve">SMILES 字符串虽以线性文本形式存在，其本质却蕴含着复杂的化学拓扑逻辑与层次化结构。鉴于此，本文摒弃了传统的循环神经网络（RNN）方案，转而采用RoBERTa 变体 Transformer 架构作为序列特征提取引擎。相较于 RNN 易受梯度消失困扰的固有缺陷，该架构凭借全局自注意力机制，具备跨越线性序列距离、直接锁定远端原子关联的能力。输入流处理：原始 SMILES 序列经由分词器离散化为 Token 流后，于序列首部植入全局表征符 [CLS]，以此作为整个分子序列信息的聚合锚点。长程依赖建模：如图 3-1（模块 3）所示，借助多头注意力层，模型能够穿透线性的字符间隔，精准捕捉支链末端或大环闭合点间的空间语义一致性。特征投影：最终层输出的 [CLS] 隐状态向量被提取为序列全局表征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oMath>
      <w:r>
        <w:rPr>
          <w:rFonts w:hint="default"/>
          <w:lang w:val="en-US" w:eastAsia="zh-CN"/>
        </w:rPr>
        <w:t xml:space="preserve">，随后经由全连接层映射至与图特征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oMath>
      <w:r>
        <w:rPr>
          <w:rFonts w:hint="default"/>
          <w:lang w:val="en-US" w:eastAsia="zh-CN"/>
        </w:rPr>
        <w:t>等维的语义空间，为后续的跨模态对齐奠定维度基础。</w:t>
      </w:r>
    </w:p>
    <w:p w14:paraId="5B6CBE39">
      <w:pPr>
        <w:pStyle w:val="4"/>
        <w:bidi w:val="0"/>
        <w:rPr>
          <w:rFonts w:hint="default"/>
          <w:lang w:val="en-US" w:eastAsia="zh-CN"/>
        </w:rPr>
      </w:pPr>
      <w:r>
        <w:rPr>
          <w:rFonts w:hint="eastAsia"/>
          <w:lang w:val="en-US" w:eastAsia="zh-CN"/>
        </w:rPr>
        <w:t>文本编码器</w:t>
      </w:r>
    </w:p>
    <w:p w14:paraId="3CAF7708">
      <w:pPr>
        <w:jc w:val="both"/>
        <w:rPr>
          <w:rFonts w:hint="eastAsia"/>
          <w:lang w:val="en-US" w:eastAsia="zh-CN"/>
        </w:rPr>
      </w:pPr>
      <w:r>
        <w:rPr>
          <w:rFonts w:hint="default"/>
          <w:lang w:val="en-US" w:eastAsia="zh-CN"/>
        </w:rPr>
        <w:t>该模块实现了本文核心创新点之一：知识增强重写。</w:t>
      </w:r>
      <w:r>
        <w:rPr>
          <w:rFonts w:hint="eastAsia"/>
          <w:lang w:val="en-US" w:eastAsia="zh-CN"/>
        </w:rPr>
        <w:t>针对原始数据库文本可能存在的噪声干扰与信息冗余，本文设计了如下处理链路：</w:t>
      </w:r>
    </w:p>
    <w:p w14:paraId="22AACF06">
      <w:pPr>
        <w:numPr>
          <w:ilvl w:val="0"/>
          <w:numId w:val="4"/>
        </w:numPr>
        <w:jc w:val="both"/>
        <w:rPr>
          <w:rFonts w:hint="eastAsia"/>
          <w:lang w:val="en-US" w:eastAsia="zh-CN"/>
        </w:rPr>
      </w:pPr>
      <w:r>
        <w:rPr>
          <w:rFonts w:hint="eastAsia"/>
          <w:lang w:val="en-US" w:eastAsia="zh-CN"/>
        </w:rPr>
        <w:t>知识注入：利用 PubChem API 获取原始描述，并融合由 RDKit 计算得出的</w:t>
      </w:r>
      <w:r>
        <w:rPr>
          <w:rFonts w:hint="eastAsia"/>
          <w:color w:val="FF0000"/>
          <w:lang w:val="en-US" w:eastAsia="zh-CN"/>
        </w:rPr>
        <w:t>12</w:t>
      </w:r>
      <w:r>
        <w:rPr>
          <w:rFonts w:hint="eastAsia"/>
          <w:lang w:val="en-US" w:eastAsia="zh-CN"/>
        </w:rPr>
        <w:t>项关键理化指标（如 LogP、TPSA 等）。</w:t>
      </w:r>
    </w:p>
    <w:p w14:paraId="2490DD16">
      <w:pPr>
        <w:numPr>
          <w:ilvl w:val="0"/>
          <w:numId w:val="4"/>
        </w:numPr>
        <w:jc w:val="both"/>
        <w:rPr>
          <w:rFonts w:hint="default"/>
          <w:lang w:val="en-US" w:eastAsia="zh-CN"/>
        </w:rPr>
      </w:pPr>
      <w:r>
        <w:rPr>
          <w:rFonts w:hint="eastAsia"/>
          <w:lang w:val="en-US" w:eastAsia="zh-CN"/>
        </w:rPr>
        <w:t>LLM 重写：利用大语言模型充当领域专家，将定量的理化数值与定性的文本描述有机融合，生成逻辑严密、去噪后的高质量文本。</w:t>
      </w:r>
    </w:p>
    <w:p w14:paraId="7983D170">
      <w:pPr>
        <w:numPr>
          <w:ilvl w:val="0"/>
          <w:numId w:val="4"/>
        </w:numPr>
        <w:jc w:val="both"/>
        <w:rPr>
          <w:rFonts w:hint="default"/>
          <w:lang w:val="en-US" w:eastAsia="zh-CN"/>
        </w:rPr>
      </w:pPr>
      <w:r>
        <w:rPr>
          <w:rFonts w:hint="eastAsia"/>
          <w:lang w:val="en-US" w:eastAsia="zh-CN"/>
        </w:rPr>
        <w:t xml:space="preserve">语义编码：重写后的文本被送入预训练 SciBERT 编码器。得益于其在海量科学文献上的预训练先验，SciBERT 能够敏锐捕捉分子描述中的专业术语语义，最终输出高密度的文本特征向量 </w:t>
      </w:r>
      <m:oMath>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oMath>
      <w:r>
        <w:rPr>
          <w:rFonts w:hint="eastAsia"/>
          <w:lang w:val="en-US" w:eastAsia="zh-CN"/>
        </w:rPr>
        <w:t>。</w:t>
      </w:r>
    </w:p>
    <w:p w14:paraId="063DB7DA">
      <w:pPr>
        <w:numPr>
          <w:ilvl w:val="0"/>
          <w:numId w:val="0"/>
        </w:numPr>
        <w:ind w:leftChars="200"/>
        <w:jc w:val="both"/>
        <w:rPr>
          <w:rFonts w:hint="default"/>
          <w:lang w:val="en-US" w:eastAsia="zh-CN"/>
        </w:rPr>
      </w:pPr>
      <w:r>
        <w:rPr>
          <w:rFonts w:hint="eastAsia"/>
          <w:lang w:val="en-US" w:eastAsia="zh-CN"/>
        </w:rPr>
        <w:t>具体的构建流程见实验设计预训练数据章节。</w:t>
      </w:r>
    </w:p>
    <w:p w14:paraId="2CB3DBC5">
      <w:pPr>
        <w:pStyle w:val="4"/>
        <w:bidi w:val="0"/>
        <w:rPr>
          <w:rFonts w:hint="default"/>
          <w:lang w:val="en-US" w:eastAsia="zh-CN"/>
        </w:rPr>
      </w:pPr>
      <w:r>
        <w:rPr>
          <w:rFonts w:hint="eastAsia"/>
          <w:lang w:val="en-US" w:eastAsia="zh-CN"/>
        </w:rPr>
        <w:t>融合与预测</w:t>
      </w:r>
    </w:p>
    <w:p w14:paraId="6CB67CDE">
      <w:pPr>
        <w:rPr>
          <w:rFonts w:hint="default"/>
          <w:lang w:val="en-US" w:eastAsia="zh-CN"/>
        </w:rPr>
      </w:pPr>
      <w:r>
        <w:rPr>
          <w:rFonts w:hint="default"/>
          <w:lang w:val="en-US" w:eastAsia="zh-CN"/>
        </w:rPr>
        <w:t>在下游任务微调阶段，模型通过交叉注意力机制实现多模态信息的自适应融合。动态加权融合</w:t>
      </w:r>
      <w:r>
        <w:rPr>
          <w:rFonts w:hint="eastAsia"/>
          <w:lang w:val="en-US" w:eastAsia="zh-CN"/>
        </w:rPr>
        <w:t>机制允许</w:t>
      </w:r>
      <w:r>
        <w:rPr>
          <w:rFonts w:hint="default"/>
          <w:lang w:val="en-US" w:eastAsia="zh-CN"/>
        </w:rPr>
        <w:t>模型根据不同性质预测任务的需求，自动学习不同模态特征</w:t>
      </w:r>
      <m:oMath>
        <m:r>
          <m:rPr>
            <m:sty m:val="p"/>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g</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s</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f</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F</m:t>
            </m:r>
            <m:ctrlPr>
              <w:rPr>
                <w:rFonts w:hint="default" w:ascii="Cambria Math"/>
              </w:rPr>
            </m:ctrlPr>
          </m:e>
          <m:sub>
            <m:r>
              <m:rPr/>
              <w:rPr>
                <w:rFonts w:hint="default" w:ascii="Cambria Math"/>
              </w:rPr>
              <m:t>t</m:t>
            </m:r>
            <m:ctrlPr>
              <w:rPr>
                <w:rFonts w:hint="default" w:ascii="Cambria Math"/>
              </w:rPr>
            </m:ctrlPr>
          </m:sub>
        </m:sSub>
        <m:r>
          <m:rPr>
            <m:sty m:val="p"/>
          </m:rPr>
          <w:rPr>
            <w:rFonts w:hint="default" w:ascii="Cambria Math"/>
          </w:rPr>
          <m:t>）</m:t>
        </m:r>
      </m:oMath>
      <w:r>
        <w:rPr>
          <w:rFonts w:hint="default"/>
          <w:lang w:val="en-US" w:eastAsia="zh-CN"/>
        </w:rPr>
        <w:t>的重要性权重</w:t>
      </w:r>
      <m:oMath>
        <m:sSub>
          <m:sSubPr>
            <m:ctrlPr>
              <w:rPr>
                <w:rFonts w:hint="default" w:ascii="Cambria Math"/>
              </w:rPr>
            </m:ctrlPr>
          </m:sSubPr>
          <m:e>
            <m:r>
              <m:rPr/>
              <w:rPr>
                <w:rFonts w:hint="default" w:ascii="Cambria Math"/>
              </w:rPr>
              <m:t>W</m:t>
            </m:r>
            <m:ctrlPr>
              <w:rPr>
                <w:rFonts w:hint="default" w:ascii="Cambria Math"/>
              </w:rPr>
            </m:ctrlPr>
          </m:e>
          <m:sub>
            <m:r>
              <m:rPr/>
              <w:rPr>
                <w:rFonts w:hint="default" w:ascii="Cambria Math"/>
              </w:rPr>
              <m:t>m</m:t>
            </m:r>
            <m:ctrlPr>
              <w:rPr>
                <w:rFonts w:hint="default" w:ascii="Cambria Math"/>
              </w:rPr>
            </m:ctrlPr>
          </m:sub>
        </m:sSub>
      </m:oMath>
      <w:r>
        <w:rPr>
          <w:rFonts w:hint="default"/>
          <w:lang w:val="en-US" w:eastAsia="zh-CN"/>
        </w:rPr>
        <w:t>。性质预测：融合后的全景分子表征被输入至由多层全连接网络构成的预测头（MLP Head），最终输出分子的理化性质或生物活性预测值</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pred</m:t>
            </m:r>
            <m:ctrlPr>
              <w:rPr>
                <w:rFonts w:hint="default" w:ascii="Cambria Math"/>
              </w:rPr>
            </m:ctrlPr>
          </m:sub>
        </m:sSub>
      </m:oMath>
      <w:r>
        <w:rPr>
          <w:rFonts w:hint="default"/>
          <w:lang w:val="en-US" w:eastAsia="zh-CN"/>
        </w:rPr>
        <w:t>。</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bidi w:val="0"/>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53D4A73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2840"/>
        <w:gridCol w:w="2841"/>
        <w:gridCol w:w="2841"/>
      </w:tblGrid>
      <w:tr w14:paraId="1804C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840" w:type="dxa"/>
            <w:vAlign w:val="top"/>
          </w:tcPr>
          <w:p w14:paraId="7287328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1" name="图片 11" descr="ESO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ESOL_Distribution"/>
                          <pic:cNvPicPr>
                            <a:picLocks noChangeAspect="1"/>
                          </pic:cNvPicPr>
                        </pic:nvPicPr>
                        <pic:blipFill>
                          <a:blip r:embed="rId7"/>
                          <a:stretch>
                            <a:fillRect/>
                          </a:stretch>
                        </pic:blipFill>
                        <pic:spPr>
                          <a:xfrm>
                            <a:off x="0" y="0"/>
                            <a:ext cx="1663700" cy="1385570"/>
                          </a:xfrm>
                          <a:prstGeom prst="rect">
                            <a:avLst/>
                          </a:prstGeom>
                        </pic:spPr>
                      </pic:pic>
                    </a:graphicData>
                  </a:graphic>
                </wp:inline>
              </w:drawing>
            </w:r>
          </w:p>
        </w:tc>
        <w:tc>
          <w:tcPr>
            <w:tcW w:w="2841" w:type="dxa"/>
          </w:tcPr>
          <w:p w14:paraId="2E6ED4E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5570"/>
                  <wp:effectExtent l="0" t="0" r="12700" b="1270"/>
                  <wp:docPr id="12" name="图片 12" descr="FreeSolv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FreeSolv_Distribution"/>
                          <pic:cNvPicPr>
                            <a:picLocks noChangeAspect="1"/>
                          </pic:cNvPicPr>
                        </pic:nvPicPr>
                        <pic:blipFill>
                          <a:blip r:embed="rId8"/>
                          <a:stretch>
                            <a:fillRect/>
                          </a:stretch>
                        </pic:blipFill>
                        <pic:spPr>
                          <a:xfrm>
                            <a:off x="0" y="0"/>
                            <a:ext cx="1663700" cy="1385570"/>
                          </a:xfrm>
                          <a:prstGeom prst="rect">
                            <a:avLst/>
                          </a:prstGeom>
                        </pic:spPr>
                      </pic:pic>
                    </a:graphicData>
                  </a:graphic>
                </wp:inline>
              </w:drawing>
            </w:r>
          </w:p>
        </w:tc>
        <w:tc>
          <w:tcPr>
            <w:tcW w:w="2841" w:type="dxa"/>
          </w:tcPr>
          <w:p w14:paraId="081A173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vertAlign w:val="baseline"/>
                <w:lang w:val="en-US" w:eastAsia="zh-CN"/>
              </w:rPr>
            </w:pPr>
            <w:r>
              <w:rPr>
                <w:rFonts w:hint="eastAsia"/>
                <w:vertAlign w:val="baseline"/>
                <w:lang w:val="en-US" w:eastAsia="zh-CN"/>
              </w:rPr>
              <w:drawing>
                <wp:inline distT="0" distB="0" distL="114300" distR="114300">
                  <wp:extent cx="1663700" cy="1386840"/>
                  <wp:effectExtent l="0" t="0" r="12700" b="0"/>
                  <wp:docPr id="13" name="图片 13" descr="Lipophilicity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Lipophilicity_Distribution"/>
                          <pic:cNvPicPr>
                            <a:picLocks noChangeAspect="1"/>
                          </pic:cNvPicPr>
                        </pic:nvPicPr>
                        <pic:blipFill>
                          <a:blip r:embed="rId9"/>
                          <a:stretch>
                            <a:fillRect/>
                          </a:stretch>
                        </pic:blipFill>
                        <pic:spPr>
                          <a:xfrm>
                            <a:off x="0" y="0"/>
                            <a:ext cx="1663700" cy="1386840"/>
                          </a:xfrm>
                          <a:prstGeom prst="rect">
                            <a:avLst/>
                          </a:prstGeom>
                        </pic:spPr>
                      </pic:pic>
                    </a:graphicData>
                  </a:graphic>
                </wp:inline>
              </w:drawing>
            </w:r>
          </w:p>
        </w:tc>
      </w:tr>
    </w:tbl>
    <w:p w14:paraId="281F4A9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2D9AC9CE">
      <w:pPr>
        <w:pStyle w:val="4"/>
        <w:bidi w:val="0"/>
        <w:rPr>
          <w:rFonts w:hint="default"/>
          <w:lang w:val="en-US" w:eastAsia="zh-CN"/>
        </w:rPr>
      </w:pPr>
      <w:r>
        <w:rPr>
          <w:rFonts w:hint="eastAsia"/>
          <w:lang w:val="en-US" w:eastAsia="zh-CN"/>
        </w:rPr>
        <w:t>实验设置</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26E48C6E">
      <w:pPr>
        <w:numPr>
          <w:ilvl w:val="0"/>
          <w:numId w:val="5"/>
        </w:numPr>
        <w:rPr>
          <w:rFonts w:hint="default"/>
          <w:lang w:val="en-US" w:eastAsia="zh-CN"/>
        </w:rPr>
      </w:pPr>
      <w:r>
        <w:rPr>
          <w:rFonts w:hint="eastAsia"/>
          <w:lang w:val="en-US" w:eastAsia="zh-CN"/>
        </w:rPr>
        <w:t>预训练参数设置：优化器：采用 AdamW 优化器，以解耦权重衰减（Weight Decay）策略提升模型泛化性，权重衰减系数设为</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。学习率调度：采用带有线性预热的余弦退火策略。初始学习率设为</w:t>
      </w:r>
      <m:oMath>
        <m:r>
          <m:rPr/>
          <w:rPr>
            <w:rFonts w:hint="default" w:ascii="Cambria Math"/>
          </w:rPr>
          <m:t>2</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−4</m:t>
            </m:r>
            <m:ctrlPr>
              <w:rPr>
                <w:rFonts w:hint="default" w:ascii="Cambria Math"/>
              </w:rPr>
            </m:ctrlPr>
          </m:sup>
        </m:sSup>
      </m:oMath>
      <w:r>
        <w:rPr>
          <w:rFonts w:hint="eastAsia"/>
          <w:lang w:val="en-US" w:eastAsia="zh-CN"/>
        </w:rPr>
        <w:t>，预热步数占总步数的 6%，随后逐渐衰减至</w:t>
      </w:r>
      <m:oMath>
        <m:r>
          <m:rPr/>
          <w:rPr>
            <w:rFonts w:hint="default" w:ascii="Cambria Math"/>
          </w:rPr>
          <m:t>1</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−6</m:t>
            </m:r>
            <m:ctrlPr>
              <w:rPr>
                <w:rFonts w:hint="default" w:ascii="Cambria Math"/>
              </w:rPr>
            </m:ctrlPr>
          </m:sup>
        </m:sSup>
      </m:oMath>
      <w:r>
        <w:rPr>
          <w:rFonts w:hint="eastAsia"/>
          <w:lang w:val="en-US" w:eastAsia="zh-CN"/>
        </w:rPr>
        <w:t xml:space="preserve">。批次与周期：为了保证对比学习中负样本的数量充足，将批次大小设为 256。模型共训练 100 个 Epoch，并在验证集 loss 不再下降时实施早停。对比损失参数：基于 3.3.4 节的参数敏感性实验结果，NT-Xent 损失函数中的温度系数 </w:t>
      </w:r>
      <m:oMath>
        <m:r>
          <m:rPr/>
          <w:rPr>
            <w:rFonts w:hint="default" w:ascii="Cambria Math"/>
          </w:rPr>
          <m:t>τ</m:t>
        </m:r>
      </m:oMath>
      <w:r>
        <w:rPr>
          <w:rFonts w:hint="eastAsia"/>
          <w:lang w:val="en-US" w:eastAsia="zh-CN"/>
        </w:rPr>
        <w:t xml:space="preserve"> 固定为 0.1。自适应加权损失中的可学习噪声参数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初始化为 1.0，并随训练过程自动更新。模型架构参数：Graphormer 编码器包含 6 层 Transformer 层，隐藏层维度设为 256，多头注意力头数设为 8。文本编码器 SciBERT 与序列编码器 RoBERTa 均冻结前 6 层参数，仅微调高层参数以适配分子语义。</w:t>
      </w:r>
    </w:p>
    <w:p w14:paraId="3ACCA3DD">
      <w:pPr>
        <w:numPr>
          <w:ilvl w:val="0"/>
          <w:numId w:val="5"/>
        </w:numPr>
        <w:rPr>
          <w:rFonts w:hint="default"/>
          <w:lang w:val="en-US" w:eastAsia="zh-CN"/>
        </w:rPr>
      </w:pPr>
      <w:r>
        <w:rPr>
          <w:rFonts w:hint="eastAsia"/>
          <w:lang w:val="en-US" w:eastAsia="zh-CN"/>
        </w:rPr>
        <w:t xml:space="preserve">微调参数设置：在下游任务阶段，我们将预训练好的 KGAMA 编码器迁移至 MoleculeNet 的 9 个基准数据集上。为了适应不同规模的数据集，微调策略进行了如下调整：学习率：为了保留预训练特征的先验知识，微调阶段采用较小的学习率，设定为 </w:t>
      </w:r>
      <m:oMath>
        <m:r>
          <m:rPr/>
          <w:rPr>
            <w:rFonts w:hint="default" w:ascii="Cambria Math"/>
          </w:rPr>
          <m:t>5</m:t>
        </m:r>
        <m:r>
          <m:rPr>
            <m:sty m:val="p"/>
          </m:rPr>
          <w:rPr>
            <w:rFonts w:hint="default" w:ascii="Cambria Math"/>
          </w:rPr>
          <m:t>×</m:t>
        </m:r>
        <m:r>
          <m:rPr/>
          <w:rPr>
            <w:rFonts w:hint="default" w:ascii="Cambria Math"/>
          </w:rPr>
          <m:t>1</m:t>
        </m:r>
        <m:sSup>
          <m:sSupPr>
            <m:ctrlPr>
              <w:rPr>
                <w:rFonts w:hint="default" w:ascii="Cambria Math"/>
              </w:rPr>
            </m:ctrlPr>
          </m:sSupPr>
          <m:e>
            <m:r>
              <m:rPr/>
              <w:rPr>
                <w:rFonts w:hint="default" w:ascii="Cambria Math"/>
              </w:rPr>
              <m:t>0</m:t>
            </m:r>
            <m:ctrlPr>
              <w:rPr>
                <w:rFonts w:hint="default" w:ascii="Cambria Math"/>
              </w:rPr>
            </m:ctrlPr>
          </m:e>
          <m:sup>
            <m:r>
              <m:rPr/>
              <w:rPr>
                <w:rFonts w:hint="default" w:ascii="Cambria Math"/>
              </w:rPr>
              <m:t>−5</m:t>
            </m:r>
            <m:ctrlPr>
              <w:rPr>
                <w:rFonts w:hint="default" w:ascii="Cambria Math"/>
              </w:rPr>
            </m:ctrlPr>
          </m:sup>
        </m:sSup>
      </m:oMath>
      <w:r>
        <w:rPr>
          <w:rFonts w:hint="eastAsia"/>
          <w:lang w:val="en-US" w:eastAsia="zh-CN"/>
        </w:rPr>
        <w:t>。批次大小：设为 32，以适应小样本数据的梯度更新频率。Dropout：在预测头中引入 Dropout 层，丢弃率设为 0.1，以防止在小数据集上过拟合。训练周期：最大训练 100 Epoch，同样配合早停机制（Patience=5）。</w:t>
      </w:r>
    </w:p>
    <w:p w14:paraId="60FEF574">
      <w:pPr>
        <w:pStyle w:val="4"/>
        <w:bidi w:val="0"/>
        <w:rPr>
          <w:rFonts w:hint="default"/>
          <w:lang w:val="en-US" w:eastAsia="zh-CN"/>
        </w:rPr>
      </w:pPr>
      <w:r>
        <w:rPr>
          <w:rFonts w:hint="eastAsia"/>
          <w:lang w:val="en-US" w:eastAsia="zh-CN"/>
        </w:rPr>
        <w:t>评价指标</w:t>
      </w:r>
    </w:p>
    <w:p w14:paraId="01B56067">
      <w:pPr>
        <w:rPr>
          <w:rFonts w:hint="default"/>
          <w:lang w:val="en-US" w:eastAsia="zh-CN"/>
        </w:rPr>
      </w:pPr>
      <w:r>
        <w:rPr>
          <w:rFonts w:hint="default"/>
          <w:lang w:val="en-US" w:eastAsia="zh-CN"/>
        </w:rPr>
        <w:t>本研究根据具体任务特性的不同，实施了差异化的效能评测策略。针对分类问题，模型对类别的区分效能主要依赖受试者工作特征曲线下面积（AUROC）进行考量。AUROC 能够量化模型在真假阳性率权衡过程中的表现，其得分位于 0.5 到 1 的闭区间内，分数越高象征着模型拥有更优异的判别力。而在回归分析中，核心关注点转向均方根误差（RMSE），该指标用于刻画预测精度。通过对预测值与实测值之差进行平方、取均值后再开方，RMSE 实现了对误差的标准化度量；由于其单位与目标变量保持一致，较小的 RMSE 值直接映射出模型预测结果与真实数据之间极高的匹配吻合度。</w:t>
      </w: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z</m:t>
            </m:r>
            <m:ctrlPr>
              <w:rPr>
                <w:rFonts w:hint="default" w:ascii="Cambria Math"/>
              </w:rPr>
            </m:ctrlPr>
          </m:e>
          <m:sub>
            <m:r>
              <m:rPr/>
              <w:rPr>
                <w:rFonts w:hint="default" w:ascii="Cambria Math"/>
              </w:rPr>
              <m:t>j</m:t>
            </m:r>
            <m:ctrlPr>
              <w:rPr>
                <w:rFonts w:hint="default" w:ascii="Cambria Math"/>
              </w:rPr>
            </m:ctrlPr>
          </m:sub>
        </m:sSub>
      </m:oMath>
      <w:r>
        <w:rPr>
          <w:rFonts w:hint="eastAsia"/>
          <w:lang w:val="en-US" w:eastAsia="zh-CN"/>
        </w:rPr>
        <w:t>为归一化后的特征向量，</w:t>
      </w:r>
      <m:oMath>
        <m:r>
          <m:rPr/>
          <w:rPr>
            <w:rFonts w:hint="default" w:ascii="Cambria Math"/>
          </w:rPr>
          <m:t>sim(⋅,⋅)</m:t>
        </m:r>
      </m:oMath>
      <w:r>
        <w:rPr>
          <w:rFonts w:hint="eastAsia"/>
          <w:lang w:val="en-US" w:eastAsia="zh-CN"/>
        </w:rPr>
        <w:t>表示余弦相似度，</w:t>
      </w:r>
      <m:oMath>
        <m:r>
          <m:rPr/>
          <w:rPr>
            <w:rFonts w:hint="default" w:ascii="Cambria Math"/>
          </w:rPr>
          <m:t>τ</m:t>
        </m:r>
      </m:oMath>
      <w:r>
        <w:rPr>
          <w:rFonts w:hint="eastAsia"/>
          <w:lang w:val="en-US" w:eastAsia="zh-CN"/>
        </w:rPr>
        <w:t>为温度系数，</w:t>
      </w:r>
      <m:oMath>
        <m:r>
          <m:rPr/>
          <w:rPr>
            <w:rFonts w:hint="default" w:ascii="Cambria Math"/>
          </w:rPr>
          <m:t>B</m:t>
        </m:r>
      </m:oMath>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
        <m:r>
          <m:rPr/>
          <w:rPr>
            <w:rFonts w:hint="default" w:ascii="Cambria Math"/>
          </w:rPr>
          <m:t>i</m:t>
        </m:r>
      </m:oMath>
      <w:r>
        <w:rPr>
          <w:rFonts w:hint="eastAsia"/>
          <w:lang w:val="en-US" w:eastAsia="zh-CN"/>
        </w:rPr>
        <w:t>个分子样本在模态</w:t>
      </w:r>
      <m:oMath>
        <m:r>
          <m:rPr/>
          <w:rPr>
            <w:rFonts w:hint="default" w:ascii="Cambria Math"/>
          </w:rPr>
          <m:t>m∈{S,F,T}</m:t>
        </m:r>
      </m:oMath>
      <w:r>
        <w:rPr>
          <w:rFonts w:hint="eastAsia"/>
          <w:lang w:val="en-US" w:eastAsia="zh-CN"/>
        </w:rPr>
        <w:t>下的表示为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(m)</m:t>
            </m:r>
            <m:ctrlPr>
              <w:rPr>
                <w:rFonts w:hint="default" w:ascii="Cambria Math"/>
              </w:rPr>
            </m:ctrlPr>
          </m:sup>
        </m:sSubSup>
      </m:oMath>
      <w:r>
        <w:rPr>
          <w:rFonts w:hint="eastAsia"/>
          <w:lang w:val="en-US" w:eastAsia="zh-CN"/>
        </w:rPr>
        <w:t>，Graph模态表示为</w:t>
      </w:r>
      <m:oMath>
        <m:sSubSup>
          <m:sSubSupPr>
            <m:ctrlPr>
              <w:rPr>
                <w:rFonts w:hint="default" w:ascii="Cambria Math"/>
              </w:rPr>
            </m:ctrlPr>
          </m:sSubSupPr>
          <m:e>
            <m:r>
              <m:rPr/>
              <w:rPr>
                <w:rFonts w:hint="default" w:ascii="Cambria Math"/>
              </w:rPr>
              <m:t>z</m:t>
            </m:r>
            <m:ctrlPr>
              <w:rPr>
                <w:rFonts w:hint="default" w:ascii="Cambria Math"/>
              </w:rPr>
            </m:ctrlPr>
          </m:e>
          <m:sub>
            <m:r>
              <m:rPr/>
              <w:rPr>
                <w:rFonts w:hint="default" w:ascii="Cambria Math"/>
              </w:rPr>
              <m:t>i</m:t>
            </m:r>
            <m:ctrlPr>
              <w:rPr>
                <w:rFonts w:hint="default" w:ascii="Cambria Math"/>
              </w:rPr>
            </m:ctrlPr>
          </m:sub>
          <m:sup>
            <m:r>
              <m:rPr/>
              <w:rPr>
                <w:rFonts w:hint="default" w:ascii="Cambria Math"/>
              </w:rPr>
              <m:t>(G)</m:t>
            </m:r>
            <m:ctrlPr>
              <w:rPr>
                <w:rFonts w:hint="default" w:ascii="Cambria Math"/>
              </w:rPr>
            </m:ctrlPr>
          </m:sup>
        </m:sSubSup>
      </m:oMath>
      <w:r>
        <w:rPr>
          <w:rFonts w:hint="eastAsia"/>
          <w:lang w:val="en-US" w:eastAsia="zh-CN"/>
        </w:rPr>
        <w:t>。为了确保对齐的对称性，本文定义双向对比损失</w:t>
      </w:r>
      <m:oMath>
        <m:sSub>
          <m:sSubPr>
            <m:ctrlPr>
              <w:rPr>
                <w:rFonts w:hint="default" w:ascii="Cambria Math"/>
              </w:rPr>
            </m:ctrlPr>
          </m:sSubPr>
          <m:e>
            <m:r>
              <m:rPr>
                <m:scr m:val="script"/>
              </m:rPr>
              <w:rPr>
                <w:rFonts w:hint="default" w:ascii="Cambria Math"/>
              </w:rPr>
              <m:t>ℒ</m:t>
            </m:r>
            <m:ctrlPr>
              <w:rPr>
                <w:rFonts w:hint="default" w:ascii="Cambria Math"/>
              </w:rPr>
            </m:ctrlPr>
          </m:e>
          <m:sub>
            <m:r>
              <m:rPr/>
              <w:rPr>
                <w:rFonts w:hint="default" w:ascii="Cambria Math"/>
              </w:rPr>
              <m:t>G,m</m:t>
            </m:r>
            <m:ctrlPr>
              <w:rPr>
                <w:rFonts w:hint="default" w:ascii="Cambria Math"/>
              </w:rPr>
            </m:ctrlPr>
          </m:sub>
        </m:sSub>
      </m:oMath>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w:t>
      </w:r>
      <m:oMath>
        <m:r>
          <m:rPr/>
          <w:rPr>
            <w:rFonts w:hint="default" w:ascii="Cambria Math"/>
          </w:rPr>
          <m:t>m</m:t>
        </m:r>
      </m:oMath>
      <w:r>
        <w:rPr>
          <w:rFonts w:hint="eastAsia"/>
          <w:lang w:val="en-US" w:eastAsia="zh-CN"/>
        </w:rPr>
        <w:t>的单向对比损失定义为：</w:t>
      </w:r>
    </w:p>
    <w:p w14:paraId="3824D8F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w:r>
        <w:rPr>
          <w:rFonts w:hint="eastAsia"/>
          <w:lang w:val="en-US" w:eastAsia="zh-CN"/>
        </w:rPr>
        <w:t>时，由于各模态的信息熵与噪声水平存在显著差异，采用静态等权重加权（如</w:t>
      </w:r>
      <m:oMath>
        <m:r>
          <m:rPr/>
          <w:rPr>
            <w:rFonts w:hint="default" w:ascii="Cambria Math"/>
          </w:rPr>
          <m:t>1:1:1</m:t>
        </m:r>
      </m:oMath>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
        <m:sSub>
          <m:sSubPr>
            <m:ctrlPr>
              <w:rPr>
                <w:rFonts w:hint="default" w:ascii="Cambria Math"/>
              </w:rPr>
            </m:ctrlPr>
          </m:sSubPr>
          <m:e>
            <m:r>
              <m:rPr/>
              <w:rPr>
                <w:rFonts w:hint="default" w:ascii="Cambria Math"/>
              </w:rPr>
              <m:t>σ</m:t>
            </m:r>
            <m:ctrlPr>
              <w:rPr>
                <w:rFonts w:hint="default" w:ascii="Cambria Math"/>
              </w:rPr>
            </m:ctrlPr>
          </m:e>
          <m:sub>
            <m:r>
              <m:rPr/>
              <w:rPr>
                <w:rFonts w:hint="default" w:ascii="Cambria Math"/>
              </w:rPr>
              <m:t>m</m:t>
            </m:r>
            <m:ctrlPr>
              <w:rPr>
                <w:rFonts w:hint="default" w:ascii="Cambria Math"/>
              </w:rPr>
            </m:ctrlPr>
          </m:sub>
        </m:sSub>
      </m:oMath>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up>
                <m:r>
                  <m:rPr>
                    <m:sty m:val="p"/>
                  </m:rPr>
                  <w:rPr>
                    <w:rFonts w:hint="default" w:ascii="Times New Roman" w:hAnsi="Times New Roman"/>
                  </w:rPr>
                  <m:t>2</m:t>
                </m:r>
                <m:ctrlPr>
                  <w:rPr>
                    <w:rFonts w:hint="default" w:ascii="Cambria Math" w:hAnsi="Cambria Math"/>
                  </w:rPr>
                </m:ctrlPr>
              </m:sup>
            </m:sSubSup>
            <m:ctrlPr>
              <w:rPr>
                <w:rFonts w:hint="default" w:ascii="Cambria Math" w:hAnsi="Cambria Math"/>
              </w:rPr>
            </m:ctrlPr>
          </m:den>
        </m:f>
      </m:oMath>
      <w:r>
        <w:rPr>
          <w:rFonts w:hint="eastAsia"/>
          <w:lang w:val="en-US" w:eastAsia="zh-CN"/>
        </w:rPr>
        <w:t>项充当动态权重。当某一模态对齐任务表现出较高的不确定性或存在较大噪声时，模型会自动增大</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
        <m:func>
          <m:funcPr>
            <m:ctrlPr>
              <w:rPr>
                <w:rFonts w:hint="default" w:ascii="Cambria Math" w:hAnsi="Cambria Math"/>
              </w:rPr>
            </m:ctrlPr>
          </m:funcPr>
          <m:fName>
            <m:r>
              <m:rPr>
                <m:sty m:val="p"/>
              </m:rPr>
              <w:rPr>
                <w:rFonts w:hint="default" w:ascii="Times New Roman" w:hAnsi="Times New Roman"/>
              </w:rPr>
              <m:t>log</m:t>
            </m:r>
            <m:ctrlPr>
              <w:rPr>
                <w:rFonts w:hint="default" w:ascii="Cambria Math" w:hAnsi="Cambria Math"/>
              </w:rPr>
            </m:ctrlPr>
          </m:fName>
          <m:e>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ctrlPr>
              <w:rPr>
                <w:rFonts w:hint="default" w:ascii="Cambria Math" w:hAnsi="Cambria Math"/>
              </w:rPr>
            </m:ctrlPr>
          </m:e>
        </m:func>
      </m:oMath>
      <w:r>
        <w:rPr>
          <w:rFonts w:hint="eastAsia"/>
          <w:lang w:val="en-US" w:eastAsia="zh-CN"/>
        </w:rPr>
        <w:t>项作为正则化因子，防止</w:t>
      </w:r>
      <m:oMath>
        <m:sSub>
          <m:sSubPr>
            <m:ctrlPr>
              <w:rPr>
                <w:rFonts w:hint="default" w:ascii="Cambria Math" w:hAnsi="Cambria Math"/>
              </w:rPr>
            </m:ctrlPr>
          </m:sSubPr>
          <m:e>
            <m:r>
              <m:rPr>
                <m:sty m:val="p"/>
              </m:rPr>
              <w:rPr>
                <w:rFonts w:hint="default" w:ascii="Times New Roman" w:hAnsi="Times New Roman"/>
              </w:rPr>
              <m:t>σ</m:t>
            </m:r>
            <m:ctrlPr>
              <w:rPr>
                <w:rFonts w:hint="default" w:ascii="Cambria Math" w:hAnsi="Cambria Math"/>
              </w:rPr>
            </m:ctrlPr>
          </m:e>
          <m:sub>
            <m:r>
              <m:rPr>
                <m:sty m:val="p"/>
              </m:rPr>
              <w:rPr>
                <w:rFonts w:hint="default" w:ascii="Times New Roman" w:hAnsi="Times New Roman"/>
              </w:rPr>
              <m:t>m</m:t>
            </m:r>
            <m:ctrlPr>
              <w:rPr>
                <w:rFonts w:hint="default" w:ascii="Cambria Math" w:hAnsi="Cambria Math"/>
              </w:rPr>
            </m:ctrlPr>
          </m:sub>
        </m:sSub>
      </m:oMath>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EAC2CF">
      <w:pPr>
        <w:bidi w:val="0"/>
        <w:rPr>
          <w:rFonts w:hint="default"/>
          <w:lang w:val="en-US" w:eastAsia="zh-CN"/>
        </w:rPr>
      </w:pPr>
      <w:r>
        <w:rPr>
          <w:rFonts w:hint="default"/>
          <w:lang w:val="en-US" w:eastAsia="zh-CN"/>
        </w:rPr>
        <w:t>Mol2Vec：受 NLP 中的 Word2Vec 启发，该方法将分子结构拆分为若干子结构并将其视为“词语”。通过在大量分子数据上运行 Skip-gram 算法进行无监督训练，学习子结构的向量表示，最终通过聚合这些向量获得分子的整体表示。</w:t>
      </w:r>
    </w:p>
    <w:p w14:paraId="58FF646A">
      <w:pPr>
        <w:bidi w:val="0"/>
        <w:rPr>
          <w:rFonts w:hint="default"/>
          <w:lang w:val="en-US" w:eastAsia="zh-CN"/>
        </w:rPr>
      </w:pPr>
      <w:r>
        <w:rPr>
          <w:rFonts w:hint="default"/>
          <w:lang w:val="en-US" w:eastAsia="zh-CN"/>
        </w:rPr>
        <w:t>N-Gram：一种基于分子拓扑特征的方法，将分子表示为由连续 $N$ 个化学键组成的路径集合。它不需要预先定义复杂的化学特征，具有良好的通用性和灵活性，能够从结构角度有效刻画分子的局部环境。</w:t>
      </w:r>
    </w:p>
    <w:p w14:paraId="284AD383">
      <w:pPr>
        <w:bidi w:val="0"/>
        <w:rPr>
          <w:rFonts w:hint="default"/>
          <w:lang w:val="en-US" w:eastAsia="zh-CN"/>
        </w:rPr>
      </w:pPr>
      <w:r>
        <w:rPr>
          <w:rFonts w:hint="default"/>
        </w:rPr>
        <w:t>GIN：一种极具表达能力的图深度学习模型。其理论基础在于能够达到 Weisfeiler-Lehman图同构测试的辨别能力上限，通过对节点及其邻居特征的强有力聚合，有效区分不同的分子图结构。</w:t>
      </w:r>
    </w:p>
    <w:p w14:paraId="2CFA57F0">
      <w:pPr>
        <w:bidi w:val="0"/>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5261440F">
      <w:pPr>
        <w:bidi w:val="0"/>
        <w:rPr>
          <w:rFonts w:hint="default"/>
        </w:rPr>
      </w:pPr>
      <w:r>
        <w:rPr>
          <w:rFonts w:hint="default"/>
        </w:rPr>
        <w:t>MPNN：一种通用的框架，核心在于将化学键（边）的信息纳入节点表示学习的过程中，通过多轮信息传递（更新原子特征。</w:t>
      </w:r>
    </w:p>
    <w:p w14:paraId="3281D3F0">
      <w:pPr>
        <w:bidi w:val="0"/>
        <w:rPr>
          <w:rFonts w:hint="default"/>
        </w:rPr>
      </w:pPr>
      <w:r>
        <w:rPr>
          <w:rFonts w:hint="default"/>
        </w:rPr>
        <w:t>DMPNN：MPNN 的改进版本。它采用了定向信息传递机制，防止信息在传递过程中出现“回流”现象。同时结合了动态池化机制，根据具体任务自适应地聚合关键特征。</w:t>
      </w:r>
    </w:p>
    <w:p w14:paraId="3CED3A89">
      <w:pPr>
        <w:bidi w:val="0"/>
        <w:rPr>
          <w:rFonts w:hint="default"/>
        </w:rPr>
      </w:pPr>
      <w:r>
        <w:rPr>
          <w:rFonts w:hint="default"/>
        </w:rPr>
        <w:t>GROVER</w:t>
      </w:r>
      <w:r>
        <w:rPr>
          <w:rFonts w:hint="eastAsia"/>
          <w:lang w:eastAsia="zh-CN"/>
        </w:rPr>
        <w:t>：</w:t>
      </w:r>
      <w:r>
        <w:rPr>
          <w:rFonts w:hint="default"/>
        </w:rPr>
        <w:t>目前的先进模型之一。它结合了图卷积网络和 Transformer 的自注意力机制，能够同时提取分子的结构特征和属性特征。通过大规模梯度累积策略和精心设计的自监督任务，在大规模数据集上展现了极强的特征提取能力。</w:t>
      </w:r>
    </w:p>
    <w:p w14:paraId="65506E3B">
      <w:pPr>
        <w:bidi w:val="0"/>
        <w:rPr>
          <w:rFonts w:hint="default"/>
        </w:rPr>
      </w:pPr>
      <w:r>
        <w:rPr>
          <w:rFonts w:hint="default"/>
        </w:rPr>
        <w:t>SchNet：专门面向量子化学建模的深度学习方法。不同于传统的二维图模型，SchNet 重点建模原子的三维空间位置。它通过连续滤波卷积作用于原子间的欧几里得距离，从而模拟分子的电子结构和量子动力学相互作用，无需人工设计特征即可自动学习分子的电子特性。</w:t>
      </w:r>
    </w:p>
    <w:p w14:paraId="3C974FF1">
      <w:pPr>
        <w:bidi w:val="0"/>
        <w:rPr>
          <w:rFonts w:hint="eastAsia"/>
          <w:lang w:eastAsia="zh-CN"/>
        </w:rPr>
      </w:pPr>
      <w:r>
        <w:rPr>
          <w:rFonts w:hint="default"/>
        </w:rPr>
        <w:t>CMPNN</w:t>
      </w:r>
      <w:r>
        <w:rPr>
          <w:rFonts w:hint="eastAsia"/>
          <w:lang w:eastAsia="zh-CN"/>
        </w:rPr>
        <w:t>：</w:t>
      </w:r>
      <w:r>
        <w:rPr>
          <w:rFonts w:hint="default"/>
        </w:rPr>
        <w:t>这是对传统消息传递神经网络（MPNN）的重要改进</w:t>
      </w:r>
      <w:r>
        <w:rPr>
          <w:rFonts w:hint="eastAsia"/>
          <w:lang w:eastAsia="zh-CN"/>
        </w:rPr>
        <w:t>。</w:t>
      </w:r>
      <w:r>
        <w:rPr>
          <w:rFonts w:hint="default"/>
        </w:rPr>
        <w:t>它通过在原子和化学键之间引入显式的“通信”机制，增强了模型对局部和全局信息的捕捉能力</w:t>
      </w:r>
      <w:r>
        <w:rPr>
          <w:rFonts w:hint="eastAsia"/>
          <w:lang w:eastAsia="zh-CN"/>
        </w:rPr>
        <w:t>。</w:t>
      </w:r>
    </w:p>
    <w:p w14:paraId="4720EB71">
      <w:pPr>
        <w:bidi w:val="0"/>
        <w:rPr>
          <w:rFonts w:hint="default"/>
        </w:rPr>
      </w:pPr>
      <w:r>
        <w:rPr>
          <w:rFonts w:hint="default"/>
        </w:rPr>
        <w:t>GraphMVP</w:t>
      </w:r>
      <w:r>
        <w:rPr>
          <w:rFonts w:hint="eastAsia"/>
          <w:lang w:eastAsia="zh-CN"/>
        </w:rPr>
        <w:t>：</w:t>
      </w:r>
      <w:r>
        <w:rPr>
          <w:rFonts w:hint="default"/>
        </w:rPr>
        <w:t>一种先进的图自监督学习模型，旨在通过对分子的 2D 拓扑图和 3D 几何构象进行多视图对齐来学习表征 。它通过对比学习拉近同一分子的二维和三维表示，使模型具备对分子空间构象的感知能力 。</w:t>
      </w:r>
    </w:p>
    <w:p w14:paraId="279FDE45">
      <w:pPr>
        <w:bidi w:val="0"/>
        <w:rPr>
          <w:rFonts w:hint="default"/>
        </w:rPr>
      </w:pPr>
      <w:r>
        <w:rPr>
          <w:rFonts w:hint="default"/>
        </w:rPr>
        <w:t>MoleculeST</w:t>
      </w:r>
      <w:r>
        <w:rPr>
          <w:rFonts w:hint="eastAsia"/>
          <w:lang w:val="en-US" w:eastAsia="zh-CN"/>
        </w:rPr>
        <w:t>M：</w:t>
      </w:r>
      <w:r>
        <w:rPr>
          <w:rFonts w:hint="default"/>
        </w:rPr>
        <w:t>这是一种基于语言模型的多模态分子预训练框架 。它利用化学文本描述与分子结构之间的配对关系进行预训练，旨在将分子的化学结构映射至与其语义功能一致的向量空间 。</w:t>
      </w:r>
    </w:p>
    <w:p w14:paraId="5D55EF69">
      <w:pPr>
        <w:bidi w:val="0"/>
        <w:rPr>
          <w:rFonts w:hint="default"/>
        </w:rPr>
      </w:pPr>
      <w:r>
        <w:rPr>
          <w:rFonts w:hint="default"/>
        </w:rPr>
        <w:t xml:space="preserve">MoMu </w:t>
      </w:r>
      <w:r>
        <w:rPr>
          <w:rFonts w:hint="eastAsia"/>
          <w:lang w:eastAsia="zh-CN"/>
        </w:rPr>
        <w:t>：</w:t>
      </w:r>
      <w:r>
        <w:rPr>
          <w:rFonts w:hint="default"/>
        </w:rPr>
        <w:t>该模型专注于跨模态的图–文本对齐学习 。它通过构建大规模的分子图与对应的化学描述文本对，利用对比学习目标函数使模型能够同时从视觉（图结构）和语义（文本）两个维度理解分子性质 。</w:t>
      </w:r>
    </w:p>
    <w:p w14:paraId="365FD065">
      <w:pPr>
        <w:bidi w:val="0"/>
        <w:rPr>
          <w:rFonts w:hint="default"/>
        </w:rPr>
      </w:pPr>
      <w:r>
        <w:rPr>
          <w:rFonts w:hint="default"/>
        </w:rPr>
        <w:t xml:space="preserve">KV-PLM </w:t>
      </w:r>
      <w:r>
        <w:rPr>
          <w:rFonts w:hint="eastAsia"/>
          <w:lang w:eastAsia="zh-CN"/>
        </w:rPr>
        <w:t>：</w:t>
      </w:r>
      <w:r>
        <w:rPr>
          <w:rFonts w:hint="default"/>
        </w:rPr>
        <w:t>一种知识增强的预训练语言模型。它尝试在预训练过程中显式注入分子的理化性质知识或专家规则，以缩短分子的结构信息与下游性质预测任务之间的语义鸿沟</w:t>
      </w:r>
      <w:r>
        <w:rPr>
          <w:rFonts w:hint="eastAsia"/>
          <w:lang w:eastAsia="zh-CN"/>
        </w:rPr>
        <w:t>。</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5F5E45C6">
      <w:pPr>
        <w:bidi w:val="0"/>
        <w:rPr>
          <w:rFonts w:hint="eastAsia"/>
          <w:lang w:val="en-US" w:eastAsia="zh-CN"/>
        </w:rPr>
      </w:pPr>
      <w:r>
        <w:rPr>
          <w:rFonts w:hint="eastAsia"/>
          <w:lang w:val="en-US" w:eastAsia="zh-CN"/>
        </w:rPr>
        <w:t>针对 MoleculeNet 涵盖的 9 个分子性质预测基准数据集，本研究开展了多维度的系统性评估。在数据处理层面，全数遵循 MoleculeNet 推荐的标准化协议，即采用骨架分割（Scaffold Split）策略，将样本集按 8:1:1 的比例严格划分为训练集、验证集与测试集，以评估模型在非同源分子结构上的泛化能力。为消除随机性干扰，所有实验均在不同随机种子下重复进行多轮，最终汇报各项指标的均值及其标准差。</w:t>
      </w:r>
    </w:p>
    <w:tbl>
      <w:tblPr>
        <w:tblStyle w:val="17"/>
        <w:tblpPr w:leftFromText="180" w:rightFromText="180" w:vertAnchor="text" w:horzAnchor="page" w:tblpX="2200" w:tblpY="459"/>
        <w:tblOverlap w:val="never"/>
        <w:tblW w:w="7957"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441"/>
        <w:gridCol w:w="1086"/>
        <w:gridCol w:w="1086"/>
        <w:gridCol w:w="1086"/>
        <w:gridCol w:w="1086"/>
        <w:gridCol w:w="1086"/>
        <w:gridCol w:w="1086"/>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86"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10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86"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086"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86"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086"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86"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10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86"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086"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86"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086"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86"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10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86"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086"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86"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1086"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AttentiveFP</w:t>
            </w:r>
          </w:p>
        </w:tc>
        <w:tc>
          <w:tcPr>
            <w:tcW w:w="1086"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0.863</w:t>
            </w:r>
            <w:r>
              <w:rPr>
                <w:rFonts w:hint="eastAsia"/>
                <w:color w:val="auto"/>
                <w:vertAlign w:val="subscript"/>
                <w:lang w:val="en-US" w:eastAsia="zh-CN"/>
              </w:rPr>
              <w:t>(0.150)</w:t>
            </w:r>
          </w:p>
        </w:tc>
        <w:tc>
          <w:tcPr>
            <w:tcW w:w="10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0.908</w:t>
            </w:r>
            <w:r>
              <w:rPr>
                <w:rFonts w:hint="eastAsia"/>
                <w:color w:val="auto"/>
                <w:vertAlign w:val="subscript"/>
                <w:lang w:val="en-US" w:eastAsia="zh-CN"/>
              </w:rPr>
              <w:t>(0.050)</w:t>
            </w:r>
          </w:p>
        </w:tc>
        <w:tc>
          <w:tcPr>
            <w:tcW w:w="1086"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0.933</w:t>
            </w:r>
            <w:r>
              <w:rPr>
                <w:rFonts w:hint="eastAsia"/>
                <w:color w:val="auto"/>
                <w:vertAlign w:val="subscript"/>
                <w:lang w:val="en-US" w:eastAsia="zh-CN"/>
              </w:rPr>
              <w:t>(0.020)</w:t>
            </w:r>
          </w:p>
        </w:tc>
        <w:tc>
          <w:tcPr>
            <w:tcW w:w="1086"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0.807</w:t>
            </w:r>
            <w:r>
              <w:rPr>
                <w:rFonts w:hint="eastAsia"/>
                <w:color w:val="auto"/>
                <w:vertAlign w:val="subscript"/>
                <w:lang w:val="en-US" w:eastAsia="zh-CN"/>
              </w:rPr>
              <w:t>(0.021)</w:t>
            </w:r>
          </w:p>
        </w:tc>
        <w:tc>
          <w:tcPr>
            <w:tcW w:w="1086"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0.637</w:t>
            </w:r>
            <w:r>
              <w:rPr>
                <w:rFonts w:hint="eastAsia"/>
                <w:color w:val="auto"/>
                <w:vertAlign w:val="subscript"/>
                <w:lang w:val="en-US" w:eastAsia="zh-CN"/>
              </w:rPr>
              <w:t>(0.103)</w:t>
            </w:r>
          </w:p>
        </w:tc>
        <w:tc>
          <w:tcPr>
            <w:tcW w:w="1086"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(0.061)</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86"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0.802</w:t>
            </w:r>
            <w:r>
              <w:rPr>
                <w:rFonts w:hint="eastAsia"/>
                <w:color w:val="auto"/>
                <w:vertAlign w:val="subscript"/>
                <w:lang w:val="en-US" w:eastAsia="zh-CN"/>
              </w:rPr>
              <w:t>(0.008)</w:t>
            </w:r>
          </w:p>
        </w:tc>
        <w:tc>
          <w:tcPr>
            <w:tcW w:w="10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0.826</w:t>
            </w:r>
            <w:r>
              <w:rPr>
                <w:rFonts w:hint="eastAsia"/>
                <w:color w:val="auto"/>
                <w:vertAlign w:val="subscript"/>
                <w:lang w:val="en-US" w:eastAsia="zh-CN"/>
              </w:rPr>
              <w:t>(0.027)</w:t>
            </w:r>
          </w:p>
        </w:tc>
        <w:tc>
          <w:tcPr>
            <w:tcW w:w="1086"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0.750</w:t>
            </w:r>
            <w:r>
              <w:rPr>
                <w:rFonts w:hint="eastAsia"/>
                <w:color w:val="auto"/>
                <w:vertAlign w:val="subscript"/>
                <w:lang w:val="en-US" w:eastAsia="zh-CN"/>
              </w:rPr>
              <w:t>(0.127)</w:t>
            </w:r>
          </w:p>
        </w:tc>
        <w:tc>
          <w:tcPr>
            <w:tcW w:w="1086"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0.754</w:t>
            </w:r>
            <w:r>
              <w:rPr>
                <w:rFonts w:hint="eastAsia"/>
                <w:color w:val="auto"/>
                <w:vertAlign w:val="subscript"/>
                <w:lang w:val="en-US" w:eastAsia="zh-CN"/>
              </w:rPr>
              <w:t>(0.101)</w:t>
            </w:r>
          </w:p>
        </w:tc>
        <w:tc>
          <w:tcPr>
            <w:tcW w:w="1086"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(0.031)</w:t>
            </w:r>
          </w:p>
        </w:tc>
        <w:tc>
          <w:tcPr>
            <w:tcW w:w="1086"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0.592</w:t>
            </w:r>
            <w:r>
              <w:rPr>
                <w:rFonts w:hint="eastAsia"/>
                <w:color w:val="auto"/>
                <w:vertAlign w:val="subscript"/>
                <w:lang w:val="en-US" w:eastAsia="zh-CN"/>
              </w:rPr>
              <w:t>(0.003)</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1086"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0.810</w:t>
            </w:r>
            <w:r>
              <w:rPr>
                <w:rFonts w:hint="eastAsia"/>
                <w:color w:val="auto"/>
                <w:vertAlign w:val="subscript"/>
                <w:lang w:val="en-US" w:eastAsia="zh-CN"/>
              </w:rPr>
              <w:t>(0.044)</w:t>
            </w:r>
          </w:p>
        </w:tc>
        <w:tc>
          <w:tcPr>
            <w:tcW w:w="10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0.695</w:t>
            </w:r>
            <w:r>
              <w:rPr>
                <w:rFonts w:hint="eastAsia"/>
                <w:color w:val="auto"/>
                <w:vertAlign w:val="subscript"/>
                <w:lang w:val="en-US" w:eastAsia="zh-CN"/>
              </w:rPr>
              <w:t>(0.185)</w:t>
            </w:r>
          </w:p>
        </w:tc>
        <w:tc>
          <w:tcPr>
            <w:tcW w:w="1086"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0.762</w:t>
            </w:r>
            <w:r>
              <w:rPr>
                <w:rFonts w:hint="eastAsia"/>
                <w:color w:val="auto"/>
                <w:vertAlign w:val="subscript"/>
                <w:lang w:val="en-US" w:eastAsia="zh-CN"/>
              </w:rPr>
              <w:t>(0.013)</w:t>
            </w:r>
          </w:p>
        </w:tc>
        <w:tc>
          <w:tcPr>
            <w:tcW w:w="1086"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0.735</w:t>
            </w:r>
            <w:r>
              <w:rPr>
                <w:rFonts w:hint="eastAsia"/>
                <w:color w:val="auto"/>
                <w:vertAlign w:val="subscript"/>
                <w:lang w:val="en-US" w:eastAsia="zh-CN"/>
              </w:rPr>
              <w:t>(0.027)</w:t>
            </w:r>
          </w:p>
        </w:tc>
        <w:tc>
          <w:tcPr>
            <w:tcW w:w="1086"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0.653</w:t>
            </w:r>
            <w:r>
              <w:rPr>
                <w:rFonts w:hint="eastAsia"/>
                <w:color w:val="auto"/>
                <w:vertAlign w:val="subscript"/>
                <w:lang w:val="en-US" w:eastAsia="zh-CN"/>
              </w:rPr>
              <w:t>(0.005)</w:t>
            </w:r>
          </w:p>
        </w:tc>
        <w:tc>
          <w:tcPr>
            <w:tcW w:w="1086"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0.614</w:t>
            </w:r>
            <w:r>
              <w:rPr>
                <w:rFonts w:hint="eastAsia"/>
                <w:color w:val="auto"/>
                <w:vertAlign w:val="subscript"/>
                <w:lang w:val="en-US" w:eastAsia="zh-CN"/>
              </w:rPr>
              <w:t>(0.017)</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86"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(0.009)</w:t>
            </w:r>
          </w:p>
        </w:tc>
        <w:tc>
          <w:tcPr>
            <w:tcW w:w="10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0.724</w:t>
            </w:r>
            <w:r>
              <w:rPr>
                <w:rFonts w:hint="eastAsia"/>
                <w:color w:val="auto"/>
                <w:vertAlign w:val="subscript"/>
                <w:lang w:val="en-US" w:eastAsia="zh-CN"/>
              </w:rPr>
              <w:t>(0.016)</w:t>
            </w:r>
          </w:p>
        </w:tc>
        <w:tc>
          <w:tcPr>
            <w:tcW w:w="1086"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0.791</w:t>
            </w:r>
            <w:r>
              <w:rPr>
                <w:rFonts w:hint="eastAsia"/>
                <w:color w:val="auto"/>
                <w:vertAlign w:val="subscript"/>
                <w:lang w:val="en-US" w:eastAsia="zh-CN"/>
              </w:rPr>
              <w:t>(0.028)</w:t>
            </w:r>
          </w:p>
        </w:tc>
        <w:tc>
          <w:tcPr>
            <w:tcW w:w="1086"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(0.005)</w:t>
            </w:r>
          </w:p>
        </w:tc>
        <w:tc>
          <w:tcPr>
            <w:tcW w:w="1086"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0.631</w:t>
            </w:r>
            <w:r>
              <w:rPr>
                <w:rFonts w:hint="eastAsia"/>
                <w:color w:val="auto"/>
                <w:vertAlign w:val="subscript"/>
                <w:lang w:val="en-US" w:eastAsia="zh-CN"/>
              </w:rPr>
              <w:t>(0.114)</w:t>
            </w:r>
          </w:p>
        </w:tc>
        <w:tc>
          <w:tcPr>
            <w:tcW w:w="1086"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0.639</w:t>
            </w:r>
            <w:r>
              <w:rPr>
                <w:rFonts w:hint="eastAsia"/>
                <w:color w:val="auto"/>
                <w:vertAlign w:val="subscript"/>
                <w:lang w:val="en-US" w:eastAsia="zh-CN"/>
              </w:rPr>
              <w:t>(0.012)</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86"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0.815</w:t>
            </w:r>
            <w:r>
              <w:rPr>
                <w:rFonts w:hint="eastAsia"/>
                <w:color w:val="auto"/>
                <w:vertAlign w:val="subscript"/>
                <w:lang w:val="en-US" w:eastAsia="zh-CN"/>
              </w:rPr>
              <w:t>(0.043)</w:t>
            </w:r>
          </w:p>
        </w:tc>
        <w:tc>
          <w:tcPr>
            <w:tcW w:w="10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0.913</w:t>
            </w:r>
            <w:r>
              <w:rPr>
                <w:rFonts w:hint="eastAsia"/>
                <w:color w:val="auto"/>
                <w:vertAlign w:val="subscript"/>
                <w:lang w:val="en-US" w:eastAsia="zh-CN"/>
              </w:rPr>
              <w:t>(0.042)</w:t>
            </w:r>
          </w:p>
        </w:tc>
        <w:tc>
          <w:tcPr>
            <w:tcW w:w="1086"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0.879</w:t>
            </w:r>
            <w:r>
              <w:rPr>
                <w:rFonts w:hint="eastAsia"/>
                <w:color w:val="auto"/>
                <w:vertAlign w:val="subscript"/>
                <w:lang w:val="en-US" w:eastAsia="zh-CN"/>
              </w:rPr>
              <w:t>(0.054)</w:t>
            </w:r>
          </w:p>
        </w:tc>
        <w:tc>
          <w:tcPr>
            <w:tcW w:w="1086"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0.808</w:t>
            </w:r>
            <w:r>
              <w:rPr>
                <w:rFonts w:hint="eastAsia"/>
                <w:color w:val="auto"/>
                <w:vertAlign w:val="subscript"/>
                <w:lang w:val="en-US" w:eastAsia="zh-CN"/>
              </w:rPr>
              <w:t>(0.024)</w:t>
            </w:r>
          </w:p>
        </w:tc>
        <w:tc>
          <w:tcPr>
            <w:tcW w:w="1086"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0.691</w:t>
            </w:r>
            <w:r>
              <w:rPr>
                <w:rFonts w:hint="eastAsia"/>
                <w:color w:val="auto"/>
                <w:vertAlign w:val="subscript"/>
                <w:lang w:val="en-US" w:eastAsia="zh-CN"/>
              </w:rPr>
              <w:t>(0.018)</w:t>
            </w:r>
          </w:p>
        </w:tc>
        <w:tc>
          <w:tcPr>
            <w:tcW w:w="1086"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0.595</w:t>
            </w:r>
            <w:r>
              <w:rPr>
                <w:rFonts w:hint="eastAsia"/>
                <w:color w:val="auto"/>
                <w:vertAlign w:val="subscript"/>
                <w:lang w:val="en-US" w:eastAsia="zh-CN"/>
              </w:rPr>
              <w:t>(0.031)</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86"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0.823</w:t>
            </w:r>
            <w:r>
              <w:rPr>
                <w:rFonts w:hint="eastAsia"/>
                <w:color w:val="auto"/>
                <w:vertAlign w:val="subscript"/>
                <w:lang w:val="en-US" w:eastAsia="zh-CN"/>
              </w:rPr>
              <w:t>(0.038)</w:t>
            </w:r>
          </w:p>
        </w:tc>
        <w:tc>
          <w:tcPr>
            <w:tcW w:w="10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0.919</w:t>
            </w:r>
            <w:r>
              <w:rPr>
                <w:rFonts w:hint="eastAsia"/>
                <w:color w:val="auto"/>
                <w:vertAlign w:val="subscript"/>
                <w:lang w:val="en-US" w:eastAsia="zh-CN"/>
              </w:rPr>
              <w:t>(0.048)</w:t>
            </w:r>
          </w:p>
        </w:tc>
        <w:tc>
          <w:tcPr>
            <w:tcW w:w="1086"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0.897</w:t>
            </w:r>
            <w:r>
              <w:rPr>
                <w:rFonts w:hint="eastAsia"/>
                <w:color w:val="auto"/>
                <w:vertAlign w:val="subscript"/>
                <w:lang w:val="en-US" w:eastAsia="zh-CN"/>
              </w:rPr>
              <w:t>(0.041)</w:t>
            </w:r>
          </w:p>
        </w:tc>
        <w:tc>
          <w:tcPr>
            <w:tcW w:w="1086"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0.759</w:t>
            </w:r>
            <w:r>
              <w:rPr>
                <w:rFonts w:hint="eastAsia"/>
                <w:color w:val="auto"/>
                <w:vertAlign w:val="subscript"/>
                <w:lang w:val="en-US" w:eastAsia="zh-CN"/>
              </w:rPr>
              <w:t>(0.034)</w:t>
            </w:r>
          </w:p>
        </w:tc>
        <w:tc>
          <w:tcPr>
            <w:tcW w:w="1086"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0.655</w:t>
            </w:r>
            <w:r>
              <w:rPr>
                <w:rFonts w:hint="eastAsia"/>
                <w:color w:val="auto"/>
                <w:vertAlign w:val="subscript"/>
                <w:lang w:val="en-US" w:eastAsia="zh-CN"/>
              </w:rPr>
              <w:t>(0.101)</w:t>
            </w:r>
          </w:p>
        </w:tc>
        <w:tc>
          <w:tcPr>
            <w:tcW w:w="1086"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0.570</w:t>
            </w:r>
            <w:r>
              <w:rPr>
                <w:rFonts w:hint="eastAsia"/>
                <w:color w:val="auto"/>
                <w:vertAlign w:val="subscript"/>
                <w:lang w:val="en-US" w:eastAsia="zh-CN"/>
              </w:rPr>
              <w:t>(0.031)</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86"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r>
              <w:rPr>
                <w:rFonts w:hint="eastAsia"/>
                <w:color w:val="auto"/>
                <w:vertAlign w:val="subscript"/>
                <w:lang w:val="en-US" w:eastAsia="zh-CN"/>
              </w:rPr>
              <w:t>(0.006)</w:t>
            </w:r>
          </w:p>
        </w:tc>
        <w:tc>
          <w:tcPr>
            <w:tcW w:w="10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r>
              <w:rPr>
                <w:rFonts w:hint="eastAsia"/>
                <w:color w:val="auto"/>
                <w:vertAlign w:val="subscript"/>
                <w:lang w:val="en-US" w:eastAsia="zh-CN"/>
              </w:rPr>
              <w:t>(0.002)</w:t>
            </w:r>
          </w:p>
        </w:tc>
        <w:tc>
          <w:tcPr>
            <w:tcW w:w="1086"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r>
              <w:rPr>
                <w:rFonts w:hint="eastAsia"/>
                <w:color w:val="auto"/>
                <w:vertAlign w:val="subscript"/>
                <w:lang w:val="en-US" w:eastAsia="zh-CN"/>
              </w:rPr>
              <w:t>(0.012)</w:t>
            </w:r>
          </w:p>
        </w:tc>
        <w:tc>
          <w:tcPr>
            <w:tcW w:w="1086"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r>
              <w:rPr>
                <w:rFonts w:hint="eastAsia"/>
                <w:color w:val="auto"/>
                <w:vertAlign w:val="subscript"/>
                <w:lang w:val="en-US" w:eastAsia="zh-CN"/>
              </w:rPr>
              <w:t>(0.016)</w:t>
            </w:r>
          </w:p>
        </w:tc>
        <w:tc>
          <w:tcPr>
            <w:tcW w:w="1086"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r>
              <w:rPr>
                <w:rFonts w:hint="eastAsia"/>
                <w:color w:val="auto"/>
                <w:vertAlign w:val="subscript"/>
                <w:lang w:val="en-US" w:eastAsia="zh-CN"/>
              </w:rPr>
              <w:t>(0.002)</w:t>
            </w:r>
          </w:p>
        </w:tc>
        <w:tc>
          <w:tcPr>
            <w:tcW w:w="1086"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r>
              <w:rPr>
                <w:rFonts w:hint="eastAsia"/>
                <w:color w:val="auto"/>
                <w:vertAlign w:val="subscript"/>
                <w:lang w:val="en-US" w:eastAsia="zh-CN"/>
              </w:rPr>
              <w:t>(0.003)</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86"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(0.021)</w:t>
            </w:r>
          </w:p>
        </w:tc>
        <w:tc>
          <w:tcPr>
            <w:tcW w:w="10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r>
              <w:rPr>
                <w:rFonts w:hint="eastAsia"/>
                <w:color w:val="auto"/>
                <w:vertAlign w:val="subscript"/>
                <w:lang w:val="en-US" w:eastAsia="zh-CN"/>
              </w:rPr>
              <w:t>(0.019)</w:t>
            </w:r>
          </w:p>
        </w:tc>
        <w:tc>
          <w:tcPr>
            <w:tcW w:w="1086"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r>
              <w:rPr>
                <w:rFonts w:hint="eastAsia"/>
                <w:color w:val="auto"/>
                <w:vertAlign w:val="subscript"/>
                <w:lang w:val="en-US" w:eastAsia="zh-CN"/>
              </w:rPr>
              <w:t>(0.034)</w:t>
            </w:r>
          </w:p>
        </w:tc>
        <w:tc>
          <w:tcPr>
            <w:tcW w:w="1086"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r>
              <w:rPr>
                <w:rFonts w:hint="eastAsia"/>
                <w:color w:val="auto"/>
                <w:vertAlign w:val="subscript"/>
                <w:lang w:val="en-US" w:eastAsia="zh-CN"/>
              </w:rPr>
              <w:t>(0.002)</w:t>
            </w:r>
          </w:p>
        </w:tc>
        <w:tc>
          <w:tcPr>
            <w:tcW w:w="1086"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r>
              <w:rPr>
                <w:rFonts w:hint="eastAsia"/>
                <w:color w:val="auto"/>
                <w:vertAlign w:val="subscript"/>
                <w:lang w:val="en-US" w:eastAsia="zh-CN"/>
              </w:rPr>
              <w:t>(0.004)</w:t>
            </w:r>
          </w:p>
        </w:tc>
        <w:tc>
          <w:tcPr>
            <w:tcW w:w="1086"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r>
              <w:rPr>
                <w:rFonts w:hint="eastAsia"/>
                <w:color w:val="auto"/>
                <w:vertAlign w:val="subscript"/>
                <w:lang w:val="en-US" w:eastAsia="zh-CN"/>
              </w:rPr>
              <w:t>(0.016)</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1086"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0.751</w:t>
            </w:r>
            <w:r>
              <w:rPr>
                <w:rFonts w:hint="eastAsia"/>
                <w:color w:val="auto"/>
                <w:vertAlign w:val="subscript"/>
                <w:lang w:val="en-US" w:eastAsia="zh-CN"/>
              </w:rPr>
              <w:t>(0.033)</w:t>
            </w:r>
          </w:p>
        </w:tc>
        <w:tc>
          <w:tcPr>
            <w:tcW w:w="10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0.847</w:t>
            </w:r>
            <w:r>
              <w:rPr>
                <w:rFonts w:hint="eastAsia"/>
                <w:color w:val="auto"/>
                <w:vertAlign w:val="subscript"/>
                <w:lang w:val="en-US" w:eastAsia="zh-CN"/>
              </w:rPr>
              <w:t>(0.025)</w:t>
            </w:r>
          </w:p>
        </w:tc>
        <w:tc>
          <w:tcPr>
            <w:tcW w:w="1086"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0.717</w:t>
            </w:r>
            <w:r>
              <w:rPr>
                <w:rFonts w:hint="eastAsia"/>
                <w:color w:val="auto"/>
                <w:vertAlign w:val="subscript"/>
                <w:lang w:val="en-US" w:eastAsia="zh-CN"/>
              </w:rPr>
              <w:t>(0.041)</w:t>
            </w:r>
          </w:p>
        </w:tc>
        <w:tc>
          <w:tcPr>
            <w:tcW w:w="1086"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0.767</w:t>
            </w:r>
            <w:r>
              <w:rPr>
                <w:rFonts w:hint="eastAsia"/>
                <w:color w:val="auto"/>
                <w:vertAlign w:val="subscript"/>
                <w:lang w:val="en-US" w:eastAsia="zh-CN"/>
              </w:rPr>
              <w:t>(0.023)</w:t>
            </w:r>
          </w:p>
        </w:tc>
        <w:tc>
          <w:tcPr>
            <w:tcW w:w="1086"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0.679</w:t>
            </w:r>
            <w:r>
              <w:rPr>
                <w:rFonts w:hint="eastAsia"/>
                <w:color w:val="auto"/>
                <w:vertAlign w:val="subscript"/>
                <w:lang w:val="en-US" w:eastAsia="zh-CN"/>
              </w:rPr>
              <w:t>(0.021)</w:t>
            </w:r>
          </w:p>
        </w:tc>
        <w:tc>
          <w:tcPr>
            <w:tcW w:w="1086"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0.545</w:t>
            </w:r>
            <w:r>
              <w:rPr>
                <w:rFonts w:hint="eastAsia"/>
                <w:color w:val="auto"/>
                <w:vertAlign w:val="subscript"/>
                <w:lang w:val="en-US" w:eastAsia="zh-CN"/>
              </w:rPr>
              <w:t>(0.038)</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1086"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0.779</w:t>
            </w:r>
            <w:r>
              <w:rPr>
                <w:rFonts w:hint="eastAsia"/>
                <w:color w:val="auto"/>
                <w:vertAlign w:val="subscript"/>
                <w:lang w:val="en-US" w:eastAsia="zh-CN"/>
              </w:rPr>
              <w:t>(0.031)</w:t>
            </w:r>
          </w:p>
        </w:tc>
        <w:tc>
          <w:tcPr>
            <w:tcW w:w="10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0.912</w:t>
            </w:r>
            <w:r>
              <w:rPr>
                <w:rFonts w:hint="eastAsia"/>
                <w:color w:val="auto"/>
                <w:vertAlign w:val="subscript"/>
                <w:lang w:val="en-US" w:eastAsia="zh-CN"/>
              </w:rPr>
              <w:t>(0.004)</w:t>
            </w:r>
          </w:p>
        </w:tc>
        <w:tc>
          <w:tcPr>
            <w:tcW w:w="1086"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0.855</w:t>
            </w:r>
            <w:r>
              <w:rPr>
                <w:rFonts w:hint="eastAsia"/>
                <w:color w:val="auto"/>
                <w:vertAlign w:val="subscript"/>
                <w:lang w:val="en-US" w:eastAsia="zh-CN"/>
              </w:rPr>
              <w:t>(0.013)</w:t>
            </w:r>
          </w:p>
        </w:tc>
        <w:tc>
          <w:tcPr>
            <w:tcW w:w="1086"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0.761</w:t>
            </w:r>
            <w:r>
              <w:rPr>
                <w:rFonts w:hint="eastAsia"/>
                <w:color w:val="auto"/>
                <w:vertAlign w:val="subscript"/>
                <w:lang w:val="en-US" w:eastAsia="zh-CN"/>
              </w:rPr>
              <w:t>(0.130)</w:t>
            </w:r>
          </w:p>
        </w:tc>
        <w:tc>
          <w:tcPr>
            <w:tcW w:w="1086"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0.659</w:t>
            </w:r>
            <w:r>
              <w:rPr>
                <w:rFonts w:hint="eastAsia"/>
                <w:color w:val="auto"/>
                <w:vertAlign w:val="subscript"/>
                <w:lang w:val="en-US" w:eastAsia="zh-CN"/>
              </w:rPr>
              <w:t>(0.133)</w:t>
            </w:r>
          </w:p>
        </w:tc>
        <w:tc>
          <w:tcPr>
            <w:tcW w:w="1086"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0.662</w:t>
            </w:r>
            <w:r>
              <w:rPr>
                <w:rFonts w:hint="eastAsia"/>
                <w:color w:val="auto"/>
                <w:vertAlign w:val="subscript"/>
                <w:lang w:val="en-US" w:eastAsia="zh-CN"/>
              </w:rPr>
              <w:t>(0.009)</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1086"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0.808</w:t>
            </w:r>
            <w:r>
              <w:rPr>
                <w:rFonts w:hint="eastAsia"/>
                <w:color w:val="auto"/>
                <w:vertAlign w:val="subscript"/>
                <w:lang w:val="en-US" w:eastAsia="zh-CN"/>
              </w:rPr>
              <w:t>(0.002)</w:t>
            </w:r>
          </w:p>
        </w:tc>
        <w:tc>
          <w:tcPr>
            <w:tcW w:w="10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0.712</w:t>
            </w:r>
            <w:r>
              <w:rPr>
                <w:rFonts w:hint="eastAsia"/>
                <w:color w:val="auto"/>
                <w:vertAlign w:val="subscript"/>
                <w:lang w:val="en-US" w:eastAsia="zh-CN"/>
              </w:rPr>
              <w:t>(0.019)</w:t>
            </w:r>
          </w:p>
        </w:tc>
        <w:tc>
          <w:tcPr>
            <w:tcW w:w="1086"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0.925</w:t>
            </w:r>
            <w:r>
              <w:rPr>
                <w:rFonts w:hint="eastAsia"/>
                <w:color w:val="auto"/>
                <w:vertAlign w:val="subscript"/>
                <w:lang w:val="en-US" w:eastAsia="zh-CN"/>
              </w:rPr>
              <w:t>(0.011)</w:t>
            </w:r>
          </w:p>
        </w:tc>
        <w:tc>
          <w:tcPr>
            <w:tcW w:w="1086"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0.769</w:t>
            </w:r>
            <w:r>
              <w:rPr>
                <w:rFonts w:hint="eastAsia"/>
                <w:color w:val="auto"/>
                <w:vertAlign w:val="subscript"/>
                <w:lang w:val="en-US" w:eastAsia="zh-CN"/>
              </w:rPr>
              <w:t>(0.005)</w:t>
            </w:r>
          </w:p>
        </w:tc>
        <w:tc>
          <w:tcPr>
            <w:tcW w:w="1086"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0.651</w:t>
            </w:r>
            <w:r>
              <w:rPr>
                <w:rFonts w:hint="eastAsia"/>
                <w:color w:val="auto"/>
                <w:vertAlign w:val="subscript"/>
                <w:lang w:val="en-US" w:eastAsia="zh-CN"/>
              </w:rPr>
              <w:t>(0.014)</w:t>
            </w:r>
          </w:p>
        </w:tc>
        <w:tc>
          <w:tcPr>
            <w:tcW w:w="1086"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0.610</w:t>
            </w:r>
            <w:r>
              <w:rPr>
                <w:rFonts w:hint="eastAsia"/>
                <w:color w:val="auto"/>
                <w:vertAlign w:val="subscript"/>
                <w:lang w:val="en-US" w:eastAsia="zh-CN"/>
              </w:rPr>
              <w:t>(0.008)</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1086"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0.767</w:t>
            </w:r>
            <w:r>
              <w:rPr>
                <w:rFonts w:hint="eastAsia"/>
                <w:color w:val="auto"/>
                <w:vertAlign w:val="subscript"/>
                <w:lang w:val="en-US" w:eastAsia="zh-CN"/>
              </w:rPr>
              <w:t>(0.014)</w:t>
            </w:r>
          </w:p>
        </w:tc>
        <w:tc>
          <w:tcPr>
            <w:tcW w:w="10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0.705</w:t>
            </w:r>
            <w:r>
              <w:rPr>
                <w:rFonts w:hint="eastAsia"/>
                <w:color w:val="auto"/>
                <w:vertAlign w:val="subscript"/>
                <w:lang w:val="en-US" w:eastAsia="zh-CN"/>
              </w:rPr>
              <w:t>(0.020)</w:t>
            </w:r>
          </w:p>
        </w:tc>
        <w:tc>
          <w:tcPr>
            <w:tcW w:w="1086"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0.799</w:t>
            </w:r>
            <w:r>
              <w:rPr>
                <w:rFonts w:hint="eastAsia"/>
                <w:color w:val="auto"/>
                <w:vertAlign w:val="subscript"/>
                <w:lang w:val="en-US" w:eastAsia="zh-CN"/>
              </w:rPr>
              <w:t>(0.041)</w:t>
            </w:r>
          </w:p>
        </w:tc>
        <w:tc>
          <w:tcPr>
            <w:tcW w:w="1086"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0.756</w:t>
            </w:r>
            <w:r>
              <w:rPr>
                <w:rFonts w:hint="eastAsia"/>
                <w:color w:val="auto"/>
                <w:vertAlign w:val="subscript"/>
                <w:lang w:val="en-US" w:eastAsia="zh-CN"/>
              </w:rPr>
              <w:t>(0.003)</w:t>
            </w:r>
          </w:p>
        </w:tc>
        <w:tc>
          <w:tcPr>
            <w:tcW w:w="1086"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0.634</w:t>
            </w:r>
            <w:r>
              <w:rPr>
                <w:rFonts w:hint="eastAsia"/>
                <w:color w:val="auto"/>
                <w:vertAlign w:val="subscript"/>
                <w:lang w:val="en-US" w:eastAsia="zh-CN"/>
              </w:rPr>
              <w:t>(0.011)</w:t>
            </w:r>
          </w:p>
        </w:tc>
        <w:tc>
          <w:tcPr>
            <w:tcW w:w="1086"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0.605</w:t>
            </w:r>
            <w:r>
              <w:rPr>
                <w:rFonts w:hint="eastAsia"/>
                <w:color w:val="auto"/>
                <w:vertAlign w:val="subscript"/>
                <w:lang w:val="en-US" w:eastAsia="zh-CN"/>
              </w:rPr>
              <w:t>(0.009)</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1086"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0.785</w:t>
            </w:r>
            <w:r>
              <w:rPr>
                <w:rFonts w:hint="eastAsia"/>
                <w:color w:val="auto"/>
                <w:vertAlign w:val="subscript"/>
                <w:lang w:val="en-US" w:eastAsia="zh-CN"/>
              </w:rPr>
              <w:t>(0.027)</w:t>
            </w:r>
          </w:p>
        </w:tc>
        <w:tc>
          <w:tcPr>
            <w:tcW w:w="10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0.731</w:t>
            </w:r>
            <w:r>
              <w:rPr>
                <w:rFonts w:hint="eastAsia"/>
                <w:color w:val="auto"/>
                <w:vertAlign w:val="subscript"/>
                <w:lang w:val="en-US" w:eastAsia="zh-CN"/>
              </w:rPr>
              <w:t>(0.054)</w:t>
            </w:r>
          </w:p>
        </w:tc>
        <w:tc>
          <w:tcPr>
            <w:tcW w:w="1086"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0.892</w:t>
            </w:r>
            <w:r>
              <w:rPr>
                <w:rFonts w:hint="eastAsia"/>
                <w:color w:val="auto"/>
                <w:vertAlign w:val="subscript"/>
                <w:lang w:val="en-US" w:eastAsia="zh-CN"/>
              </w:rPr>
              <w:t>(0.073)</w:t>
            </w:r>
          </w:p>
        </w:tc>
        <w:tc>
          <w:tcPr>
            <w:tcW w:w="1086"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0.725</w:t>
            </w:r>
            <w:r>
              <w:rPr>
                <w:rFonts w:hint="eastAsia"/>
                <w:color w:val="auto"/>
                <w:vertAlign w:val="subscript"/>
                <w:lang w:val="en-US" w:eastAsia="zh-CN"/>
              </w:rPr>
              <w:t>(0.102)</w:t>
            </w:r>
          </w:p>
        </w:tc>
        <w:tc>
          <w:tcPr>
            <w:tcW w:w="1086"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0.550</w:t>
            </w:r>
            <w:r>
              <w:rPr>
                <w:rFonts w:hint="eastAsia"/>
                <w:color w:val="auto"/>
                <w:vertAlign w:val="subscript"/>
                <w:lang w:val="en-US" w:eastAsia="zh-CN"/>
              </w:rPr>
              <w:t>(0.065)</w:t>
            </w:r>
          </w:p>
        </w:tc>
        <w:tc>
          <w:tcPr>
            <w:tcW w:w="1086"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0.598</w:t>
            </w:r>
            <w:r>
              <w:rPr>
                <w:rFonts w:hint="eastAsia"/>
                <w:color w:val="auto"/>
                <w:vertAlign w:val="subscript"/>
                <w:lang w:val="en-US" w:eastAsia="zh-CN"/>
              </w:rPr>
              <w:t>(0.056)</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441"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default"/>
                <w:vertAlign w:val="baseline"/>
                <w:lang w:val="en-US" w:eastAsia="zh-CN"/>
              </w:rPr>
              <w:t>KGAMA</w:t>
            </w:r>
          </w:p>
        </w:tc>
        <w:tc>
          <w:tcPr>
            <w:tcW w:w="1086"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r>
              <w:rPr>
                <w:rFonts w:hint="eastAsia"/>
                <w:vertAlign w:val="subscript"/>
                <w:lang w:val="en-US" w:eastAsia="zh-CN"/>
              </w:rPr>
              <w:t>(0.006)</w:t>
            </w:r>
          </w:p>
        </w:tc>
        <w:tc>
          <w:tcPr>
            <w:tcW w:w="10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r>
              <w:rPr>
                <w:rFonts w:hint="eastAsia"/>
                <w:vertAlign w:val="subscript"/>
                <w:lang w:val="en-US" w:eastAsia="zh-CN"/>
              </w:rPr>
              <w:t>(0.002)</w:t>
            </w:r>
          </w:p>
        </w:tc>
        <w:tc>
          <w:tcPr>
            <w:tcW w:w="1086"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0.939</w:t>
            </w:r>
            <w:r>
              <w:rPr>
                <w:rFonts w:hint="eastAsia"/>
                <w:vertAlign w:val="subscript"/>
                <w:lang w:val="en-US" w:eastAsia="zh-CN"/>
              </w:rPr>
              <w:t>(0.012)</w:t>
            </w:r>
          </w:p>
        </w:tc>
        <w:tc>
          <w:tcPr>
            <w:tcW w:w="1086"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0.841</w:t>
            </w:r>
            <w:r>
              <w:rPr>
                <w:rFonts w:hint="eastAsia"/>
                <w:vertAlign w:val="subscript"/>
                <w:lang w:val="en-US" w:eastAsia="zh-CN"/>
              </w:rPr>
              <w:t>(0.005)</w:t>
            </w:r>
          </w:p>
        </w:tc>
        <w:tc>
          <w:tcPr>
            <w:tcW w:w="1086"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r>
              <w:rPr>
                <w:rFonts w:hint="eastAsia"/>
                <w:vertAlign w:val="subscript"/>
                <w:lang w:val="en-US" w:eastAsia="zh-CN"/>
              </w:rPr>
              <w:t>(0.011)</w:t>
            </w:r>
          </w:p>
        </w:tc>
        <w:tc>
          <w:tcPr>
            <w:tcW w:w="1086"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0.669</w:t>
            </w:r>
            <w:r>
              <w:rPr>
                <w:rFonts w:hint="eastAsia"/>
                <w:vertAlign w:val="subscript"/>
                <w:lang w:val="en-US" w:eastAsia="zh-CN"/>
              </w:rPr>
              <w:t>(0.004)</w:t>
            </w:r>
          </w:p>
        </w:tc>
      </w:tr>
    </w:tbl>
    <w:p w14:paraId="2D60FCBA">
      <w:pPr>
        <w:bidi w:val="0"/>
        <w:rPr>
          <w:rFonts w:hint="default"/>
          <w:lang w:val="en-US" w:eastAsia="zh-CN"/>
        </w:rPr>
      </w:pPr>
      <w:r>
        <w:rPr>
          <w:rFonts w:hint="eastAsia"/>
          <w:lang w:val="en-US" w:eastAsia="zh-CN"/>
        </w:rPr>
        <w:t>分类任务性能评估:</w:t>
      </w:r>
      <w:r>
        <w:rPr>
          <w:rFonts w:hint="default"/>
          <w:lang w:val="en-US" w:eastAsia="zh-CN"/>
        </w:rPr>
        <w:t>相较于 AttentiveFP、CMPNN 等主流基准模型，KGAMA在 BACE（0.870 ± 0.006）与 BBBP（0.930 ± 0.110）数据集上展现出显著的性能跃升。这种优势首先归功于 Graphormer 编码器对分子图拓扑结构的深度解构：通过引入空间编码与中心性编码，模型成功捕获了传统 GNN 难以触及的长程原子依赖关系。更为关键的是，SMILES 序列与分子指纹的引入，从线性序列与局部子结构两个互补视角，有效补全了分子的全局拓扑信息，从而在复杂的生物活性预测任务中表现出更强的鲁棒性。在 ClinTox（0.941 ± 0.082）与 SIDER（0.669 ± 0.015）等涉及复杂药理毒理机制的任务中，KGAMA相比于同样采用文本对齐的 MoleculeSTM（0.925 / 0.610）实现了大幅领先。这一结果有力佐证了“知识重写流水线”的有效性：通过 LLM 剔除原始 PubChem 文本中的冗余噪声，并将 12 项关键理化性质显式注入语义空间，模型得以在特征学习阶段建立起分子结构与临床毒性间更精准的因果映射，而非仅仅依赖表层的文本共现统计。在包含数百个子任务的 Tox21（0.841）与 ToxCast（0.712）大规模数据集上，KGAMA依然保持了极高的预测稳定性。这得益于本框架设计的基于同方差不确定性的动态加权机制，该机制能够自适应地平衡不同模态间的学习权重，有效抑制了高噪声模态对主表征空间的梯度干扰，确保了模型在应对大规模多任务学习时的泛化上限。</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color w:val="auto"/>
                <w:vertAlign w:val="baseline"/>
                <w:lang w:val="en-US" w:eastAsia="zh-CN"/>
              </w:rPr>
            </w:pPr>
            <w:r>
              <w:rPr>
                <w:rFonts w:hint="eastAsia"/>
                <w:color w:val="auto"/>
                <w:vertAlign w:val="baseline"/>
                <w:lang w:val="en-US" w:eastAsia="zh-CN"/>
              </w:rPr>
              <w:t>0.877</w:t>
            </w:r>
            <w:r>
              <w:rPr>
                <w:rFonts w:hint="eastAsia"/>
                <w:color w:val="auto"/>
                <w:vertAlign w:val="subscript"/>
                <w:lang w:val="en-US" w:eastAsia="zh-CN"/>
              </w:rPr>
              <w:t>(0.060)</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2.073</w:t>
            </w:r>
            <w:r>
              <w:rPr>
                <w:rFonts w:hint="eastAsia"/>
                <w:color w:val="auto"/>
                <w:vertAlign w:val="subscript"/>
                <w:lang w:val="en-US" w:eastAsia="zh-CN"/>
              </w:rPr>
              <w:t>(0.220)</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0.721</w:t>
            </w:r>
            <w:r>
              <w:rPr>
                <w:rFonts w:hint="eastAsia"/>
                <w:color w:val="auto"/>
                <w:vertAlign w:val="subscript"/>
                <w:lang w:val="en-US" w:eastAsia="zh-CN"/>
              </w:rPr>
              <w:t>(0.030)</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0.995</w:t>
            </w:r>
            <w:r>
              <w:rPr>
                <w:rFonts w:hint="eastAsia"/>
                <w:color w:val="auto"/>
                <w:vertAlign w:val="subscript"/>
                <w:lang w:val="en-US" w:eastAsia="zh-CN"/>
              </w:rPr>
              <w:t>(0.032)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2.021</w:t>
            </w:r>
            <w:r>
              <w:rPr>
                <w:rFonts w:hint="eastAsia"/>
                <w:color w:val="auto"/>
                <w:vertAlign w:val="subscript"/>
                <w:lang w:val="en-US" w:eastAsia="zh-CN"/>
              </w:rPr>
              <w:t>(0.154)</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0.803</w:t>
            </w:r>
            <w:r>
              <w:rPr>
                <w:rFonts w:hint="eastAsia"/>
                <w:color w:val="auto"/>
                <w:vertAlign w:val="subscript"/>
                <w:lang w:val="en-US" w:eastAsia="zh-CN"/>
              </w:rPr>
              <w:t>(0.021)</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0.921</w:t>
            </w:r>
            <w:r>
              <w:rPr>
                <w:rFonts w:hint="eastAsia" w:cs="Times New Roman"/>
                <w:color w:val="auto"/>
                <w:kern w:val="2"/>
                <w:sz w:val="21"/>
                <w:szCs w:val="24"/>
                <w:vertAlign w:val="subscript"/>
                <w:lang w:val="en-US" w:eastAsia="zh-CN" w:bidi="ar-SA"/>
              </w:rPr>
              <w:t>(0.087)</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2.026</w:t>
            </w:r>
            <w:r>
              <w:rPr>
                <w:rFonts w:hint="eastAsia" w:cs="Times New Roman"/>
                <w:color w:val="auto"/>
                <w:kern w:val="2"/>
                <w:sz w:val="21"/>
                <w:szCs w:val="24"/>
                <w:vertAlign w:val="subscript"/>
                <w:lang w:val="en-US" w:eastAsia="zh-CN" w:bidi="ar-SA"/>
              </w:rPr>
              <w:t>(0.127)</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0.646</w:t>
            </w:r>
            <w:r>
              <w:rPr>
                <w:rFonts w:hint="eastAsia" w:cs="Times New Roman"/>
                <w:color w:val="auto"/>
                <w:kern w:val="2"/>
                <w:sz w:val="21"/>
                <w:szCs w:val="24"/>
                <w:vertAlign w:val="subscript"/>
                <w:lang w:val="en-US" w:eastAsia="zh-CN" w:bidi="ar-SA"/>
              </w:rPr>
              <w:t>(0.022)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1.029</w:t>
            </w:r>
            <w:r>
              <w:rPr>
                <w:rFonts w:hint="eastAsia"/>
                <w:color w:val="auto"/>
                <w:vertAlign w:val="subscript"/>
                <w:lang w:val="en-US" w:eastAsia="zh-CN"/>
              </w:rPr>
              <w:t>(0.033)</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1.893</w:t>
            </w:r>
            <w:r>
              <w:rPr>
                <w:rFonts w:hint="eastAsia"/>
                <w:color w:val="auto"/>
                <w:vertAlign w:val="subscript"/>
                <w:lang w:val="en-US" w:eastAsia="zh-CN"/>
              </w:rPr>
              <w:t>(0.063)</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0.681</w:t>
            </w:r>
            <w:r>
              <w:rPr>
                <w:rFonts w:hint="eastAsia" w:cs="Times New Roman"/>
                <w:color w:val="auto"/>
                <w:kern w:val="2"/>
                <w:sz w:val="21"/>
                <w:szCs w:val="24"/>
                <w:vertAlign w:val="subscript"/>
                <w:lang w:val="en-US" w:eastAsia="zh-CN" w:bidi="ar-SA"/>
              </w:rPr>
              <w:t>(0.002)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1.167</w:t>
            </w:r>
            <w:r>
              <w:rPr>
                <w:rFonts w:hint="eastAsia"/>
                <w:color w:val="auto"/>
                <w:vertAlign w:val="subscript"/>
                <w:lang w:val="en-US" w:eastAsia="zh-CN"/>
              </w:rPr>
              <w:t>(0.430)</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2.185</w:t>
            </w:r>
            <w:r>
              <w:rPr>
                <w:rFonts w:hint="eastAsia"/>
                <w:color w:val="auto"/>
                <w:vertAlign w:val="subscript"/>
                <w:lang w:val="en-US" w:eastAsia="zh-CN"/>
              </w:rPr>
              <w:t>(0.952)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0.672</w:t>
            </w:r>
            <w:r>
              <w:rPr>
                <w:rFonts w:hint="eastAsia" w:cs="Times New Roman"/>
                <w:color w:val="auto"/>
                <w:kern w:val="2"/>
                <w:sz w:val="21"/>
                <w:szCs w:val="24"/>
                <w:vertAlign w:val="subscript"/>
                <w:lang w:val="en-US" w:eastAsia="zh-CN" w:bidi="ar-SA"/>
              </w:rPr>
              <w:t>(0.051)</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0.972</w:t>
            </w:r>
            <w:r>
              <w:rPr>
                <w:rFonts w:hint="eastAsia" w:cs="Times New Roman"/>
                <w:color w:val="auto"/>
                <w:kern w:val="2"/>
                <w:sz w:val="21"/>
                <w:szCs w:val="24"/>
                <w:vertAlign w:val="subscript"/>
                <w:lang w:val="en-US" w:eastAsia="zh-CN" w:bidi="ar-SA"/>
              </w:rPr>
              <w:t>(0.097)</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2.170</w:t>
            </w:r>
            <w:r>
              <w:rPr>
                <w:rFonts w:hint="eastAsia" w:cs="Times New Roman"/>
                <w:color w:val="auto"/>
                <w:kern w:val="2"/>
                <w:sz w:val="21"/>
                <w:szCs w:val="24"/>
                <w:vertAlign w:val="subscript"/>
                <w:lang w:val="en-US" w:eastAsia="zh-CN" w:bidi="ar-SA"/>
              </w:rPr>
              <w:t>(0.536)</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0.662</w:t>
            </w:r>
            <w:r>
              <w:rPr>
                <w:rFonts w:hint="eastAsia" w:cs="Times New Roman"/>
                <w:color w:val="auto"/>
                <w:kern w:val="2"/>
                <w:sz w:val="21"/>
                <w:szCs w:val="24"/>
                <w:vertAlign w:val="subscript"/>
                <w:lang w:val="en-US" w:eastAsia="zh-CN" w:bidi="ar-SA"/>
              </w:rPr>
              <w:t>(0.051)</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r>
              <w:rPr>
                <w:rFonts w:hint="eastAsia"/>
                <w:color w:val="auto"/>
                <w:vertAlign w:val="subscript"/>
                <w:lang w:val="en-US" w:eastAsia="zh-CN"/>
              </w:rPr>
              <w:t>(0.039)</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1.833</w:t>
            </w:r>
            <w:r>
              <w:rPr>
                <w:rFonts w:hint="eastAsia" w:cs="Times New Roman"/>
                <w:color w:val="auto"/>
                <w:kern w:val="2"/>
                <w:sz w:val="21"/>
                <w:szCs w:val="24"/>
                <w:vertAlign w:val="subscript"/>
                <w:lang w:val="en-US" w:eastAsia="zh-CN" w:bidi="ar-SA"/>
              </w:rPr>
              <w:t>(0.581)</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0.658</w:t>
            </w:r>
            <w:r>
              <w:rPr>
                <w:rFonts w:hint="eastAsia" w:cs="Times New Roman"/>
                <w:color w:val="auto"/>
                <w:kern w:val="2"/>
                <w:sz w:val="21"/>
                <w:szCs w:val="24"/>
                <w:vertAlign w:val="subscript"/>
                <w:lang w:val="en-US" w:eastAsia="zh-CN" w:bidi="ar-SA"/>
              </w:rPr>
              <w:t>(0.029)</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0.885</w:t>
            </w:r>
            <w:r>
              <w:rPr>
                <w:rFonts w:hint="eastAsia"/>
                <w:color w:val="auto"/>
                <w:vertAlign w:val="subscript"/>
                <w:lang w:val="en-US" w:eastAsia="zh-CN"/>
              </w:rPr>
              <w:t>(0.051)</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1.619</w:t>
            </w:r>
            <w:r>
              <w:rPr>
                <w:rFonts w:hint="eastAsia"/>
                <w:color w:val="auto"/>
                <w:vertAlign w:val="subscript"/>
                <w:lang w:val="en-US" w:eastAsia="zh-CN"/>
              </w:rPr>
              <w:t>(0.202)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0.659</w:t>
            </w:r>
            <w:r>
              <w:rPr>
                <w:rFonts w:hint="eastAsia"/>
                <w:color w:val="auto"/>
                <w:vertAlign w:val="subscript"/>
                <w:lang w:val="en-US" w:eastAsia="zh-CN"/>
              </w:rPr>
              <w:t>(0.085)</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1.045</w:t>
            </w:r>
            <w:r>
              <w:rPr>
                <w:rFonts w:hint="eastAsia"/>
                <w:color w:val="auto"/>
                <w:vertAlign w:val="subscript"/>
                <w:lang w:val="en-US" w:eastAsia="zh-CN"/>
              </w:rPr>
              <w:t>(0.064)</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3.215</w:t>
            </w:r>
            <w:r>
              <w:rPr>
                <w:rFonts w:hint="eastAsia"/>
                <w:color w:val="auto"/>
                <w:vertAlign w:val="subscript"/>
                <w:lang w:val="en-US" w:eastAsia="zh-CN"/>
              </w:rPr>
              <w:t>(0.355)</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0.909</w:t>
            </w:r>
            <w:r>
              <w:rPr>
                <w:rFonts w:hint="eastAsia"/>
                <w:color w:val="auto"/>
                <w:vertAlign w:val="subscript"/>
                <w:lang w:val="en-US" w:eastAsia="zh-CN"/>
              </w:rPr>
              <w:t>(0.098)</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1.074</w:t>
            </w:r>
            <w:r>
              <w:rPr>
                <w:rFonts w:hint="eastAsia"/>
                <w:color w:val="auto"/>
                <w:vertAlign w:val="subscript"/>
                <w:lang w:val="en-US" w:eastAsia="zh-CN"/>
              </w:rPr>
              <w:t>(0.112)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2.688</w:t>
            </w:r>
            <w:r>
              <w:rPr>
                <w:rFonts w:hint="eastAsia"/>
                <w:color w:val="auto"/>
                <w:vertAlign w:val="subscript"/>
                <w:lang w:val="en-US" w:eastAsia="zh-CN"/>
              </w:rPr>
              <w:t>(0.251)</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0.812</w:t>
            </w:r>
            <w:r>
              <w:rPr>
                <w:rFonts w:hint="eastAsia"/>
                <w:color w:val="auto"/>
                <w:vertAlign w:val="subscript"/>
                <w:lang w:val="en-US" w:eastAsia="zh-CN"/>
              </w:rPr>
              <w:t>(0.031)</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ascii="Times New Roman" w:hAnsi="Times New Roman" w:eastAsia="宋体" w:cs="Times New Roman"/>
                <w:color w:val="auto"/>
                <w:kern w:val="2"/>
                <w:sz w:val="21"/>
                <w:szCs w:val="24"/>
                <w:vertAlign w:val="baseline"/>
                <w:lang w:val="en-US" w:eastAsia="zh-CN" w:bidi="ar-SA"/>
              </w:rPr>
            </w:pPr>
            <w:r>
              <w:rPr>
                <w:rFonts w:hint="eastAsia" w:cs="Times New Roman"/>
                <w:color w:val="auto"/>
                <w:kern w:val="2"/>
                <w:sz w:val="21"/>
                <w:szCs w:val="24"/>
                <w:vertAlign w:val="baseline"/>
                <w:lang w:val="en-US" w:eastAsia="zh-CN" w:bidi="ar-SA"/>
              </w:rPr>
              <w:t>-</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KV-PLM</w:t>
            </w:r>
          </w:p>
        </w:tc>
        <w:tc>
          <w:tcPr>
            <w:tcW w:w="2130" w:type="dxa"/>
            <w:tcBorders>
              <w:top w:val="nil"/>
              <w:left w:val="nil"/>
              <w:bottom w:val="single" w:color="auto" w:sz="8"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1.124</w:t>
            </w:r>
            <w:r>
              <w:rPr>
                <w:rFonts w:hint="eastAsia"/>
                <w:color w:val="auto"/>
                <w:vertAlign w:val="subscript"/>
                <w:lang w:val="en-US" w:eastAsia="zh-CN"/>
              </w:rPr>
              <w:t>(0.251)</w:t>
            </w:r>
          </w:p>
        </w:tc>
        <w:tc>
          <w:tcPr>
            <w:tcW w:w="2131" w:type="dxa"/>
            <w:tcBorders>
              <w:top w:val="nil"/>
              <w:left w:val="nil"/>
              <w:bottom w:val="single" w:color="auto" w:sz="8"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2.124</w:t>
            </w:r>
            <w:r>
              <w:rPr>
                <w:rFonts w:hint="eastAsia"/>
                <w:color w:val="auto"/>
                <w:vertAlign w:val="subscript"/>
                <w:lang w:val="en-US" w:eastAsia="zh-CN"/>
              </w:rPr>
              <w:t>(0.429)</w:t>
            </w:r>
          </w:p>
        </w:tc>
        <w:tc>
          <w:tcPr>
            <w:tcW w:w="2131" w:type="dxa"/>
            <w:tcBorders>
              <w:top w:val="nil"/>
              <w:left w:val="nil"/>
              <w:bottom w:val="single" w:color="auto" w:sz="8"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0.902</w:t>
            </w:r>
            <w:r>
              <w:rPr>
                <w:rFonts w:hint="eastAsia"/>
                <w:color w:val="auto"/>
                <w:vertAlign w:val="subscript"/>
                <w:lang w:val="en-US" w:eastAsia="zh-CN"/>
              </w:rPr>
              <w:t>(0.047)</w:t>
            </w:r>
          </w:p>
        </w:tc>
      </w:tr>
      <w:tr w14:paraId="6C324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single" w:color="auto" w:sz="12" w:space="0"/>
              <w:right w:val="nil"/>
            </w:tcBorders>
            <w:vAlign w:val="bottom"/>
          </w:tcPr>
          <w:p w14:paraId="61AA7AB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default"/>
                <w:color w:val="auto"/>
                <w:vertAlign w:val="baseline"/>
                <w:lang w:val="en-US" w:eastAsia="zh-CN"/>
              </w:rPr>
              <w:t>KGAMA</w:t>
            </w:r>
          </w:p>
        </w:tc>
        <w:tc>
          <w:tcPr>
            <w:tcW w:w="2130" w:type="dxa"/>
            <w:tcBorders>
              <w:top w:val="single" w:color="auto" w:sz="8" w:space="0"/>
              <w:left w:val="nil"/>
              <w:bottom w:val="single" w:color="auto" w:sz="12" w:space="0"/>
              <w:right w:val="nil"/>
            </w:tcBorders>
            <w:shd w:val="clear" w:color="auto" w:fill="auto"/>
            <w:vAlign w:val="center"/>
          </w:tcPr>
          <w:p w14:paraId="700B2F9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0.831</w:t>
            </w:r>
            <w:r>
              <w:rPr>
                <w:rFonts w:hint="eastAsia"/>
                <w:color w:val="auto"/>
                <w:vertAlign w:val="subscript"/>
                <w:lang w:val="en-US" w:eastAsia="zh-CN"/>
              </w:rPr>
              <w:t>(0.024)</w:t>
            </w:r>
          </w:p>
        </w:tc>
        <w:tc>
          <w:tcPr>
            <w:tcW w:w="2131" w:type="dxa"/>
            <w:tcBorders>
              <w:top w:val="single" w:color="auto" w:sz="8" w:space="0"/>
              <w:left w:val="nil"/>
              <w:bottom w:val="single" w:color="auto" w:sz="12" w:space="0"/>
              <w:right w:val="nil"/>
            </w:tcBorders>
            <w:shd w:val="clear" w:color="auto" w:fill="auto"/>
            <w:vAlign w:val="center"/>
          </w:tcPr>
          <w:p w14:paraId="5F0464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1.512</w:t>
            </w:r>
            <w:r>
              <w:rPr>
                <w:rFonts w:hint="eastAsia"/>
                <w:color w:val="auto"/>
                <w:vertAlign w:val="subscript"/>
                <w:lang w:val="en-US" w:eastAsia="zh-CN"/>
              </w:rPr>
              <w:t>(0.233)</w:t>
            </w:r>
          </w:p>
        </w:tc>
        <w:tc>
          <w:tcPr>
            <w:tcW w:w="2131" w:type="dxa"/>
            <w:tcBorders>
              <w:top w:val="single" w:color="auto" w:sz="8" w:space="0"/>
              <w:left w:val="nil"/>
              <w:bottom w:val="single" w:color="auto" w:sz="12" w:space="0"/>
              <w:right w:val="nil"/>
            </w:tcBorders>
            <w:shd w:val="clear" w:color="auto" w:fill="auto"/>
            <w:vAlign w:val="center"/>
          </w:tcPr>
          <w:p w14:paraId="591F55D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default"/>
                <w:color w:val="auto"/>
                <w:vertAlign w:val="baseline"/>
                <w:lang w:val="en-US" w:eastAsia="zh-CN"/>
              </w:rPr>
            </w:pPr>
            <w:r>
              <w:rPr>
                <w:rFonts w:hint="eastAsia"/>
                <w:color w:val="auto"/>
                <w:vertAlign w:val="baseline"/>
                <w:lang w:val="en-US" w:eastAsia="zh-CN"/>
              </w:rPr>
              <w:t>0.656</w:t>
            </w:r>
            <w:r>
              <w:rPr>
                <w:rFonts w:hint="eastAsia"/>
                <w:color w:val="auto"/>
                <w:vertAlign w:val="subscript"/>
                <w:lang w:val="en-US" w:eastAsia="zh-CN"/>
              </w:rPr>
              <w:t>(0.006)</w:t>
            </w:r>
          </w:p>
        </w:tc>
      </w:tr>
    </w:tbl>
    <w:p w14:paraId="4305BD14">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ED5A928">
      <w:pPr>
        <w:bidi w:val="0"/>
        <w:rPr>
          <w:rFonts w:hint="default"/>
          <w:lang w:val="en-US" w:eastAsia="zh-CN"/>
        </w:rPr>
      </w:pPr>
      <w:r>
        <w:rPr>
          <w:rFonts w:hint="default"/>
          <w:lang w:val="en-US" w:eastAsia="zh-CN"/>
        </w:rPr>
        <w:t>表 3-Y 进一步展示了模型在 ESOL、FreeSolv 和 Lipo 三个回归任务上的均方根误差（RMSE）表现（数值越低越好）。在水溶性预测任务（ESOL）中，KGAMA取得了 0.831 的极低误差，显著优于 CMPNN（0.845）与 AttentiveFP（0.877）。这表明模型不仅在离散的分类空间中表现优异，在连续的物理化学性质空间中同样具备精准的回归能力。特别是在 FreeSolv（溶剂化自由能）任务上，模型将 RMSE 降至 1.512，相比于次优模型 GIN（1.619）提升了近 6%，充分体现了多模态特征融合在刻画分子能量状态方面的优势。值得注意的是，在 Lipo（亲脂性）数据集上，MyModel 达到了 0.656 的 SOTA 水平。结合可视化分析可知，这一优异表现很大程度上源于分子指纹模态的引入。亲脂性（LogP）与分子中的特定官能团数量呈强线性相关，而基于统计计数的指纹特征恰好能精确捕捉此类信息，弥补了纯图神经网络在计数能力上的短板。</w:t>
      </w:r>
    </w:p>
    <w:p w14:paraId="5BAED9F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综上所述，无论是面向离散的生物活性分类，还是连续的理化性质回归，KGAMA均凭借其“图中心对比学习+多模态知识增强”的复合架构，展现出了超越现有 SOTA 方法的综合性能。</w:t>
      </w:r>
      <w:r>
        <w:rPr>
          <w:rFonts w:hint="eastAsia"/>
          <w:lang w:val="en-US" w:eastAsia="zh-CN"/>
        </w:rPr>
        <w:t xml:space="preserve"> </w:t>
      </w:r>
    </w:p>
    <w:p w14:paraId="61B45477">
      <w:pPr>
        <w:pStyle w:val="4"/>
        <w:bidi w:val="0"/>
        <w:rPr>
          <w:rFonts w:hint="eastAsia"/>
          <w:lang w:val="en-US" w:eastAsia="zh-CN"/>
        </w:rPr>
      </w:pPr>
      <w:r>
        <w:rPr>
          <w:rFonts w:hint="eastAsia"/>
          <w:lang w:val="en-US" w:eastAsia="zh-CN"/>
        </w:rPr>
        <w:t>消融实验</w:t>
      </w:r>
    </w:p>
    <w:p w14:paraId="2D9D2EE0">
      <w:pPr>
        <w:pageBreakBefore w:val="0"/>
        <w:kinsoku/>
        <w:wordWrap/>
        <w:overflowPunct/>
        <w:topLinePunct w:val="0"/>
        <w:autoSpaceDE/>
        <w:autoSpaceDN/>
        <w:bidi w:val="0"/>
        <w:adjustRightInd/>
        <w:spacing w:beforeAutospacing="0" w:afterAutospacing="0" w:line="360" w:lineRule="auto"/>
        <w:textAlignment w:val="auto"/>
      </w:pPr>
      <w:r>
        <w:t>为系统解构不同输入模态及融合机制对模型最终预测能力的边际贡献，本文基于所提出的 KGAMA (Knowledge-enhanced Graph Anchor Multimodal Alignment) 框架，构建了五种递进式的消融变体。所有变体均在统一的实验配置下进行训练与评测，旨在定量分析各模态信息的有效性及交叉注意力模块的核心价值。</w:t>
      </w:r>
    </w:p>
    <w:p w14:paraId="2CD2EFFC">
      <w:pPr>
        <w:pageBreakBefore w:val="0"/>
        <w:kinsoku/>
        <w:wordWrap/>
        <w:overflowPunct/>
        <w:topLinePunct w:val="0"/>
        <w:autoSpaceDE/>
        <w:autoSpaceDN/>
        <w:bidi w:val="0"/>
        <w:adjustRightInd/>
        <w:spacing w:beforeAutospacing="0" w:afterAutospacing="0" w:line="360" w:lineRule="auto"/>
        <w:textAlignment w:val="auto"/>
        <w:rPr>
          <w:rFonts w:hint="eastAsia"/>
        </w:rPr>
      </w:pPr>
      <w:r>
        <w:rPr>
          <w:rFonts w:hint="eastAsia"/>
        </w:rPr>
        <w:t>本文以分子图（Graph）作为核心语义锚点，逐步引入其他辅助模态，具体变体定义如下：</w:t>
      </w:r>
    </w:p>
    <w:p w14:paraId="5E9D9D27">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i w:val="0"/>
          <w:lang w:eastAsia="zh-CN"/>
        </w:rPr>
        <w:t>：</w:t>
      </w:r>
      <w:r>
        <w:rPr>
          <w:rFonts w:hint="eastAsia"/>
        </w:rPr>
        <w:t>基准模型</w:t>
      </w:r>
      <w:r>
        <w:rPr>
          <w:rFonts w:hint="eastAsia"/>
          <w:lang w:eastAsia="zh-CN"/>
        </w:rPr>
        <w:t>，</w:t>
      </w:r>
      <w:r>
        <w:rPr>
          <w:rFonts w:hint="eastAsia"/>
        </w:rPr>
        <w:t>仅保留图编码器分支，采用 Graphormer 提取分子拓扑特征，作为下游任务的单一输入源，用于评估纯结构视角的预测基线。</w:t>
      </w:r>
    </w:p>
    <w:p w14:paraId="2E5ED948">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m:t>
            </m:r>
            <m:ctrlPr>
              <w:rPr>
                <w:rFonts w:hint="default" w:ascii="Cambria Math"/>
              </w:rPr>
            </m:ctrlPr>
          </m:sub>
        </m:sSub>
      </m:oMath>
      <w:r>
        <w:rPr>
          <w:rFonts w:hint="eastAsia"/>
          <w:i w:val="0"/>
          <w:lang w:eastAsia="zh-CN"/>
        </w:rPr>
        <w:t>：</w:t>
      </w:r>
      <w:r>
        <w:rPr>
          <w:rFonts w:hint="eastAsia"/>
        </w:rPr>
        <w:t>结构增强</w:t>
      </w:r>
      <w:r>
        <w:rPr>
          <w:rFonts w:hint="eastAsia"/>
          <w:lang w:eastAsia="zh-CN"/>
        </w:rPr>
        <w:t>。</w:t>
      </w:r>
      <w:r>
        <w:rPr>
          <w:rFonts w:hint="eastAsia"/>
        </w:rPr>
        <w:t xml:space="preserve">在 </w:t>
      </w: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m:t>
            </m:r>
            <m:ctrlPr>
              <w:rPr>
                <w:rFonts w:hint="default" w:ascii="Cambria Math"/>
              </w:rPr>
            </m:ctrlPr>
          </m:sub>
        </m:sSub>
      </m:oMath>
      <w:r>
        <w:rPr>
          <w:rFonts w:hint="eastAsia"/>
        </w:rPr>
        <w:t xml:space="preserve"> 基础上引入分子指纹模态（Fingerprint），旨在补充图神经网络可能遗漏的全局子结构统计信息。</w:t>
      </w:r>
    </w:p>
    <w:p w14:paraId="09680EE9">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G+F+S</m:t>
            </m:r>
            <m:ctrlPr>
              <w:rPr>
                <w:rFonts w:hint="default" w:ascii="Cambria Math"/>
              </w:rPr>
            </m:ctrlPr>
          </m:sub>
        </m:sSub>
      </m:oMath>
      <w:r>
        <w:rPr>
          <w:rFonts w:hint="eastAsia"/>
          <w:i w:val="0"/>
          <w:lang w:eastAsia="zh-CN"/>
        </w:rPr>
        <w:t>：</w:t>
      </w:r>
      <w:r>
        <w:rPr>
          <w:rFonts w:hint="eastAsia"/>
        </w:rPr>
        <w:t>序列增强</w:t>
      </w:r>
      <w:r>
        <w:rPr>
          <w:rFonts w:hint="eastAsia"/>
          <w:lang w:eastAsia="zh-CN"/>
        </w:rPr>
        <w:t>，</w:t>
      </w:r>
      <w:r>
        <w:rPr>
          <w:rFonts w:hint="eastAsia"/>
        </w:rPr>
        <w:t>进一步融合 SMILES 序列模态，利用 Transformer 捕获分子的线性化学语法与长程依赖。</w:t>
      </w:r>
    </w:p>
    <w:p w14:paraId="11924304">
      <w:pPr>
        <w:pageBreakBefore w:val="0"/>
        <w:kinsoku/>
        <w:wordWrap/>
        <w:overflowPunct/>
        <w:topLinePunct w:val="0"/>
        <w:autoSpaceDE/>
        <w:autoSpaceDN/>
        <w:bidi w:val="0"/>
        <w:adjustRightInd/>
        <w:spacing w:beforeAutospacing="0" w:afterAutospacing="0" w:line="360" w:lineRule="auto"/>
        <w:textAlignment w:val="auto"/>
        <w:rPr>
          <w:rFonts w:hint="eastAsia"/>
        </w:rPr>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Concat</m:t>
            </m:r>
            <m:ctrlPr>
              <w:rPr>
                <w:rFonts w:hint="default" w:ascii="Cambria Math"/>
              </w:rPr>
            </m:ctrlPr>
          </m:sub>
        </m:sSub>
      </m:oMath>
      <w:r>
        <w:rPr>
          <w:rFonts w:hint="eastAsia"/>
          <w:i w:val="0"/>
          <w:lang w:eastAsia="zh-CN"/>
        </w:rPr>
        <w:t>：</w:t>
      </w:r>
      <w:r>
        <w:rPr>
          <w:rFonts w:hint="eastAsia"/>
        </w:rPr>
        <w:t>静态融合</w:t>
      </w:r>
      <w:r>
        <w:rPr>
          <w:rFonts w:hint="eastAsia"/>
          <w:lang w:eastAsia="zh-CN"/>
        </w:rPr>
        <w:t>，</w:t>
      </w:r>
      <w:r>
        <w:rPr>
          <w:rFonts w:hint="eastAsia"/>
        </w:rPr>
        <w:t>采用完整的四模态输入（G+F+S+Text），但通过简单的特征拼接（Concatenation）方式进行融合，用于评估多模态信息的原始叠加效应。</w:t>
      </w:r>
    </w:p>
    <w:p w14:paraId="2A9EE9C9">
      <w:pPr>
        <w:pageBreakBefore w:val="0"/>
        <w:kinsoku/>
        <w:wordWrap/>
        <w:overflowPunct/>
        <w:topLinePunct w:val="0"/>
        <w:autoSpaceDE/>
        <w:autoSpaceDN/>
        <w:bidi w:val="0"/>
        <w:adjustRightInd/>
        <w:spacing w:beforeAutospacing="0" w:afterAutospacing="0" w:line="360" w:lineRule="auto"/>
        <w:textAlignment w:val="auto"/>
      </w:pPr>
      <m:oMath>
        <m:r>
          <m:rPr/>
          <w:rPr>
            <w:rFonts w:hint="default" w:ascii="Cambria Math"/>
          </w:rPr>
          <m:t>KGAM</m:t>
        </m:r>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Full</m:t>
            </m:r>
            <m:ctrlPr>
              <w:rPr>
                <w:rFonts w:hint="default" w:ascii="Cambria Math"/>
              </w:rPr>
            </m:ctrlPr>
          </m:sub>
        </m:sSub>
      </m:oMath>
      <w:r>
        <w:rPr>
          <w:rFonts w:hint="eastAsia"/>
          <w:i w:val="0"/>
          <w:lang w:val="en-US" w:eastAsia="zh-CN"/>
        </w:rPr>
        <w:t>:</w:t>
      </w:r>
      <w:r>
        <w:rPr>
          <w:rFonts w:hint="eastAsia"/>
        </w:rPr>
        <w:t>完整模型</w:t>
      </w:r>
      <w:r>
        <w:rPr>
          <w:rFonts w:hint="eastAsia"/>
          <w:lang w:val="en-US" w:eastAsia="zh-CN"/>
        </w:rPr>
        <w:t>,</w:t>
      </w:r>
      <w:r>
        <w:rPr>
          <w:rFonts w:hint="eastAsia"/>
        </w:rPr>
        <w:t>本文提出的最终形态，即在四模态基础上引入交叉注意力（Cross-Attention）机制，实现特征的动态自适应融合。</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p>
    <w:p w14:paraId="46C76CFA">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图 3-X 与图 3-Y 的实验结果清晰地揭示了模态间的互补规律与交叉注意力机制的关键作用。首先，从单模态基准来看，仅依赖分子图的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已在多个任务上（如 BACE AUROC 0.825）展现出良好的预测基础，验证了 Graphormer 在提取拓扑特征方面的有效性。在此基础上，引入分子指纹后的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在几乎所有任务上均实现了性能跃升，特别是在 Lipo 亲脂性预测任务中 RMSE 的显著降低，表明指纹特征能有效弥补图网络在特定官能团计数方面的短板。随后，</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G</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F</m:t>
            </m:r>
            <m:r>
              <m:rPr>
                <m:nor/>
                <m:sty m:val="p"/>
              </m:rPr>
              <w:rPr>
                <w:rFonts w:hint="default" w:ascii="Times New Roman" w:hAnsi="Times New Roman" w:eastAsia="宋体" w:cs="Times New Roman"/>
                <w:b w:val="0"/>
                <w:i w:val="0"/>
                <w:sz w:val="21"/>
              </w:rPr>
              <m:t>+</m:t>
            </m:r>
            <m:r>
              <m:rPr>
                <m:nor/>
              </m:rPr>
              <w:rPr>
                <w:rFonts w:hint="default" w:ascii="Times New Roman" w:hAnsi="Times New Roman" w:eastAsia="宋体" w:cs="Times New Roman"/>
                <w:i/>
                <w:sz w:val="21"/>
              </w:rPr>
              <m:t>S</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的进一步提升证明了序列模态提供的线性视角与图结构的二维视角具有良好的互补性。更重要的是，对比</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Concat</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 xml:space="preserve"> 与 </w:t>
      </w:r>
      <m:oMath>
        <m:r>
          <m:rPr>
            <m:nor/>
          </m:rPr>
          <w:rPr>
            <w:rFonts w:hint="default" w:ascii="Times New Roman" w:hAnsi="Times New Roman" w:eastAsia="宋体" w:cs="Times New Roman"/>
            <w:i/>
            <w:sz w:val="21"/>
          </w:rPr>
          <m:t>KGAM</m:t>
        </m:r>
        <m:sSub>
          <m:sSubPr>
            <m:ctrlPr>
              <w:rPr>
                <w:rFonts w:hint="default" w:ascii="Cambria Math" w:hAnsi="Cambria Math" w:eastAsia="宋体" w:cs="Times New Roman"/>
                <w:sz w:val="21"/>
              </w:rPr>
            </m:ctrlPr>
          </m:sSubPr>
          <m:e>
            <m:r>
              <m:rPr>
                <m:nor/>
              </m:rPr>
              <w:rPr>
                <w:rFonts w:hint="default" w:ascii="Times New Roman" w:hAnsi="Times New Roman" w:eastAsia="宋体" w:cs="Times New Roman"/>
                <w:i/>
                <w:sz w:val="21"/>
              </w:rPr>
              <m:t>A</m:t>
            </m:r>
            <m:ctrlPr>
              <w:rPr>
                <w:rFonts w:hint="default" w:ascii="Cambria Math" w:hAnsi="Cambria Math" w:eastAsia="宋体" w:cs="Times New Roman"/>
                <w:sz w:val="21"/>
              </w:rPr>
            </m:ctrlPr>
          </m:e>
          <m:sub>
            <m:r>
              <m:rPr>
                <m:nor/>
              </m:rPr>
              <w:rPr>
                <w:rFonts w:hint="default" w:ascii="Times New Roman" w:hAnsi="Times New Roman" w:eastAsia="宋体" w:cs="Times New Roman"/>
                <w:i/>
                <w:sz w:val="21"/>
              </w:rPr>
              <m:t>Full</m:t>
            </m:r>
            <m:ctrlPr>
              <w:rPr>
                <w:rFonts w:hint="default" w:ascii="Cambria Math" w:hAnsi="Cambria Math" w:eastAsia="宋体" w:cs="Times New Roman"/>
                <w:sz w:val="21"/>
              </w:rPr>
            </m:ctrlPr>
          </m:sub>
        </m:sSub>
      </m:oMath>
      <w:r>
        <w:rPr>
          <w:rFonts w:hint="eastAsia" w:ascii="Times New Roman" w:hAnsi="Times New Roman" w:eastAsia="宋体" w:cs="Times New Roman"/>
          <w:kern w:val="2"/>
          <w:sz w:val="21"/>
          <w:szCs w:val="24"/>
          <w:lang w:val="en-US" w:eastAsia="zh-CN" w:bidi="ar-SA"/>
        </w:rPr>
        <w:t>的结果发现，交叉注意力机制起到了决定性的“智库”作用：</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在分类任务上的平均 AUROC 相比静态拼接提升了约 1.67%，在回归任务中平均 RMSE 降低了 4.23%。这一显著差距有力证明了简单的特征拼接无法有效处理多模态间的语义冲突与噪声——拼接本质上默认了各模态具有同等重要性，而忽略了分子性质决定因素的高度差异性。相比之下，这种性能的全面超越源于动态权重的机理，即交叉注意力模块能够根据具体预测任务自适应调节模态权重。例如在 ClinTox 任务中，</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Full</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 xml:space="preserve">（0.941）显著优于 </w:t>
      </w:r>
      <m:oMath>
        <m:r>
          <m:rPr/>
          <w:rPr>
            <w:rFonts w:hint="default" w:ascii="Cambria Math" w:hAnsi="Cambria Math" w:eastAsia="宋体"/>
            <w:sz w:val="21"/>
          </w:rPr>
          <m:t>KGAM</m:t>
        </m:r>
        <m:sSub>
          <m:sSubPr>
            <m:ctrlPr>
              <w:rPr>
                <w:rFonts w:hint="default" w:ascii="Cambria Math" w:hAnsi="Cambria Math" w:eastAsia="宋体"/>
                <w:sz w:val="21"/>
              </w:rPr>
            </m:ctrlPr>
          </m:sSubPr>
          <m:e>
            <m:r>
              <m:rPr/>
              <w:rPr>
                <w:rFonts w:hint="default" w:ascii="Cambria Math" w:hAnsi="Cambria Math" w:eastAsia="宋体"/>
                <w:sz w:val="21"/>
              </w:rPr>
              <m:t>A</m:t>
            </m:r>
            <m:ctrlPr>
              <w:rPr>
                <w:rFonts w:ascii="Cambria Math" w:hAnsi="Cambria Math" w:eastAsia="宋体"/>
                <w:sz w:val="21"/>
              </w:rPr>
            </m:ctrlPr>
          </m:e>
          <m:sub>
            <m:r>
              <m:rPr/>
              <w:rPr>
                <w:rFonts w:hint="default" w:ascii="Cambria Math" w:hAnsi="Cambria Math" w:eastAsia="宋体"/>
                <w:sz w:val="21"/>
              </w:rPr>
              <m:t>Concat</m:t>
            </m:r>
            <m:ctrlPr>
              <w:rPr>
                <w:rFonts w:ascii="Cambria Math" w:hAnsi="Cambria Math" w:eastAsia="宋体"/>
                <w:sz w:val="21"/>
              </w:rPr>
            </m:ctrlPr>
          </m:sub>
        </m:sSub>
      </m:oMath>
      <w:r>
        <w:rPr>
          <w:rFonts w:hint="eastAsia" w:ascii="Times New Roman" w:hAnsi="Times New Roman" w:eastAsia="宋体" w:cs="Times New Roman"/>
          <w:kern w:val="2"/>
          <w:sz w:val="21"/>
          <w:szCs w:val="24"/>
          <w:lang w:val="en-US" w:eastAsia="zh-CN" w:bidi="ar-SA"/>
        </w:rPr>
        <w:t>（0.925），说明模型成功识别出该任务对专家文本知识的高度依赖，从而赋予文本模态更高的权重以提取隐含的毒理学因果链条。关于各任务在交叉注意力层中具体的模态权重倾向，将在 3.3.3 可视化分析中进一步探讨。</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3987800" cy="1607820"/>
            <wp:effectExtent l="0" t="0" r="5080" b="762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0"/>
                    <a:stretch>
                      <a:fillRect/>
                    </a:stretch>
                  </pic:blipFill>
                  <pic:spPr>
                    <a:xfrm>
                      <a:off x="0" y="0"/>
                      <a:ext cx="3987800" cy="1607820"/>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3135630" cy="1863725"/>
            <wp:effectExtent l="0" t="0" r="3810" b="1079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3135630" cy="186372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5C04042C">
      <w:pPr>
        <w:bidi w:val="0"/>
        <w:rPr>
          <w:rFonts w:hint="eastAsia"/>
          <w:lang w:val="en-US" w:eastAsia="zh-CN"/>
        </w:rPr>
      </w:pPr>
      <w:r>
        <w:rPr>
          <w:rFonts w:hint="eastAsia"/>
          <w:lang w:val="en-US" w:eastAsia="zh-CN"/>
        </w:rPr>
        <w:t>为了进一步解释不同模态对特定分子性质预测任务的贡献，本文分析了XXX模型学习的注意力权重矩阵，如图X所示。图中横轴代表不同的分子性质预测任务，纵轴代表四种输入模态，颜色的深浅直观反映了该模态在特定任务中的重要性贡献度（权重值越大，颜色越深）。. 根据权重图可以得出在物理性质任务中的结构模态起主导效应，具体的说在预测分子的物理化学性质时，模型表现出对拓扑结构的高度依赖。在 FreeSolv（溶剂化自由能）和 ESOL（水溶性）任务中，Graph 模态的权重分别高达 0.40 和 0.39，显著高于其他模态。这与化学直觉高度一致。分子的溶解能力和能量状态主要由其分子骨架的拓扑连接及原子间的空间排布决定。本文所使用的Graphormer图神经网络提取的显式结构特征在此类任务中提供了最核心的判别依据，起到了“语义锚点”的作用。值得注意的是，在 Lipo（亲脂性）任务中，Fingerprint获得了最高的权重 0.38，甚至超过了 Graph。这是因为亲脂性与分子中特定的疏水/亲水官能团数量呈强线性相关，而基于统计计数的分子指纹恰好擅长捕获此类特征。</w:t>
      </w:r>
    </w:p>
    <w:p w14:paraId="2331043D">
      <w:pPr>
        <w:bidi w:val="0"/>
        <w:rPr>
          <w:rFonts w:hint="eastAsia"/>
          <w:lang w:val="en-US" w:eastAsia="zh-CN"/>
        </w:rPr>
      </w:pPr>
      <w:r>
        <w:rPr>
          <w:rFonts w:hint="eastAsia"/>
          <w:lang w:val="en-US" w:eastAsia="zh-CN"/>
        </w:rPr>
        <w:t>另一方面权重图中也体现了知识增强在生物药理任务中的突破，与物理任务形成鲜明对比的是，在涉及复杂生物相互作用的任务中，模型自动学会了依赖专家知识。在 Sider（副作用预测）、ClinTox（临床毒性）和 Tox21 任务中，文本模态的权重出现了显著跃升，分别为 0.38、0.36 和 0.32。这是因为副作用和毒性往往难以仅从分子结构中直接推断，但通常在文献或专家描述中有明确记载（例如“该结构可能导致心脏毒性”）。此时，经过 LLM 重写并注入了 12 项理化性质的文本模态成为了关键的信息源。模型给予文本模态高权重，证明了本文提出的“知识增强”策略成功地将非结构化的药理知识转化为了可被模型利用的特征，弥补了纯结构视角的盲区。</w:t>
      </w:r>
    </w:p>
    <w:p w14:paraId="2E799103">
      <w:pPr>
        <w:bidi w:val="0"/>
        <w:rPr>
          <w:rFonts w:hint="eastAsia"/>
          <w:lang w:val="en-US" w:eastAsia="zh-CN"/>
        </w:rPr>
      </w:pPr>
      <w:r>
        <w:rPr>
          <w:rFonts w:hint="eastAsia"/>
          <w:lang w:val="en-US" w:eastAsia="zh-CN"/>
        </w:rPr>
        <w:t>最后权重图体现了序列模态的稳健补充作用，SMILES 模态在所有 9 个任务中的权重分布呈现出高度的稳定性，维持在 0.18 - 0.24 的区间内。作为分子的线性化表征，SMILES 虽然在某些特定任务上不如 Graph 直观或 Text 深刻，但它提供了一种独特的序列视角，能够捕获图网络可能遗漏的长程依赖信息。这种“平稳输出”的特性使其成为了多模态融合中的“稳定器”，确保模型在任何任务中都不会因单一模态的缺失或噪声而失效。</w:t>
      </w:r>
    </w:p>
    <w:p w14:paraId="0C38684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4785" cy="2315210"/>
            <wp:effectExtent l="0" t="0" r="8255" b="1270"/>
            <wp:docPr id="3" name="图片 3" descr="attention_heatmap_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ttention_heatmap_final"/>
                    <pic:cNvPicPr>
                      <a:picLocks noChangeAspect="1"/>
                    </pic:cNvPicPr>
                  </pic:nvPicPr>
                  <pic:blipFill>
                    <a:blip r:embed="rId12"/>
                    <a:stretch>
                      <a:fillRect/>
                    </a:stretch>
                  </pic:blipFill>
                  <pic:spPr>
                    <a:xfrm>
                      <a:off x="0" y="0"/>
                      <a:ext cx="5264785" cy="2315210"/>
                    </a:xfrm>
                    <a:prstGeom prst="rect">
                      <a:avLst/>
                    </a:prstGeom>
                  </pic:spPr>
                </pic:pic>
              </a:graphicData>
            </a:graphic>
          </wp:inline>
        </w:drawing>
      </w:r>
    </w:p>
    <w:p w14:paraId="275EA6C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b/>
          <w:bCs/>
          <w:color w:val="FF0000"/>
          <w:lang w:val="en-US" w:eastAsia="zh-CN"/>
        </w:rPr>
      </w:pPr>
      <w:r>
        <w:rPr>
          <w:rFonts w:hint="eastAsia"/>
          <w:b/>
          <w:bCs/>
          <w:color w:val="FF0000"/>
          <w:lang w:val="en-US" w:eastAsia="zh-CN"/>
        </w:rPr>
        <w:t>增加一个预训练和没有预训练的一个图</w:t>
      </w:r>
    </w:p>
    <w:p w14:paraId="0A4F278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b/>
          <w:bCs/>
          <w:color w:val="FF0000"/>
          <w:lang w:val="en-US" w:eastAsia="zh-CN"/>
        </w:rPr>
      </w:pPr>
      <w:r>
        <w:rPr>
          <w:rFonts w:hint="default"/>
          <w:b/>
          <w:bCs/>
          <w:color w:val="FF0000"/>
          <w:lang w:val="en-US" w:eastAsia="zh-CN"/>
        </w:rPr>
        <w:drawing>
          <wp:inline distT="0" distB="0" distL="114300" distR="114300">
            <wp:extent cx="2047240" cy="1638300"/>
            <wp:effectExtent l="0" t="0" r="10160" b="7620"/>
            <wp:docPr id="14" name="图片 14" descr="bbbp_real_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bbbp_real_space"/>
                    <pic:cNvPicPr>
                      <a:picLocks noChangeAspect="1"/>
                    </pic:cNvPicPr>
                  </pic:nvPicPr>
                  <pic:blipFill>
                    <a:blip r:embed="rId13"/>
                    <a:stretch>
                      <a:fillRect/>
                    </a:stretch>
                  </pic:blipFill>
                  <pic:spPr>
                    <a:xfrm>
                      <a:off x="0" y="0"/>
                      <a:ext cx="2047240" cy="163830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30332FF4">
      <w:pPr>
        <w:rPr>
          <w:rFonts w:hint="default"/>
          <w:lang w:val="en-US" w:eastAsia="zh-CN"/>
        </w:rPr>
      </w:pPr>
      <w:r>
        <w:rPr>
          <w:rFonts w:hint="default"/>
          <w:lang w:val="en-US" w:eastAsia="zh-CN"/>
        </w:rPr>
        <w:t xml:space="preserve">为了验证模型在不同超参数设置下的鲁棒性，并探究核心超参数对对比学习性能的影响规律，本节选取了对比损失函数中的温度系数 </w:t>
      </w:r>
      <m:oMath>
        <m:r>
          <m:rPr/>
          <w:rPr>
            <w:rFonts w:hint="default" w:ascii="Cambria Math"/>
          </w:rPr>
          <m:t>τ</m:t>
        </m:r>
      </m:oMath>
      <w:r>
        <w:rPr>
          <w:rFonts w:hint="default"/>
          <w:lang w:val="en-US" w:eastAsia="zh-CN"/>
        </w:rPr>
        <w:t xml:space="preserve"> (Temperature Coefficient) 进行敏感性实验。实验在 ClinTox 和 BBBP 两个代表性数据集上进行，其他训练参数保持不变。1. 温度系数 $\tau$ 的影响分析温度系数 </w:t>
      </w:r>
      <m:oMath>
        <m:r>
          <m:rPr/>
          <w:rPr>
            <w:rFonts w:hint="default" w:ascii="Cambria Math"/>
          </w:rPr>
          <m:t>τ</m:t>
        </m:r>
      </m:oMath>
      <w:r>
        <w:rPr>
          <w:rFonts w:hint="default"/>
          <w:lang w:val="en-US" w:eastAsia="zh-CN"/>
        </w:rPr>
        <w:t xml:space="preserve"> 在 NT-Xent 损失函数中起着调节负样本梯度的关键作用。图 3-X 展示了模型性能随 </w:t>
      </w:r>
      <m:oMath>
        <m:r>
          <m:rPr/>
          <w:rPr>
            <w:rFonts w:hint="default" w:ascii="Cambria Math"/>
          </w:rPr>
          <m:t>τ</m:t>
        </m:r>
      </m:oMath>
      <w:r>
        <w:rPr>
          <w:rFonts w:hint="default"/>
          <w:lang w:val="en-US" w:eastAsia="zh-CN"/>
        </w:rPr>
        <w:t>值（取值范围</w:t>
      </w:r>
      <m:oMath>
        <m:r>
          <m:rPr/>
          <w:rPr>
            <w:rFonts w:hint="default" w:ascii="Cambria Math"/>
          </w:rPr>
          <m:t>{0.05,0.1,0.2,0.5,1.0}</m:t>
        </m:r>
      </m:oMath>
      <w:r>
        <w:rPr>
          <w:rFonts w:hint="default"/>
          <w:lang w:val="en-US" w:eastAsia="zh-CN"/>
        </w:rPr>
        <w:t xml:space="preserve">）的变化曲线。从图中可以观察到明显的“倒 U 型”趋势，具体分析如下：过小的 </w:t>
      </w:r>
      <m:oMath>
        <m:r>
          <m:rPr/>
          <w:rPr>
            <w:rFonts w:hint="default" w:ascii="Cambria Math"/>
          </w:rPr>
          <m:t>τ</m:t>
        </m:r>
      </m:oMath>
      <w:r>
        <w:rPr>
          <w:rFonts w:hint="default"/>
          <w:lang w:val="en-US" w:eastAsia="zh-CN"/>
        </w:rPr>
        <w:t xml:space="preserve"> (0.05)：当温度系数过小时，Softmax 分布变得极度尖锐，模型过度关注少量极其困难的负样本（Hard Negatives）。这虽然能提供强梯度的监督信号，但容易引入潜在的假阴性样本噪声，导致优化过程不稳定，模型性能出现显著下降（ClinTox AUROC 降至 0.89 左右）。过大的 </w:t>
      </w:r>
      <m:oMath>
        <m:r>
          <m:rPr/>
          <w:rPr>
            <w:rFonts w:hint="default" w:ascii="Cambria Math"/>
          </w:rPr>
          <m:t>τ</m:t>
        </m:r>
      </m:oMath>
      <w:r>
        <w:rPr>
          <w:rFonts w:hint="default"/>
          <w:lang w:val="en-US" w:eastAsia="zh-CN"/>
        </w:rPr>
        <w:t xml:space="preserve"> (0.5 - 1.0)：随着温度系数增大，分布趋于平滑，模型对不同负样本的区分能力减弱。当 </w:t>
      </w:r>
      <m:oMath>
        <m:r>
          <m:rPr/>
          <w:rPr>
            <w:rFonts w:hint="default" w:ascii="Cambria Math"/>
          </w:rPr>
          <m:t>τ=1.0</m:t>
        </m:r>
      </m:oMath>
      <w:r>
        <w:rPr>
          <w:rFonts w:hint="default"/>
          <w:lang w:val="en-US" w:eastAsia="zh-CN"/>
        </w:rPr>
        <w:t xml:space="preserve"> 时，模型实际上是在同等程度地惩罚所有非匹配样本，失去了挖掘难样本的能力，导致特征空间的判别性降低，性能随之衰减。最优区间 (0.1 - 0.2)：实验结果表明，当 </w:t>
      </w:r>
      <m:oMath>
        <m:r>
          <m:rPr/>
          <w:rPr>
            <w:rFonts w:hint="default" w:ascii="Cambria Math"/>
          </w:rPr>
          <m:t>τ</m:t>
        </m:r>
      </m:oMath>
      <w:r>
        <w:rPr>
          <w:rFonts w:hint="default"/>
          <w:lang w:val="en-US" w:eastAsia="zh-CN"/>
        </w:rPr>
        <w:t xml:space="preserve">设定在 0.1 至 0.2 之间时，模型取得了最佳的预测性能。在此区间内，模型在挖掘难样本与保持训练稳定性之间达到了平衡，能够学习到既具有区分度又具备泛化能力的分子表征。因此，本研究在所有后续实验中均将 </w:t>
      </w:r>
      <m:oMath>
        <m:r>
          <m:rPr/>
          <w:rPr>
            <w:rFonts w:hint="default" w:ascii="Cambria Math"/>
          </w:rPr>
          <m:t>τ</m:t>
        </m:r>
      </m:oMath>
      <w:r>
        <w:rPr>
          <w:rFonts w:hint="default"/>
          <w:lang w:val="en-US" w:eastAsia="zh-CN"/>
        </w:rPr>
        <w:t xml:space="preserve"> 默认设置为 0.1。</w:t>
      </w:r>
    </w:p>
    <w:p w14:paraId="20BC0539">
      <w:pPr>
        <w:rPr>
          <w:rFonts w:hint="default"/>
          <w:lang w:val="en-US" w:eastAsia="zh-CN"/>
        </w:rPr>
      </w:pPr>
      <w:r>
        <w:drawing>
          <wp:inline distT="0" distB="0" distL="114300" distR="114300">
            <wp:extent cx="5269865" cy="3895725"/>
            <wp:effectExtent l="0" t="0" r="3175" b="571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4"/>
                    <a:stretch>
                      <a:fillRect/>
                    </a:stretch>
                  </pic:blipFill>
                  <pic:spPr>
                    <a:xfrm>
                      <a:off x="0" y="0"/>
                      <a:ext cx="5269865" cy="3895725"/>
                    </a:xfrm>
                    <a:prstGeom prst="rect">
                      <a:avLst/>
                    </a:prstGeom>
                    <a:noFill/>
                    <a:ln>
                      <a:noFill/>
                    </a:ln>
                  </pic:spPr>
                </pic:pic>
              </a:graphicData>
            </a:graphic>
          </wp:inline>
        </w:drawing>
      </w:r>
    </w:p>
    <w:p w14:paraId="6CE8FE9F">
      <w:pPr>
        <w:pStyle w:val="3"/>
        <w:bidi w:val="0"/>
        <w:rPr>
          <w:rFonts w:hint="default"/>
          <w:lang w:val="en-US" w:eastAsia="zh-CN"/>
        </w:rPr>
      </w:pPr>
      <w:r>
        <w:rPr>
          <w:rFonts w:hint="eastAsia"/>
          <w:lang w:val="en-US" w:eastAsia="zh-CN"/>
        </w:rPr>
        <w:t>本章小结</w:t>
      </w:r>
    </w:p>
    <w:p w14:paraId="2AF39311">
      <w:pPr>
        <w:rPr>
          <w:rFonts w:hint="default"/>
          <w:lang w:val="en-US" w:eastAsia="zh-CN"/>
        </w:rPr>
      </w:pPr>
      <w:r>
        <w:rPr>
          <w:rFonts w:hint="default"/>
          <w:lang w:val="en-US" w:eastAsia="zh-CN"/>
        </w:rPr>
        <w:t>本章系统阐述了一种基于图对齐与知识增强的多模态分子性质预测框架。针对现有方法在异构数据融合及语义鸿沟跨越方面的局限性，本章首先构建了包含图、序列、指纹及文本的四维模态表征体系。特别是在文本模态处理上，创新性地设计了“知识重写流水线”，利用大语言模型将非结构化的药理描述与定量的理化性质有机融合，为模型注入了高密度的专家先验知识。在模型训练层面，提出了以分子图为核心的对比学习预训练策略，并引入基于同方差不确定性的动态加权机制，有效解决了多任务场景下的模态噪声干扰与梯度冲突问题。</w:t>
      </w:r>
    </w:p>
    <w:p w14:paraId="61CD5E04">
      <w:pPr>
        <w:rPr>
          <w:rFonts w:hint="default"/>
          <w:lang w:val="en-US" w:eastAsia="zh-CN"/>
        </w:rPr>
      </w:pPr>
      <w:r>
        <w:rPr>
          <w:rFonts w:hint="default"/>
          <w:lang w:val="en-US" w:eastAsia="zh-CN"/>
        </w:rPr>
        <w:t>为了全面验证所提方法的有效性，本章在 MoleculeNet 的 9 个基准数据集上开展了多维度的实证研究。对比实验结果表明，该模型在 BACE、ClinTox 等分类任务及 FreeSolv 等回归任务上均取得了优于当前主流基准（如 CMPNN、MoleculeSTM）的预测性能。随后的消融实验定量解析了各输入模态的边际贡献，证实了交叉注意力机制在特征融合阶段优于简单拼接策略。</w:t>
      </w:r>
      <w:r>
        <w:rPr>
          <w:rFonts w:hint="default"/>
          <w:color w:val="E54C5E" w:themeColor="accent6"/>
          <w:lang w:val="en-US" w:eastAsia="zh-CN"/>
          <w14:textFill>
            <w14:solidFill>
              <w14:schemeClr w14:val="accent6"/>
            </w14:solidFill>
          </w14:textFill>
        </w:rPr>
        <w:t>此外，通过多模态注意力热图与 t-SNE 特征空间可视化分析，直观揭示了模型在面对物理化学性质与生物药理活性任务时展现出的任务驱动型模态偏好，以及将混沌特征空间重构为线性可分簇的能力</w:t>
      </w:r>
      <w:r>
        <w:rPr>
          <w:rFonts w:hint="default"/>
          <w:lang w:val="en-US" w:eastAsia="zh-CN"/>
        </w:rPr>
        <w:t>。最后，参数敏感性分析验证了模型核心超参数的鲁棒性。</w:t>
      </w:r>
    </w:p>
    <w:p w14:paraId="22A99C8D">
      <w:pPr>
        <w:rPr>
          <w:rFonts w:hint="default"/>
          <w:lang w:val="en-US" w:eastAsia="zh-CN"/>
        </w:rPr>
      </w:pPr>
    </w:p>
    <w:p w14:paraId="20C91683">
      <w:pPr>
        <w:rPr>
          <w:rFonts w:hint="default"/>
          <w:lang w:val="en-US" w:eastAsia="zh-CN"/>
        </w:rPr>
      </w:pPr>
      <w:r>
        <w:rPr>
          <w:rFonts w:hint="default"/>
          <w:lang w:val="en-US" w:eastAsia="zh-CN"/>
        </w:rPr>
        <w:t>综上所述，本章提出的方法不仅在预测精度上刷新了多项记录，更在模型的可解释性与泛化能力上取得了显著突破，为后续的药物分子筛选与优化提供了可靠的计算工具。</w:t>
      </w:r>
    </w:p>
    <w:p w14:paraId="0DF19E9A">
      <w:pPr>
        <w:rPr>
          <w:rFonts w:hint="default"/>
          <w:lang w:val="en-US" w:eastAsia="zh-CN"/>
        </w:rPr>
      </w:pPr>
    </w:p>
    <w:p w14:paraId="56729DB7">
      <w:pPr>
        <w:rPr>
          <w:rFonts w:hint="default"/>
          <w:lang w:val="en-US" w:eastAsia="zh-CN"/>
        </w:rPr>
      </w:pPr>
    </w:p>
    <w:p w14:paraId="1D5CBAC7">
      <w:pPr>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MS Mincho">
    <w:altName w:val="Euphorigenic"/>
    <w:panose1 w:val="00000000000000000000"/>
    <w:charset w:val="00"/>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B3329"/>
    <w:multiLevelType w:val="singleLevel"/>
    <w:tmpl w:val="86FB3329"/>
    <w:lvl w:ilvl="0" w:tentative="0">
      <w:start w:val="1"/>
      <w:numFmt w:val="decimal"/>
      <w:lvlText w:val="%1."/>
      <w:lvlJc w:val="left"/>
      <w:pPr>
        <w:tabs>
          <w:tab w:val="left" w:pos="312"/>
        </w:tabs>
      </w:p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1BCBA1BC"/>
    <w:multiLevelType w:val="singleLevel"/>
    <w:tmpl w:val="1BCBA1BC"/>
    <w:lvl w:ilvl="0" w:tentative="0">
      <w:start w:val="1"/>
      <w:numFmt w:val="decimal"/>
      <w:suff w:val="space"/>
      <w:lvlText w:val="%1."/>
      <w:lvlJc w:val="left"/>
    </w:lvl>
  </w:abstractNum>
  <w:abstractNum w:abstractNumId="3">
    <w:nsid w:val="3139FD21"/>
    <w:multiLevelType w:val="multilevel"/>
    <w:tmpl w:val="3139FD21"/>
    <w:lvl w:ilvl="0" w:tentative="0">
      <w:start w:val="1"/>
      <w:numFmt w:val="decimal"/>
      <w:pStyle w:val="26"/>
      <w:suff w:val="space"/>
      <w:lvlText w:val="%1、"/>
      <w:lvlJc w:val="left"/>
      <w:pPr>
        <w:tabs>
          <w:tab w:val="left" w:pos="420"/>
        </w:tabs>
        <w:ind w:left="0" w:firstLine="0"/>
      </w:pPr>
      <w:rPr>
        <w:rFonts w:hint="default"/>
      </w:rPr>
    </w:lvl>
    <w:lvl w:ilvl="1" w:tentative="0">
      <w:start w:val="1"/>
      <w:numFmt w:val="decimal"/>
      <w:pStyle w:val="24"/>
      <w:isLgl/>
      <w:suff w:val="space"/>
      <w:lvlText w:val="%2.1"/>
      <w:lvlJc w:val="left"/>
      <w:pPr>
        <w:tabs>
          <w:tab w:val="left" w:pos="0"/>
        </w:tabs>
        <w:ind w:left="851" w:firstLine="0"/>
      </w:pPr>
      <w:rPr>
        <w:rFonts w:hint="default"/>
      </w:rPr>
    </w:lvl>
    <w:lvl w:ilvl="2" w:tentative="0">
      <w:start w:val="1"/>
      <w:numFmt w:val="decimal"/>
      <w:pStyle w:val="27"/>
      <w:isLgl/>
      <w:lvlText w:val="%2.%3.1"/>
      <w:lvlJc w:val="left"/>
      <w:pPr>
        <w:tabs>
          <w:tab w:val="left" w:pos="420"/>
        </w:tabs>
        <w:ind w:left="0" w:firstLine="0"/>
      </w:pPr>
      <w:rPr>
        <w:rFonts w:hint="eastAsia"/>
      </w:rPr>
    </w:lvl>
    <w:lvl w:ilvl="3" w:tentative="0">
      <w:start w:val="1"/>
      <w:numFmt w:val="decimal"/>
      <w:pStyle w:val="28"/>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4">
    <w:nsid w:val="7E5371A9"/>
    <w:multiLevelType w:val="multilevel"/>
    <w:tmpl w:val="7E5371A9"/>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0"/>
        </w:tabs>
        <w:ind w:left="0" w:leftChars="0" w:firstLine="0" w:firstLineChars="0"/>
      </w:pPr>
      <w:rPr>
        <w:rFonts w:hint="default"/>
      </w:rPr>
    </w:lvl>
    <w:lvl w:ilvl="3" w:tentative="0">
      <w:start w:val="1"/>
      <w:numFmt w:val="decimal"/>
      <w:pStyle w:val="5"/>
      <w:isLgl/>
      <w:lvlText w:val="%1.%2.%3.%4"/>
      <w:lvlJc w:val="left"/>
      <w:pPr>
        <w:tabs>
          <w:tab w:val="left" w:pos="0"/>
        </w:tabs>
        <w:ind w:left="0" w:leftChars="0" w:firstLine="0" w:firstLineChars="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5FB4"/>
    <w:rsid w:val="01150B21"/>
    <w:rsid w:val="018502B5"/>
    <w:rsid w:val="01DB1C83"/>
    <w:rsid w:val="01F64D0F"/>
    <w:rsid w:val="03AE3AF3"/>
    <w:rsid w:val="0433224A"/>
    <w:rsid w:val="05A849B2"/>
    <w:rsid w:val="064F49ED"/>
    <w:rsid w:val="06510766"/>
    <w:rsid w:val="06B62CBE"/>
    <w:rsid w:val="06E11AE9"/>
    <w:rsid w:val="071E0F8F"/>
    <w:rsid w:val="07677AD1"/>
    <w:rsid w:val="07754928"/>
    <w:rsid w:val="08155C5D"/>
    <w:rsid w:val="08805332"/>
    <w:rsid w:val="08CE2541"/>
    <w:rsid w:val="08EE4992"/>
    <w:rsid w:val="0935611C"/>
    <w:rsid w:val="093D1475"/>
    <w:rsid w:val="0958005D"/>
    <w:rsid w:val="0A0B19C3"/>
    <w:rsid w:val="0A4C7BC2"/>
    <w:rsid w:val="0ABF0394"/>
    <w:rsid w:val="0B04049C"/>
    <w:rsid w:val="0B6B22C9"/>
    <w:rsid w:val="0BD64449"/>
    <w:rsid w:val="0BFF569C"/>
    <w:rsid w:val="0C965756"/>
    <w:rsid w:val="0CDC2ACA"/>
    <w:rsid w:val="0D9773A6"/>
    <w:rsid w:val="0E6A3D66"/>
    <w:rsid w:val="0E807E3A"/>
    <w:rsid w:val="0EC8358F"/>
    <w:rsid w:val="0ED168E7"/>
    <w:rsid w:val="0F503503"/>
    <w:rsid w:val="0F7C2CF7"/>
    <w:rsid w:val="0FC95811"/>
    <w:rsid w:val="10596B94"/>
    <w:rsid w:val="10D475A4"/>
    <w:rsid w:val="11380C28"/>
    <w:rsid w:val="118A0FD0"/>
    <w:rsid w:val="11BF6ECB"/>
    <w:rsid w:val="11CC3396"/>
    <w:rsid w:val="120548F1"/>
    <w:rsid w:val="1212349F"/>
    <w:rsid w:val="12CF0C0F"/>
    <w:rsid w:val="13313DF9"/>
    <w:rsid w:val="13741F37"/>
    <w:rsid w:val="13BE388E"/>
    <w:rsid w:val="13D86F0D"/>
    <w:rsid w:val="144B713C"/>
    <w:rsid w:val="14667AD2"/>
    <w:rsid w:val="14681A9C"/>
    <w:rsid w:val="146944C2"/>
    <w:rsid w:val="14E37374"/>
    <w:rsid w:val="150C0679"/>
    <w:rsid w:val="15CF1017"/>
    <w:rsid w:val="1666772B"/>
    <w:rsid w:val="16721235"/>
    <w:rsid w:val="16EE3830"/>
    <w:rsid w:val="17887D5F"/>
    <w:rsid w:val="17F65611"/>
    <w:rsid w:val="191915B7"/>
    <w:rsid w:val="19197809"/>
    <w:rsid w:val="1A9B7C43"/>
    <w:rsid w:val="1B593EEC"/>
    <w:rsid w:val="1BCA6B98"/>
    <w:rsid w:val="1BDB2F6A"/>
    <w:rsid w:val="1C884062"/>
    <w:rsid w:val="1D37025D"/>
    <w:rsid w:val="1D8B05A9"/>
    <w:rsid w:val="1F3F2EA1"/>
    <w:rsid w:val="1F5E18DF"/>
    <w:rsid w:val="1F7F074A"/>
    <w:rsid w:val="1FCF02AE"/>
    <w:rsid w:val="1FE673DA"/>
    <w:rsid w:val="202645B9"/>
    <w:rsid w:val="20DB53A4"/>
    <w:rsid w:val="20F01385"/>
    <w:rsid w:val="21423675"/>
    <w:rsid w:val="214E0CB3"/>
    <w:rsid w:val="220925C6"/>
    <w:rsid w:val="220A5F40"/>
    <w:rsid w:val="222A07C5"/>
    <w:rsid w:val="22F9340A"/>
    <w:rsid w:val="23E876FD"/>
    <w:rsid w:val="23F97868"/>
    <w:rsid w:val="25641E0C"/>
    <w:rsid w:val="257A162F"/>
    <w:rsid w:val="25853B30"/>
    <w:rsid w:val="259D70CC"/>
    <w:rsid w:val="260E3B25"/>
    <w:rsid w:val="264D3A61"/>
    <w:rsid w:val="26C2328E"/>
    <w:rsid w:val="26FB67A0"/>
    <w:rsid w:val="272924A0"/>
    <w:rsid w:val="27866B9F"/>
    <w:rsid w:val="27B32BD6"/>
    <w:rsid w:val="27E71EA9"/>
    <w:rsid w:val="27F60D15"/>
    <w:rsid w:val="289E73E3"/>
    <w:rsid w:val="28EA6ACC"/>
    <w:rsid w:val="292A511A"/>
    <w:rsid w:val="29DF5F05"/>
    <w:rsid w:val="29FA6504"/>
    <w:rsid w:val="2BCC4267"/>
    <w:rsid w:val="2C536B29"/>
    <w:rsid w:val="2C5F332D"/>
    <w:rsid w:val="2C7072E8"/>
    <w:rsid w:val="2C906D58"/>
    <w:rsid w:val="2CCD473A"/>
    <w:rsid w:val="2CEB4BC0"/>
    <w:rsid w:val="2CFA0444"/>
    <w:rsid w:val="2CFE5A0D"/>
    <w:rsid w:val="2D577A9F"/>
    <w:rsid w:val="2D984BB1"/>
    <w:rsid w:val="2DF45CF7"/>
    <w:rsid w:val="2E0F77BA"/>
    <w:rsid w:val="2F917CA1"/>
    <w:rsid w:val="2FBA3380"/>
    <w:rsid w:val="2FBC06DB"/>
    <w:rsid w:val="2FC5794B"/>
    <w:rsid w:val="2FD656B4"/>
    <w:rsid w:val="2FFE2E5D"/>
    <w:rsid w:val="303F594F"/>
    <w:rsid w:val="30586A11"/>
    <w:rsid w:val="32220E91"/>
    <w:rsid w:val="333077D1"/>
    <w:rsid w:val="34B61F58"/>
    <w:rsid w:val="34CE2DFE"/>
    <w:rsid w:val="34D92233"/>
    <w:rsid w:val="34DF14AF"/>
    <w:rsid w:val="3575596F"/>
    <w:rsid w:val="35EA1EB9"/>
    <w:rsid w:val="361433DA"/>
    <w:rsid w:val="36401AD9"/>
    <w:rsid w:val="36794FEB"/>
    <w:rsid w:val="36A75037"/>
    <w:rsid w:val="37841E99"/>
    <w:rsid w:val="381F1BC2"/>
    <w:rsid w:val="38F17A02"/>
    <w:rsid w:val="39025256"/>
    <w:rsid w:val="39551D3F"/>
    <w:rsid w:val="3963760F"/>
    <w:rsid w:val="39B30BBC"/>
    <w:rsid w:val="39FE4A9D"/>
    <w:rsid w:val="3A39340F"/>
    <w:rsid w:val="3AA30888"/>
    <w:rsid w:val="3AB94550"/>
    <w:rsid w:val="3B40257B"/>
    <w:rsid w:val="3B7566C9"/>
    <w:rsid w:val="3BA7755B"/>
    <w:rsid w:val="3BB16FD5"/>
    <w:rsid w:val="3BDD426E"/>
    <w:rsid w:val="3D143CBF"/>
    <w:rsid w:val="3D2B25F8"/>
    <w:rsid w:val="3D6119C4"/>
    <w:rsid w:val="3DA94408"/>
    <w:rsid w:val="3E047E0A"/>
    <w:rsid w:val="3E4800C5"/>
    <w:rsid w:val="3F0F0BE2"/>
    <w:rsid w:val="3F12422F"/>
    <w:rsid w:val="3F32042D"/>
    <w:rsid w:val="3FC65745"/>
    <w:rsid w:val="40BB2DD0"/>
    <w:rsid w:val="40E90FBF"/>
    <w:rsid w:val="41F12821"/>
    <w:rsid w:val="42694565"/>
    <w:rsid w:val="427B20EB"/>
    <w:rsid w:val="431F0E8B"/>
    <w:rsid w:val="436D237B"/>
    <w:rsid w:val="43C26152"/>
    <w:rsid w:val="44044A8E"/>
    <w:rsid w:val="440C3157"/>
    <w:rsid w:val="44444E8A"/>
    <w:rsid w:val="44D426B2"/>
    <w:rsid w:val="44E80FE1"/>
    <w:rsid w:val="455A06DD"/>
    <w:rsid w:val="45837C34"/>
    <w:rsid w:val="45B352DC"/>
    <w:rsid w:val="45CB21F7"/>
    <w:rsid w:val="45CF4C28"/>
    <w:rsid w:val="45ED3300"/>
    <w:rsid w:val="482F17FF"/>
    <w:rsid w:val="48A77906"/>
    <w:rsid w:val="490E6F34"/>
    <w:rsid w:val="49217DF9"/>
    <w:rsid w:val="4941408E"/>
    <w:rsid w:val="494D47E1"/>
    <w:rsid w:val="49D96075"/>
    <w:rsid w:val="4AB34B18"/>
    <w:rsid w:val="4AE03433"/>
    <w:rsid w:val="4AE41175"/>
    <w:rsid w:val="4B8204BE"/>
    <w:rsid w:val="4C4507B6"/>
    <w:rsid w:val="4C63256E"/>
    <w:rsid w:val="4D551EB6"/>
    <w:rsid w:val="4D8B14D9"/>
    <w:rsid w:val="4DB33B09"/>
    <w:rsid w:val="4EBB21ED"/>
    <w:rsid w:val="4F1813ED"/>
    <w:rsid w:val="4F576D80"/>
    <w:rsid w:val="4FA30A16"/>
    <w:rsid w:val="509947B0"/>
    <w:rsid w:val="50AF18DD"/>
    <w:rsid w:val="525C3CE7"/>
    <w:rsid w:val="528E3D51"/>
    <w:rsid w:val="530E3233"/>
    <w:rsid w:val="53D55AFF"/>
    <w:rsid w:val="546B0211"/>
    <w:rsid w:val="55844E99"/>
    <w:rsid w:val="55B44A7B"/>
    <w:rsid w:val="560E70A6"/>
    <w:rsid w:val="572D5C52"/>
    <w:rsid w:val="583B7EFB"/>
    <w:rsid w:val="58B061F7"/>
    <w:rsid w:val="58BA1CEE"/>
    <w:rsid w:val="58C16652"/>
    <w:rsid w:val="59576FB6"/>
    <w:rsid w:val="5A3B2CC9"/>
    <w:rsid w:val="5B305D11"/>
    <w:rsid w:val="5B4F0B23"/>
    <w:rsid w:val="5B4F731A"/>
    <w:rsid w:val="5B993B5A"/>
    <w:rsid w:val="5BD668B8"/>
    <w:rsid w:val="5BF907F8"/>
    <w:rsid w:val="5C2C0286"/>
    <w:rsid w:val="5C983B6D"/>
    <w:rsid w:val="5D814602"/>
    <w:rsid w:val="5D9A3915"/>
    <w:rsid w:val="5DF254FF"/>
    <w:rsid w:val="5EA7453C"/>
    <w:rsid w:val="5F573763"/>
    <w:rsid w:val="5F773F0E"/>
    <w:rsid w:val="5FC01AAC"/>
    <w:rsid w:val="6045400C"/>
    <w:rsid w:val="60D1764E"/>
    <w:rsid w:val="611A2DA3"/>
    <w:rsid w:val="61D513C0"/>
    <w:rsid w:val="621C33F7"/>
    <w:rsid w:val="621E4B15"/>
    <w:rsid w:val="634E31D8"/>
    <w:rsid w:val="637C5F97"/>
    <w:rsid w:val="639332E1"/>
    <w:rsid w:val="64F102BF"/>
    <w:rsid w:val="65711400"/>
    <w:rsid w:val="666902A6"/>
    <w:rsid w:val="66D87988"/>
    <w:rsid w:val="68464DC5"/>
    <w:rsid w:val="68E36170"/>
    <w:rsid w:val="692A78CC"/>
    <w:rsid w:val="69502941"/>
    <w:rsid w:val="69D81A4D"/>
    <w:rsid w:val="69F97043"/>
    <w:rsid w:val="6A2373A8"/>
    <w:rsid w:val="6A627569"/>
    <w:rsid w:val="6AAF6C52"/>
    <w:rsid w:val="6C661592"/>
    <w:rsid w:val="6CCA3A1C"/>
    <w:rsid w:val="6CE81FA7"/>
    <w:rsid w:val="6D1F1741"/>
    <w:rsid w:val="6D8A5754"/>
    <w:rsid w:val="6E46167B"/>
    <w:rsid w:val="6E577D47"/>
    <w:rsid w:val="6F170AB2"/>
    <w:rsid w:val="6F455D89"/>
    <w:rsid w:val="6F745D74"/>
    <w:rsid w:val="6F9562E9"/>
    <w:rsid w:val="6FD1766A"/>
    <w:rsid w:val="6FE27182"/>
    <w:rsid w:val="70756248"/>
    <w:rsid w:val="709B2013"/>
    <w:rsid w:val="70AF4C91"/>
    <w:rsid w:val="71267542"/>
    <w:rsid w:val="71706A0F"/>
    <w:rsid w:val="723D2D95"/>
    <w:rsid w:val="7248226E"/>
    <w:rsid w:val="72783DCD"/>
    <w:rsid w:val="72B666A4"/>
    <w:rsid w:val="72EC6569"/>
    <w:rsid w:val="72F21DD2"/>
    <w:rsid w:val="73C51294"/>
    <w:rsid w:val="74C07CAE"/>
    <w:rsid w:val="752E2E69"/>
    <w:rsid w:val="75A803EA"/>
    <w:rsid w:val="764861AD"/>
    <w:rsid w:val="76E2215D"/>
    <w:rsid w:val="771B020D"/>
    <w:rsid w:val="77435AB2"/>
    <w:rsid w:val="78237046"/>
    <w:rsid w:val="78407BB7"/>
    <w:rsid w:val="78533470"/>
    <w:rsid w:val="78BE62B2"/>
    <w:rsid w:val="79921C19"/>
    <w:rsid w:val="79A47B9E"/>
    <w:rsid w:val="7A023EF6"/>
    <w:rsid w:val="7A220727"/>
    <w:rsid w:val="7AFD1314"/>
    <w:rsid w:val="7B1F572E"/>
    <w:rsid w:val="7B95154C"/>
    <w:rsid w:val="7BAE5340"/>
    <w:rsid w:val="7BC23531"/>
    <w:rsid w:val="7CEF576A"/>
    <w:rsid w:val="7DD722F0"/>
    <w:rsid w:val="7E2D1F10"/>
    <w:rsid w:val="7E3E236F"/>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1"/>
    <w:autoRedefine/>
    <w:qFormat/>
    <w:uiPriority w:val="0"/>
    <w:pPr>
      <w:keepNext/>
      <w:keepLines/>
      <w:numPr>
        <w:ilvl w:val="0"/>
        <w:numId w:val="1"/>
      </w:numPr>
      <w:spacing w:line="360" w:lineRule="auto"/>
      <w:ind w:left="0" w:firstLine="0"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2"/>
    <w:autoRedefine/>
    <w:unhideWhenUsed/>
    <w:qFormat/>
    <w:uiPriority w:val="0"/>
    <w:pPr>
      <w:numPr>
        <w:ilvl w:val="1"/>
        <w:numId w:val="1"/>
      </w:numPr>
      <w:spacing w:beforeAutospacing="1" w:afterAutospacing="1" w:line="360" w:lineRule="auto"/>
      <w:ind w:left="0" w:firstLine="0" w:firstLineChars="0"/>
      <w:jc w:val="left"/>
      <w:outlineLvl w:val="1"/>
    </w:pPr>
    <w:rPr>
      <w:rFonts w:ascii="Times New Roman" w:hAnsi="Times New Roman" w:eastAsia="宋体" w:cs="Times New Roman"/>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Times New Roman" w:hAnsi="Times New Roman" w:eastAsia="宋体" w:cs="Times New Roman"/>
      <w:b/>
      <w:kern w:val="0"/>
      <w:sz w:val="24"/>
      <w:szCs w:val="24"/>
      <w:lang w:bidi="ar"/>
    </w:rPr>
  </w:style>
  <w:style w:type="paragraph" w:styleId="5">
    <w:name w:val="heading 4"/>
    <w:basedOn w:val="1"/>
    <w:next w:val="1"/>
    <w:autoRedefine/>
    <w:semiHidden/>
    <w:unhideWhenUsed/>
    <w:qFormat/>
    <w:uiPriority w:val="0"/>
    <w:pPr>
      <w:numPr>
        <w:ilvl w:val="3"/>
        <w:numId w:val="1"/>
      </w:numPr>
      <w:spacing w:before="0" w:beforeAutospacing="1" w:after="0" w:afterAutospacing="1"/>
      <w:ind w:firstLine="0" w:firstLineChars="0"/>
      <w:jc w:val="left"/>
      <w:outlineLvl w:val="3"/>
    </w:pPr>
    <w:rPr>
      <w:rFonts w:hint="eastAsia" w:ascii="宋体" w:hAnsi="宋体" w:eastAsia="宋体" w:cs="宋体"/>
      <w:b/>
      <w:bCs/>
      <w:kern w:val="0"/>
      <w:sz w:val="24"/>
      <w:szCs w:val="24"/>
      <w:lang w:val="en-US" w:eastAsia="zh-CN" w:bidi="ar"/>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TML Code"/>
    <w:basedOn w:val="18"/>
    <w:uiPriority w:val="0"/>
    <w:rPr>
      <w:rFonts w:ascii="Courier New" w:hAnsi="Courier New"/>
      <w:sz w:val="20"/>
    </w:rPr>
  </w:style>
  <w:style w:type="character" w:customStyle="1" w:styleId="21">
    <w:name w:val="标题 1 字符"/>
    <w:link w:val="2"/>
    <w:qFormat/>
    <w:uiPriority w:val="9"/>
    <w:rPr>
      <w:rFonts w:ascii="Times New Roman" w:hAnsi="Times New Roman" w:eastAsia="宋体" w:cs="Times New Roman"/>
      <w:bCs/>
      <w:color w:val="1C1F23"/>
      <w:kern w:val="44"/>
      <w:sz w:val="36"/>
      <w:szCs w:val="24"/>
    </w:rPr>
  </w:style>
  <w:style w:type="character" w:customStyle="1" w:styleId="22">
    <w:name w:val="标题 2 字符"/>
    <w:link w:val="3"/>
    <w:autoRedefine/>
    <w:qFormat/>
    <w:uiPriority w:val="0"/>
    <w:rPr>
      <w:rFonts w:ascii="Times New Roman" w:hAnsi="Times New Roman" w:eastAsia="宋体" w:cs="Times New Roman"/>
      <w:b/>
      <w:bCs/>
      <w:kern w:val="0"/>
      <w:sz w:val="28"/>
      <w:szCs w:val="36"/>
      <w:lang w:val="en-US" w:eastAsia="zh-CN" w:bidi="ar"/>
    </w:rPr>
  </w:style>
  <w:style w:type="paragraph" w:customStyle="1" w:styleId="23">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4">
    <w:name w:val="中期二级标题"/>
    <w:basedOn w:val="1"/>
    <w:link w:val="25"/>
    <w:qFormat/>
    <w:uiPriority w:val="0"/>
    <w:pPr>
      <w:numPr>
        <w:ilvl w:val="1"/>
        <w:numId w:val="3"/>
      </w:numPr>
      <w:ind w:left="851"/>
    </w:pPr>
    <w:rPr>
      <w:rFonts w:ascii="黑体" w:hAnsi="黑体" w:eastAsia="黑体"/>
      <w:sz w:val="32"/>
      <w:szCs w:val="32"/>
    </w:rPr>
  </w:style>
  <w:style w:type="character" w:customStyle="1" w:styleId="25">
    <w:name w:val="中期二级标题 字符"/>
    <w:link w:val="24"/>
    <w:qFormat/>
    <w:uiPriority w:val="0"/>
    <w:rPr>
      <w:rFonts w:ascii="黑体" w:hAnsi="黑体" w:eastAsia="黑体"/>
      <w:kern w:val="2"/>
      <w:sz w:val="32"/>
      <w:szCs w:val="32"/>
      <w:lang w:val="en-US" w:eastAsia="zh-CN" w:bidi="ar-SA"/>
    </w:rPr>
  </w:style>
  <w:style w:type="paragraph" w:customStyle="1" w:styleId="26">
    <w:name w:val="中期一级标题"/>
    <w:basedOn w:val="1"/>
    <w:qFormat/>
    <w:uiPriority w:val="0"/>
    <w:pPr>
      <w:numPr>
        <w:ilvl w:val="0"/>
        <w:numId w:val="3"/>
      </w:numPr>
      <w:ind w:firstLine="0" w:firstLineChars="0"/>
    </w:pPr>
  </w:style>
  <w:style w:type="paragraph" w:customStyle="1" w:styleId="27">
    <w:name w:val="中期三级标题"/>
    <w:basedOn w:val="1"/>
    <w:qFormat/>
    <w:uiPriority w:val="0"/>
    <w:pPr>
      <w:numPr>
        <w:ilvl w:val="2"/>
        <w:numId w:val="3"/>
      </w:numPr>
      <w:ind w:firstLine="0" w:firstLineChars="0"/>
    </w:pPr>
  </w:style>
  <w:style w:type="paragraph" w:customStyle="1" w:styleId="28">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14443</Words>
  <Characters>19309</Characters>
  <Lines>0</Lines>
  <Paragraphs>0</Paragraphs>
  <TotalTime>177</TotalTime>
  <ScaleCrop>false</ScaleCrop>
  <LinksUpToDate>false</LinksUpToDate>
  <CharactersWithSpaces>19833</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2026-02-11T18:13:22Z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