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eastAsia"/>
          <w:lang w:val="en-US" w:eastAsia="zh-CN"/>
        </w:rPr>
      </w:pPr>
      <w:r>
        <w:rPr>
          <w:rFonts w:hint="eastAsia"/>
          <w:lang w:val="en-US" w:eastAsia="zh-CN"/>
        </w:rPr>
        <w:t>基于知识增强以图为中心的分子性质预测方法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35B73FF2">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3D4A730">
      <w:pPr>
        <w:widowControl w:val="0"/>
        <w:bidi w:val="0"/>
        <w:spacing w:line="360" w:lineRule="auto"/>
        <w:jc w:val="both"/>
        <w:rPr>
          <w:rFonts w:hint="eastAsia"/>
          <w:kern w:val="2"/>
          <w:sz w:val="21"/>
          <w:szCs w:val="24"/>
          <w:lang w:val="en-US" w:eastAsia="zh-CN" w:bidi="ar-SA"/>
        </w:rPr>
      </w:pP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输入数据：分子图（Graph）构建：本文将分子建模为属性图 $G=(V, E)$。利用RDKit将SMILES转化为2D分子图，其中原子作为节点（Node），化学键作为边（Edge）。对于节点特征，本文提取了包括原子序数、手性标识、杂化类型、芳香性、形式电荷等在内的多维原子属性；对于边特征，则提取了键类型（单键、双键、芳香键等）及共轭状态信息，从而完整保留分子的拓扑结构信息。分子指纹（Fingerprint）生成：为了捕捉分子的子结构特征与宏观相似性，本文利用RDKit生成了对应的分子指纹。具体而言，主要采用Morgan指纹（Circular Fingerprint，半径 $r=2$，位长 $n=2048$），该指纹类似于扩展连通性指纹（ECFP），能够有效编码分子周围的化学环境与官能团信息，作为图特征的全局补充。</w:t>
      </w:r>
    </w:p>
    <w:p w14:paraId="054C94E1">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bookmarkStart w:id="0" w:name="_GoBack"/>
      <w:bookmarkEnd w:id="0"/>
      <w:r>
        <w:rPr>
          <w:rFonts w:hint="default"/>
          <w:lang w:val="en-US" w:eastAsia="zh-CN"/>
        </w:rPr>
        <w:t>预训练数据集，为后续的多模态对比学习提供了坚实的数据基础。</w:t>
      </w:r>
    </w:p>
    <w:p w14:paraId="5322A33A">
      <w:pPr>
        <w:bidi w:val="0"/>
        <w:rPr>
          <w:rFonts w:hint="default"/>
          <w:lang w:val="en-US" w:eastAsia="zh-CN"/>
        </w:rPr>
      </w:pP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44B84D2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48BCB27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5539BF6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24B708B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5C500E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3802B21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《交叉熵损失函数》</w:t>
      </w:r>
    </w:p>
    <w:p w14:paraId="5C339A68">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其中。。。。《介绍交叉熵损失函数的》</w:t>
      </w:r>
    </w:p>
    <w:p w14:paraId="041956B5">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pageBreakBefore w:val="0"/>
        <w:numPr>
          <w:ilvl w:val="0"/>
          <w:numId w:val="4"/>
        </w:numPr>
        <w:kinsoku/>
        <w:wordWrap/>
        <w:overflowPunct/>
        <w:topLinePunct w:val="0"/>
        <w:autoSpaceDE/>
        <w:autoSpaceDN/>
        <w:bidi w:val="0"/>
        <w:adjustRightInd/>
        <w:spacing w:beforeAutospacing="0" w:afterAutospacing="0" w:line="360" w:lineRule="auto"/>
        <w:textAlignment w:val="auto"/>
      </w:pPr>
      <w:r>
        <w:t>多正样本问题：在多模态条件下，同一分子样本在不同模态下均构成正样本对，一对一的 NT-Xent 形式无法自然建模这种多对齐关系。</w:t>
      </w:r>
    </w:p>
    <w:p w14:paraId="6600F358">
      <w:pPr>
        <w:pageBreakBefore w:val="0"/>
        <w:numPr>
          <w:ilvl w:val="0"/>
          <w:numId w:val="4"/>
        </w:numPr>
        <w:kinsoku/>
        <w:wordWrap/>
        <w:overflowPunct/>
        <w:topLinePunct w:val="0"/>
        <w:autoSpaceDE/>
        <w:autoSpaceDN/>
        <w:bidi w:val="0"/>
        <w:adjustRightInd/>
        <w:spacing w:beforeAutospacing="0" w:afterAutospacing="0" w:line="360" w:lineRule="auto"/>
        <w:ind w:left="0" w:leftChars="0" w:firstLine="420" w:firstLineChars="200"/>
        <w:textAlignment w:val="auto"/>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pageBreakBefore w:val="0"/>
        <w:numPr>
          <w:ilvl w:val="0"/>
          <w:numId w:val="0"/>
        </w:numPr>
        <w:kinsoku/>
        <w:wordWrap/>
        <w:overflowPunct/>
        <w:topLinePunct w:val="0"/>
        <w:autoSpaceDE/>
        <w:autoSpaceDN/>
        <w:bidi w:val="0"/>
        <w:adjustRightInd/>
        <w:spacing w:beforeAutospacing="0" w:afterAutospacing="0" w:line="360" w:lineRule="auto"/>
        <w:textAlignment w:val="auto"/>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7D455D6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4F115F04">
      <w:pPr>
        <w:pStyle w:val="4"/>
        <w:bidi w:val="0"/>
        <w:rPr>
          <w:rFonts w:hint="default"/>
          <w:lang w:val="en-US" w:eastAsia="zh-CN"/>
        </w:rPr>
      </w:pPr>
      <w:r>
        <w:rPr>
          <w:rFonts w:hint="eastAsia"/>
          <w:lang w:val="en-US" w:eastAsia="zh-CN"/>
        </w:rPr>
        <w:t>对比模型</w:t>
      </w:r>
    </w:p>
    <w:p w14:paraId="2CFA5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22EC42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0E291D7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7733EA5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04EFD87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2F3AFC2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7948BAC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730687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D6778A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E54C5E" w:themeColor="accent6"/>
                <w:vertAlign w:val="baseline"/>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w:t>
            </w:r>
          </w:p>
        </w:tc>
        <w:tc>
          <w:tcPr>
            <w:tcW w:w="1021" w:type="dxa"/>
            <w:tcBorders>
              <w:top w:val="nil"/>
              <w:left w:val="nil"/>
              <w:bottom w:val="nil"/>
              <w:right w:val="nil"/>
            </w:tcBorders>
            <w:shd w:val="clear" w:color="auto" w:fill="auto"/>
            <w:vAlign w:val="bottom"/>
          </w:tcPr>
          <w:p w14:paraId="371AA4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E54C5E" w:themeColor="accent6"/>
                <w:kern w:val="2"/>
                <w:sz w:val="21"/>
                <w:szCs w:val="24"/>
                <w:vertAlign w:val="baseline"/>
                <w:lang w:val="en-US" w:eastAsia="zh-CN" w:bidi="ar-SA"/>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0.849</w:t>
            </w:r>
          </w:p>
        </w:tc>
        <w:tc>
          <w:tcPr>
            <w:tcW w:w="886" w:type="dxa"/>
            <w:tcBorders>
              <w:top w:val="nil"/>
              <w:left w:val="nil"/>
              <w:bottom w:val="nil"/>
              <w:right w:val="nil"/>
            </w:tcBorders>
            <w:vAlign w:val="bottom"/>
          </w:tcPr>
          <w:p w14:paraId="3345D3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0.959</w:t>
            </w:r>
          </w:p>
        </w:tc>
        <w:tc>
          <w:tcPr>
            <w:tcW w:w="1062" w:type="dxa"/>
            <w:tcBorders>
              <w:top w:val="nil"/>
              <w:left w:val="nil"/>
              <w:bottom w:val="nil"/>
              <w:right w:val="nil"/>
            </w:tcBorders>
            <w:vAlign w:val="bottom"/>
          </w:tcPr>
          <w:p w14:paraId="45D0344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0.985</w:t>
            </w:r>
          </w:p>
        </w:tc>
        <w:tc>
          <w:tcPr>
            <w:tcW w:w="883" w:type="dxa"/>
            <w:tcBorders>
              <w:top w:val="nil"/>
              <w:left w:val="nil"/>
              <w:bottom w:val="nil"/>
              <w:right w:val="nil"/>
            </w:tcBorders>
            <w:vAlign w:val="bottom"/>
          </w:tcPr>
          <w:p w14:paraId="1A9A1D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0.803</w:t>
            </w:r>
          </w:p>
        </w:tc>
        <w:tc>
          <w:tcPr>
            <w:tcW w:w="1073" w:type="dxa"/>
            <w:tcBorders>
              <w:top w:val="nil"/>
              <w:left w:val="nil"/>
              <w:bottom w:val="nil"/>
              <w:right w:val="nil"/>
            </w:tcBorders>
            <w:vAlign w:val="bottom"/>
          </w:tcPr>
          <w:p w14:paraId="583C64C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0.655</w:t>
            </w:r>
          </w:p>
        </w:tc>
        <w:tc>
          <w:tcPr>
            <w:tcW w:w="969" w:type="dxa"/>
            <w:tcBorders>
              <w:top w:val="nil"/>
              <w:left w:val="nil"/>
              <w:bottom w:val="nil"/>
              <w:right w:val="nil"/>
            </w:tcBorders>
            <w:vAlign w:val="bottom"/>
          </w:tcPr>
          <w:p w14:paraId="2895397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0.568</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06E22B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trPr>
        <w:tc>
          <w:tcPr>
            <w:tcW w:w="1844" w:type="dxa"/>
            <w:tcBorders>
              <w:top w:val="nil"/>
              <w:left w:val="nil"/>
              <w:bottom w:val="nil"/>
              <w:right w:val="nil"/>
            </w:tcBorders>
            <w:vAlign w:val="bottom"/>
          </w:tcPr>
          <w:p w14:paraId="2F3864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1021" w:type="dxa"/>
            <w:tcBorders>
              <w:top w:val="nil"/>
              <w:left w:val="nil"/>
              <w:bottom w:val="nil"/>
              <w:right w:val="nil"/>
            </w:tcBorders>
            <w:shd w:val="clear" w:color="auto" w:fill="auto"/>
            <w:vAlign w:val="bottom"/>
          </w:tcPr>
          <w:p w14:paraId="5380A62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0.826</w:t>
            </w:r>
          </w:p>
        </w:tc>
        <w:tc>
          <w:tcPr>
            <w:tcW w:w="886" w:type="dxa"/>
            <w:tcBorders>
              <w:top w:val="nil"/>
              <w:left w:val="nil"/>
              <w:bottom w:val="nil"/>
              <w:right w:val="nil"/>
            </w:tcBorders>
            <w:vAlign w:val="bottom"/>
          </w:tcPr>
          <w:p w14:paraId="26EA61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0.702</w:t>
            </w:r>
          </w:p>
        </w:tc>
        <w:tc>
          <w:tcPr>
            <w:tcW w:w="1062" w:type="dxa"/>
            <w:tcBorders>
              <w:top w:val="nil"/>
              <w:left w:val="nil"/>
              <w:bottom w:val="nil"/>
              <w:right w:val="nil"/>
            </w:tcBorders>
            <w:vAlign w:val="bottom"/>
          </w:tcPr>
          <w:p w14:paraId="69751F7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0.743</w:t>
            </w:r>
          </w:p>
        </w:tc>
        <w:tc>
          <w:tcPr>
            <w:tcW w:w="883" w:type="dxa"/>
            <w:tcBorders>
              <w:top w:val="nil"/>
              <w:left w:val="nil"/>
              <w:bottom w:val="nil"/>
              <w:right w:val="nil"/>
            </w:tcBorders>
            <w:vAlign w:val="bottom"/>
          </w:tcPr>
          <w:p w14:paraId="0B907F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0.654</w:t>
            </w:r>
          </w:p>
        </w:tc>
        <w:tc>
          <w:tcPr>
            <w:tcW w:w="1073" w:type="dxa"/>
            <w:tcBorders>
              <w:top w:val="nil"/>
              <w:left w:val="nil"/>
              <w:bottom w:val="nil"/>
              <w:right w:val="nil"/>
            </w:tcBorders>
            <w:vAlign w:val="bottom"/>
          </w:tcPr>
          <w:p w14:paraId="5680EE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0.654</w:t>
            </w:r>
          </w:p>
        </w:tc>
        <w:tc>
          <w:tcPr>
            <w:tcW w:w="969" w:type="dxa"/>
            <w:tcBorders>
              <w:top w:val="nil"/>
              <w:left w:val="nil"/>
              <w:bottom w:val="nil"/>
              <w:right w:val="nil"/>
            </w:tcBorders>
            <w:vAlign w:val="bottom"/>
          </w:tcPr>
          <w:p w14:paraId="37AC3F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0.648</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0.673</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color="auto" w:fill="auto"/>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color="auto" w:fill="auto"/>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0"/>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5A849B2"/>
    <w:rsid w:val="064F49ED"/>
    <w:rsid w:val="06510766"/>
    <w:rsid w:val="071E0F8F"/>
    <w:rsid w:val="08155C5D"/>
    <w:rsid w:val="08CE2541"/>
    <w:rsid w:val="0BD64449"/>
    <w:rsid w:val="0C965756"/>
    <w:rsid w:val="0ED168E7"/>
    <w:rsid w:val="0F503503"/>
    <w:rsid w:val="0F7C2CF7"/>
    <w:rsid w:val="10D475A4"/>
    <w:rsid w:val="118A0FD0"/>
    <w:rsid w:val="120548F1"/>
    <w:rsid w:val="13741F37"/>
    <w:rsid w:val="13BE388E"/>
    <w:rsid w:val="14E37374"/>
    <w:rsid w:val="15CF1017"/>
    <w:rsid w:val="1666772B"/>
    <w:rsid w:val="16721235"/>
    <w:rsid w:val="16EE3830"/>
    <w:rsid w:val="1B593EEC"/>
    <w:rsid w:val="1C884062"/>
    <w:rsid w:val="1D37025D"/>
    <w:rsid w:val="1F5E18DF"/>
    <w:rsid w:val="1FCF02AE"/>
    <w:rsid w:val="20F01385"/>
    <w:rsid w:val="21423675"/>
    <w:rsid w:val="214E0CB3"/>
    <w:rsid w:val="220A5F40"/>
    <w:rsid w:val="222A07C5"/>
    <w:rsid w:val="22F9340A"/>
    <w:rsid w:val="23E876FD"/>
    <w:rsid w:val="25853B30"/>
    <w:rsid w:val="27866B9F"/>
    <w:rsid w:val="27E71EA9"/>
    <w:rsid w:val="289E73E3"/>
    <w:rsid w:val="29FA6504"/>
    <w:rsid w:val="2C536B29"/>
    <w:rsid w:val="2C5F332D"/>
    <w:rsid w:val="2C906D58"/>
    <w:rsid w:val="2CCD473A"/>
    <w:rsid w:val="2CFE5A0D"/>
    <w:rsid w:val="2DF45CF7"/>
    <w:rsid w:val="2E0F77BA"/>
    <w:rsid w:val="2FBA3380"/>
    <w:rsid w:val="2FBC06DB"/>
    <w:rsid w:val="2FFE2E5D"/>
    <w:rsid w:val="30586A11"/>
    <w:rsid w:val="32220E91"/>
    <w:rsid w:val="34B61F58"/>
    <w:rsid w:val="3575596F"/>
    <w:rsid w:val="361433DA"/>
    <w:rsid w:val="36794FEB"/>
    <w:rsid w:val="36A75037"/>
    <w:rsid w:val="38F17A02"/>
    <w:rsid w:val="39025256"/>
    <w:rsid w:val="3963760F"/>
    <w:rsid w:val="39B30BBC"/>
    <w:rsid w:val="3BA7755B"/>
    <w:rsid w:val="3D2B25F8"/>
    <w:rsid w:val="3D6119C4"/>
    <w:rsid w:val="3DA94408"/>
    <w:rsid w:val="3E047E0A"/>
    <w:rsid w:val="3E4800C5"/>
    <w:rsid w:val="3F0F0BE2"/>
    <w:rsid w:val="40BB2DD0"/>
    <w:rsid w:val="40E90FBF"/>
    <w:rsid w:val="41F12821"/>
    <w:rsid w:val="42694565"/>
    <w:rsid w:val="431F0E8B"/>
    <w:rsid w:val="436D237B"/>
    <w:rsid w:val="44444E8A"/>
    <w:rsid w:val="44E80FE1"/>
    <w:rsid w:val="45B352DC"/>
    <w:rsid w:val="45CB21F7"/>
    <w:rsid w:val="482F17FF"/>
    <w:rsid w:val="48A77906"/>
    <w:rsid w:val="490E6F34"/>
    <w:rsid w:val="49217DF9"/>
    <w:rsid w:val="494D47E1"/>
    <w:rsid w:val="4C4507B6"/>
    <w:rsid w:val="4D8B14D9"/>
    <w:rsid w:val="4F1813ED"/>
    <w:rsid w:val="4FA30A16"/>
    <w:rsid w:val="525C3CE7"/>
    <w:rsid w:val="528E3D51"/>
    <w:rsid w:val="53D55AFF"/>
    <w:rsid w:val="55B44A7B"/>
    <w:rsid w:val="5B305D11"/>
    <w:rsid w:val="5B4F0B23"/>
    <w:rsid w:val="5B4F731A"/>
    <w:rsid w:val="5F573763"/>
    <w:rsid w:val="5FC01AAC"/>
    <w:rsid w:val="61D513C0"/>
    <w:rsid w:val="621C33F7"/>
    <w:rsid w:val="637C5F97"/>
    <w:rsid w:val="68464DC5"/>
    <w:rsid w:val="69D81A4D"/>
    <w:rsid w:val="69F97043"/>
    <w:rsid w:val="6A2373A8"/>
    <w:rsid w:val="6CCA3A1C"/>
    <w:rsid w:val="6E577D47"/>
    <w:rsid w:val="6F170AB2"/>
    <w:rsid w:val="6F9562E9"/>
    <w:rsid w:val="70756248"/>
    <w:rsid w:val="709B2013"/>
    <w:rsid w:val="70AF4C91"/>
    <w:rsid w:val="71267542"/>
    <w:rsid w:val="723D2D95"/>
    <w:rsid w:val="7248226E"/>
    <w:rsid w:val="72783DCD"/>
    <w:rsid w:val="75A803EA"/>
    <w:rsid w:val="771B020D"/>
    <w:rsid w:val="77435AB2"/>
    <w:rsid w:val="78407BB7"/>
    <w:rsid w:val="79A47B9E"/>
    <w:rsid w:val="7A220727"/>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2857</Words>
  <Characters>3283</Characters>
  <Lines>0</Lines>
  <Paragraphs>0</Paragraphs>
  <TotalTime>70</TotalTime>
  <ScaleCrop>false</ScaleCrop>
  <LinksUpToDate>false</LinksUpToDate>
  <CharactersWithSpaces>3299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2026-02-03T04:38:46Z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