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863"/>
        </w:trPr>
        <w:tc>
          <w:tcPr>
            <w:tcW w:w="958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34"/>
              </w:rPr>
              <w:t>AI+ OpenData 챌린지 사업계획서 개요(요약)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ind w:left="510" w:hanging="510"/>
      </w:pPr>
      <w:r>
        <w:rPr>
          <w:rFonts w:ascii="맑은 고딕"/>
          <w:b/>
          <w:i/>
          <w:color w:val="0000ff"/>
          <w:sz w:val="22"/>
        </w:rPr>
        <w:t xml:space="preserve">  ※ </w:t>
      </w:r>
      <w:r>
        <w:rPr>
          <w:rFonts w:ascii="맑은 고딕" w:eastAsia="맑은 고딕"/>
          <w:b/>
          <w:i/>
          <w:color w:val="0000ff"/>
          <w:spacing w:val="-5"/>
          <w:sz w:val="22"/>
        </w:rPr>
        <w:t>사업계획서 양식은 변경·삭제할 수 없으며, 추가 설명을 위한 이미지(사진), 표 등은 삽입 가능</w:t>
      </w:r>
    </w:p>
    <w:p>
      <w:pPr>
        <w:pStyle w:val="0"/>
        <w:widowControl w:val="off"/>
        <w:ind w:left="510" w:hanging="510"/>
      </w:pPr>
      <w:r>
        <w:rPr>
          <w:rFonts w:ascii="맑은 고딕" w:eastAsia="맑은 고딕"/>
          <w:b/>
          <w:i/>
          <w:color w:val="0000ff"/>
          <w:spacing w:val="1"/>
        </w:rPr>
        <w:t xml:space="preserve">    (표 안의 행은 추가 가능하며, 해당 없을 시 공란을 유지)</w:t>
      </w:r>
    </w:p>
    <w:p>
      <w:pPr>
        <w:pStyle w:val="0"/>
        <w:widowControl w:val="off"/>
        <w:ind w:left="510" w:hanging="510"/>
      </w:pPr>
      <w:r>
        <w:rPr>
          <w:rFonts w:ascii="맑은 고딕"/>
          <w:b/>
          <w:i/>
          <w:color w:val="0000ff"/>
          <w:spacing w:val="1"/>
          <w:sz w:val="22"/>
        </w:rPr>
        <w:t xml:space="preserve">  ※</w:t>
      </w:r>
      <w:r>
        <w:rPr>
          <w:rFonts w:ascii="맑은 고딕" w:eastAsia="맑은 고딕"/>
          <w:b/>
          <w:i/>
          <w:color w:val="0000ff"/>
          <w:spacing w:val="1"/>
          <w:sz w:val="22"/>
        </w:rPr>
        <w:t xml:space="preserve"> 본문 내 ‘파란색 글씨로 작성된 안내 문구’는 삭제하고 </w:t>
      </w:r>
      <w:r>
        <w:rPr>
          <w:rFonts w:eastAsia="맑은 고딕"/>
          <w:b/>
          <w:i/>
          <w:color w:val="0000ff"/>
          <w:spacing w:val="-3"/>
          <w:sz w:val="22"/>
        </w:rPr>
        <w:t>검정색</w:t>
      </w:r>
      <w:r>
        <w:rPr>
          <w:rFonts w:ascii="맑은 고딕" w:eastAsia="맑은 고딕"/>
          <w:b/>
          <w:i/>
          <w:color w:val="0000ff"/>
          <w:spacing w:val="-1"/>
          <w:sz w:val="22"/>
        </w:rPr>
        <w:t xml:space="preserve"> 글씨로 작성하여 제출</w:t>
      </w:r>
    </w:p>
    <w:tbl>
      <w:tblPr>
        <w:tblOverlap w:val="never"/>
        <w:tblW w:w="963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4041"/>
        <w:gridCol w:w="4056"/>
      </w:tblGrid>
      <w:tr>
        <w:trPr>
          <w:trHeight w:val="677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 xml:space="preserve">선택한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과제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과제 ⑥ 시장진출 전략 추천 (중소벤처기업진흥공단·한국중소벤처기업유통원)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AI 기반 적합 판로(내수 지원사업·수출바우처) 자동 추천 + 추천 결과 기반 다국어 마케팅 콘텐츠 자동 생성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과제 해결방안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(개발계획)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상용 SaaS '매실인사이트'(분석·판로 매칭) + '매실스튜디오'(생성형 콘텐츠) 통합 원스탑 솔루션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데이터화 → LLM 구조화 → 결정론+시맨틱 매칭(재현성 보장) → 다국어 콘텐츠 생성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제공 데이터: 지원사업 90종·선정기업 7만社·선정제품 7만·수출바우처 프로그램/성과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혁신성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'AI를 위한 AI' 배제 — 정보추출·시맨틱 매칭·생성형 등 AI가 실질 가치를 내는 지점에만 파운데이션 모델(LLM·임베딩) 적용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규칙 기반 결정론 매칭으로 동일 입력=동일 출력(재현성 100%)을 설계로 보장 — 판정기준의 재현성 항목을 구조적 충족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가치창출 및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시장성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㈜매실패밀리: 설립 1개월 만에 5개 SaaS 가동·외부 6개사 실사용·국내 특허 1건 출원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검증된 매실인사이트·매실스튜디오 기반으로 PoC 즉시 구현, 서류·체험평가 기술완성도 증빙 우위</w:t>
            </w:r>
          </w:p>
          <w:p>
            <w:pPr>
              <w:pStyle w:val="0"/>
              <w:widowControl w:val="off"/>
              <w:spacing w:line="360" w:lineRule="auto" w:before="20" w:after="20"/>
              <w:ind w:left="333" w:hanging="333"/>
            </w:pPr>
            <w:r>
              <w:rPr>
                <w:rFonts w:ascii="맑은 고딕" w:eastAsia="맑은 고딕"/>
                <w:color w:val="000000"/>
                <w:sz w:val="20"/>
              </w:rPr>
              <w:t xml:space="preserve">● 배마마 실증: 쿠팡 ROAS 482%·ROAS ×2.24, 구독형 SaaS(9.9만~99만원)로 수출바우처·해외판로 확장</w:t>
            </w:r>
          </w:p>
        </w:tc>
      </w:tr>
      <w:tr>
        <w:trPr>
          <w:trHeight w:val="2034"/>
        </w:trPr>
        <w:tc>
          <w:tcPr>
            <w:tcW w:w="1533" w:type="dxa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과제 제시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3"/>
                <w:sz w:val="22"/>
              </w:rPr>
              <w:t>(선택 사항)</w:t>
            </w:r>
          </w:p>
        </w:tc>
        <w:tc>
          <w:tcPr>
            <w:tcW w:w="8096" w:type="dxa"/>
            <w:gridSpan w:val="2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333" w:hanging="333"/>
              <w:rPr>
                <w:rFonts w:ascii="맑은 고딕" w:eastAsia="맑은 고딕"/>
                <w:i/>
                <w:color w:val="0000ff"/>
                <w:spacing w:val="-3"/>
              </w:rPr>
            </w:pPr>
          </w:p>
        </w:tc>
      </w:tr>
      <w:tr>
        <w:trPr>
          <w:trHeight w:val="2328"/>
        </w:trPr>
        <w:tc>
          <w:tcPr>
            <w:tcW w:w="153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이미지</w:t>
            </w:r>
          </w:p>
        </w:tc>
        <w:tc>
          <w:tcPr>
            <w:tcW w:w="4041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</w:rPr>
                    <w:t xml:space="preserve">※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</w:rPr>
                    <w:t>아이템의 특징을 나타낼 수 있는 참고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</w:rPr>
                    <w:t>사진(이미지)·설계도 등 삽입(해당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  <w:tc>
          <w:tcPr>
            <w:tcW w:w="4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630"/>
              </w:trPr>
              <w:tc>
                <w:tcPr>
                  <w:tcW w:w="3817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ind w:left="286" w:hanging="286"/>
                  </w:pPr>
                  <w:r>
                    <w:rPr>
                      <w:rFonts w:ascii="맑은 고딕"/>
                      <w:color w:val="0000ff"/>
                    </w:rPr>
                    <w:t xml:space="preserve">※ </w:t>
                  </w:r>
                  <w:r>
                    <w:rPr>
                      <w:rFonts w:ascii="맑은 고딕" w:eastAsia="맑은 고딕"/>
                      <w:color w:val="0000ff"/>
                      <w:spacing w:val="-5"/>
                    </w:rPr>
                    <w:t>아이템의 특징을 나타낼 수 있는 참고</w:t>
                  </w:r>
                  <w:r>
                    <w:rPr>
                      <w:rFonts w:ascii="맑은 고딕" w:eastAsia="맑은 고딕"/>
                      <w:color w:val="0000ff"/>
                      <w:spacing w:val="-2"/>
                    </w:rPr>
                    <w:t>사진(이미지)·설계도 등 삽입(해당 시)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ind w:left="280" w:hanging="280"/>
            </w:pPr>
          </w:p>
        </w:tc>
      </w:tr>
      <w:tr>
        <w:trPr>
          <w:trHeight w:val="313"/>
        </w:trPr>
        <w:tc>
          <w:tcPr>
            <w:tcW w:w="153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double" w:color="000000" w:sz="5"/>
            </w:tcBorders>
          </w:tcPr>
          <w:p/>
        </w:tc>
        <w:tc>
          <w:tcPr>
            <w:tcW w:w="4041" w:type="dxa"/>
            <w:tcBorders>
              <w:top w:val="single" w:color="000000" w:sz="3"/>
              <w:left w:val="doub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  <w:tc>
          <w:tcPr>
            <w:tcW w:w="4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center"/>
            </w:pPr>
            <w:r>
              <w:rPr>
                <w:rFonts w:ascii="맑은 고딕" w:eastAsia="맑은 고딕"/>
                <w:color w:val="0000ff"/>
              </w:rPr>
              <w:t>&lt; 사진(이미지) 또는 설계도 제목 &gt;</w:t>
            </w:r>
          </w:p>
        </w:tc>
      </w:tr>
    </w:tbl>
    <w:p>
      <w:pPr>
        <w:pStyle w:val="0"/>
        <w:widowControl w:val="off"/>
        <w:ind w:left="614" w:hanging="614"/>
      </w:pPr>
    </w:p>
    <w:p>
      <w:r>
        <w:br w:type="page"/>
      </w:r>
    </w:p>
    <w:tbl>
      <w:tblPr>
        <w:tblOverlap w:val="never"/>
        <w:tblW w:w="526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4"/>
        <w:gridCol w:w="339"/>
      </w:tblGrid>
      <w:tr>
        <w:trPr>
          <w:trHeight w:val="601"/>
        </w:trPr>
        <w:tc>
          <w:tcPr>
            <w:tcW w:w="4924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1. 과제 해결방안 (개발계획)</w:t>
            </w:r>
          </w:p>
        </w:tc>
        <w:tc>
          <w:tcPr>
            <w:tcW w:w="339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 xml:space="preserve"> 1-1. 해당 과제를 풀기위한 전반적인 개발계획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73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개발하고자하는 모델에 대한 알고리즘 개발 배경, 목적, 구조, 핵심기술, 서비스 시나리오 등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(개발 배경·목적) 중소기업이 90종의 내수 지원사업·수출바우처를 인력·정보 부족으로 일일이 탐색·매칭하기 어려운 문제를, 공공데이터 기반 자동 추천과 생성형 콘텐츠로 해결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(보유 기반) ㈜매실패밀리는 이미 상용 운영 중인 매실인사이트(이커머스 심층분석)와 매실스튜디오(영상·블로그·상세페이지·홍보물 생성)를 보유 — 동일 분석·생성 엔진을 본 과제의 공공데이터(판판대로·수출바우처)에 적용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(시스템 구조) 4계층 통합 파이프라인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데이터 계층: 판판대로(지원사업 정보·선정기업·선정제품)·수출바우처(프로그램·수출성과) 수집·정제·표준화(데이터화)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이해 계층(AI): 상세페이지·공고문 등 비정형 텍스트를 LLM으로 제품명·카테고리·속성·지원요건으로 구조화(정보추출·정규화)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매칭 계층: 규칙 기반 결정론 매칭(자격요건 필터) + 임베딩 시맨틱 매칭(유사 선정기업 근거 제시)으로 적합 판로 Top-N 추천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생성 계층(AI=매실스튜디오): 시장분석 리포트·다국어 상품 기술서·홍보영상·상세페이지 자동 생성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(핵심기술) LLM 정보추출, 임베딩 기반 시맨틱 검색·매칭, 생성형 멀티모달 콘텐츠, 재현성 보장 결정론 엔진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(서비스 시나리오) 기업이 사업자·업종·제품 입력 → 적합 판로 추천 + 추천 근거(유사 선정기업) 제시 → 원클릭으로 다국어 마케팅 콘텐츠 생성·다운로드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1-2. 개발 추진일정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73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전체 개발 단계에서 추진하고자 하는 목표 및 전체 추진일정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총 10주 PoC 추진 일정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1~2주: 데이터 수집·정제·표준화(판판대로·수출바우처)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3~4주: 비정형 텍스트 LLM 구조화·스키마 정규화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5~6주: 결정론+시맨틱 매칭 엔진 개발·재현성 검증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7~8주: 매실스튜디오 연계 다국어 콘텐츠 생성·A/B 벤치마크(LMArena형) 구축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9주: 통합 테스트·정확도/재현성/승률 측정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10주: 성능 리포트·시연 자료·최종 산출물 정리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tbl>
      <w:tblPr>
        <w:tblOverlap w:val="never"/>
        <w:tblW w:w="356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43"/>
        <w:gridCol w:w="622"/>
      </w:tblGrid>
      <w:tr>
        <w:trPr>
          <w:trHeight w:val="601"/>
        </w:trPr>
        <w:tc>
          <w:tcPr>
            <w:tcW w:w="2943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2. 혁신성</w:t>
            </w:r>
          </w:p>
        </w:tc>
        <w:tc>
          <w:tcPr>
            <w:tcW w:w="62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2-1. 사용된 AI 알고리즘 및 AI 파운데이션 모델 추진체계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96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621" w:hanging="162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모델 개발에 사용된 AI알고리즘의 혁신성·차별성 및 , AI 파운데이션 모델 활용방안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(AI 적용 원칙) 불필요한 'AI를 위한 AI'를 배제하고, 가치를 내는 3개 지점에만 파운데이션 모델 집중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비정형→구조화: 파운데이션 LLM 기반 정보추출(NER·파싱)으로 제품·공고 비정형 텍스트를 구조화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시맨틱 매칭: 한국어 임베딩 모델로 기업·제품·지원사업을 벡터화해 의미 기반 매칭 및 '유사 선정기업' 근거 산출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생성형: 파운데이션 모델 기반 다국어 카피·상세페이지·홍보영상 스크립트 생성(매실스튜디오)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(차별성) 결정론 매칭으로 재현성 100% 확보, AI는 품질·근거·콘텐츠 차별화에만 사용 → 검증 가능·재현 가능한 신뢰 구조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(파운데이션 모델 활용) 외부 LLM API + 자체 임베딩/프롬프트 파이프라인, RAG로 공공데이터 근거 결합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  <w:ind w:left="3980" w:hanging="3980"/>
      </w:pPr>
      <w:r>
        <w:rPr>
          <w:rFonts w:ascii="HCI Poppy"/>
          <w:b/>
          <w:sz w:val="30"/>
        </w:rPr>
        <w:t xml:space="preserve">2-2. </w:t>
      </w:r>
      <w:r>
        <w:rPr>
          <w:rFonts w:ascii="HCI Poppy" w:eastAsia="휴먼명조"/>
          <w:b/>
          <w:sz w:val="32"/>
        </w:rPr>
        <w:t>최종 완성될 결과물의 성능 목표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0" w:hanging="28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완성된 AI 모델의 제공 서비스 및 목표 성능 등 정량 지표로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적합 판로 추천 — 예측 정확도·재현성 (판정기준 ①)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추천 정확도: 학습/테스트 분리셋 기준 Top-3 적합도 85% 이상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재현성: 동일 입력 시 동일 결과 100%(결정론 매칭으로 구조적 보장)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정보추출 정확도: 핵심 속성 추출 정확도 90% 이상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마케팅 콘텐츠 — A/B 테스트 승률 (판정기준 ②)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LMArena형 블라인드 A/B 테스트에서 타 모델 대비 승률 60% 이상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다국어 콘텐츠 생성 처리시간: 1건 60초 이내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(실증 레퍼런스) 매실인사이트·매실스튜디오의 자가 브랜드(배마마) 적용 실측 — 쿠팡 ROAS 482%(3월), 3개월 단조 개선 광고비 -75.7%·일평균 매출 +8.8%·ROAS ×2.24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 </w:t>
      </w:r>
    </w:p>
    <w:tbl>
      <w:tblPr>
        <w:tblOverlap w:val="never"/>
        <w:tblW w:w="418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6"/>
        <w:gridCol w:w="622"/>
      </w:tblGrid>
      <w:tr>
        <w:trPr>
          <w:trHeight w:val="601"/>
        </w:trPr>
        <w:tc>
          <w:tcPr>
            <w:tcW w:w="3566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3. 가치창출 및 시장성</w:t>
            </w:r>
          </w:p>
        </w:tc>
        <w:tc>
          <w:tcPr>
            <w:tcW w:w="62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3-1. 현안 해결 노력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46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621" w:hanging="162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과제 출제 배경을 고려하여, 제안 솔루션을 통한 구체적인 해결방법 및 기대효과를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(문제) 중소기업 인력·정보 부족으로 적합 지원사업 탐색·판로개척 곤란, 온라인 브랜딩(상세페이지·홍보물) 외주에 월 200~500만원 비용·시간 소모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(해결) 자동 추천으로 적합 판로 탐색비용 제거, 매실스튜디오 생성형 콘텐츠로 마케팅 진입장벽 해소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(기대효과) 적합 판로 매칭 시간 대폭 단축, 마케팅 콘텐츠 외주비 절감, 수출바우처 활용도 제고 — 자가·외부 6개사 실사용으로 검증된 엔진 기반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-</w:t>
      </w: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2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3-2. AI 모델의 경제성 및 확장 방향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460"/>
        </w:trPr>
        <w:tc>
          <w:tcPr>
            <w:tcW w:w="9581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1" w:hanging="241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AI 모델 운영비용 대비 업무효율·성과창출 효과와 개발 후 서비스 확산·확장 계획을 기재</w:t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(경제성) 외부 LLM 토큰비는 생성·추출 구간에만 발생, 매칭은 결정론이라 연산비 최소화 → 운영비 대비 업무효율 높음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(사업화 모델) 검증된 SaaS 월 구독(9.9만~99만원) 모델로 즉시 수익화 가능 — 별도 신규 인프라 없이 기존 매실인사이트·매실스튜디오에 공공데이터 모듈 추가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(확장) 구독형 SaaS로 전국 중소·소상공인 확장, 수출국·언어·채널(상세페이지·영상) 확장, 타 공공 지원사업 데이터로 도메인 확대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405" w:hanging="405"/>
        <w:rPr>
          <w:rFonts w:ascii="HCI Poppy" w:eastAsia="휴먼명조"/>
          <w:color w:val="000000"/>
          <w:spacing w:val="-1"/>
          <w:sz w:val="16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2"/>
        </w:rPr>
      </w:pPr>
    </w:p>
    <w:tbl>
      <w:tblPr>
        <w:tblOverlap w:val="never"/>
        <w:tblW w:w="27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7"/>
        <w:gridCol w:w="565"/>
      </w:tblGrid>
      <w:tr>
        <w:trPr>
          <w:trHeight w:val="601"/>
        </w:trPr>
        <w:tc>
          <w:tcPr>
            <w:tcW w:w="2207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4. 팀 구성 </w:t>
            </w:r>
          </w:p>
        </w:tc>
        <w:tc>
          <w:tcPr>
            <w:tcW w:w="565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wordWrap w:val="1"/>
        <w:jc w:val="left"/>
        <w:rPr>
          <w:rFonts w:ascii="HCI Poppy" w:eastAsia="휴먼명조"/>
          <w:color w:val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 xml:space="preserve"> 4. 대표자 및 팀원의 보유역량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4-1. 대표자 현황 및 역량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3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모델 개발과 관련하여 대표자가 보유하고 있는 이력, 역량 등을 기재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공동(각자) 대표의 경우 공동(각자)대표 현황 모두 기재 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대표자 김은지 — ㈜매실패밀리 단독대표(2026.04.20 설립), 사업 의사결정 및 자가 브랜드 배마마 운영 책임. 5개 SaaS 사업 총괄·고객(외부 6개사) 대응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법인 설립 1개월 만에 5개 SaaS 가동·외부 6개사 실사용·국내 특허 1건 출원 달성을 대표·CTO 2인 구조로 견인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4-2. 팀원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b/>
          <w:sz w:val="30"/>
        </w:rPr>
        <w:t xml:space="preserve">현황 및 역량 </w:t>
      </w:r>
      <w:r>
        <w:rPr>
          <w:rFonts w:ascii="HCI Poppy"/>
          <w:sz w:val="30"/>
        </w:rPr>
        <w:t xml:space="preserve"> </w:t>
      </w:r>
      <w:r>
        <w:rPr>
          <w:rFonts w:ascii="맑은 고딕"/>
          <w:sz w:val="22"/>
        </w:rPr>
        <w:t>※</w:t>
      </w:r>
      <w:r>
        <w:rPr>
          <w:rFonts w:ascii="맑은 고딕" w:eastAsia="맑은 고딕"/>
          <w:sz w:val="22"/>
        </w:rPr>
        <w:t xml:space="preserve"> 팀원이 없는 경우 ‘</w:t>
      </w:r>
      <w:r>
        <w:rPr>
          <w:rFonts w:ascii="맑은 고딕" w:eastAsia="맑은 고딕"/>
          <w:sz w:val="22"/>
          <w:u w:val="single"/>
        </w:rPr>
        <w:t>해당사항 없음</w:t>
      </w:r>
      <w:r>
        <w:rPr>
          <w:rFonts w:ascii="맑은 고딕" w:eastAsia="맑은 고딕"/>
          <w:sz w:val="22"/>
        </w:rPr>
        <w:t>’으로 기재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950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293" w:hanging="2293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팀 및 팀 구성 예정(안)에서 주요 담당업무 및 보유역량 등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40"/>
              <w:jc w:val="left"/>
            </w:pPr>
            <w:r>
              <w:rPr>
                <w:rFonts w:ascii="맑은 고딕" w:eastAsia="맑은 고딕"/>
                <w:color w:val="0000ff"/>
              </w:rPr>
              <w:t>* 1인 기업으로 사업을 신청하는 경우, 대표자의 역량 등을 중심으로 기재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김대희 — 사내이사·CTO, S/W 개발 총괄(5개 SaaS 단독 개발·운영·기술영업)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컴퓨터공학 학사(경주대), 일본 KDDI 모바일 서버 엔지니어 5년, 국내 식품기업 제조·마케팅·IT 총괄(2012~현재)</w:t>
      </w:r>
    </w:p>
    <w:p>
      <w:pPr>
        <w:pStyle w:val="0"/>
        <w:widowControl w:val="off"/>
        <w:spacing w:line="360" w:lineRule="auto" w:before="20" w:after="20"/>
        <w:ind w:left="720" w:hanging="360"/>
      </w:pPr>
      <w:r>
        <w:rPr>
          <w:rFonts w:ascii="맑은 고딕" w:eastAsia="맑은 고딕"/>
          <w:color w:val="000000"/>
          <w:sz w:val="21"/>
        </w:rPr>
        <w:t xml:space="preserve">국내 특허 1건 출원 발명자(2026.04.08), 본 과제 AI 모델·데이터 파이프라인 개발 총괄</w:t>
      </w:r>
    </w:p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00"/>
          <w:sz w:val="12"/>
        </w:rPr>
      </w:pPr>
    </w:p>
    <w:p>
      <w:pPr>
        <w:pStyle w:val="0"/>
        <w:widowControl w:val="off"/>
        <w:wordWrap w:val="1"/>
        <w:jc w:val="center"/>
      </w:pPr>
      <w:r>
        <w:rPr>
          <w:rFonts w:ascii="맑은 고딕" w:eastAsia="맑은 고딕"/>
          <w:sz w:val="22"/>
        </w:rPr>
        <w:t>&lt; 팀원현황 및 구성 예정(안) &gt;</w:t>
      </w:r>
    </w:p>
    <w:tbl>
      <w:tblPr>
        <w:tblOverlap w:val="never"/>
        <w:tblW w:w="954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886"/>
        <w:gridCol w:w="886"/>
        <w:gridCol w:w="2923"/>
        <w:gridCol w:w="3465"/>
        <w:gridCol w:w="686"/>
      </w:tblGrid>
      <w:tr>
        <w:trPr>
          <w:trHeight w:val="849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직급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snapToGrid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보유역량(경력 및 학력 등)</w:t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구성 상태</w:t>
            </w:r>
          </w:p>
        </w:tc>
      </w:tr>
      <w:tr>
        <w:trPr>
          <w:trHeight w:val="799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>사내이사·CTO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김대희</w:t>
            </w:r>
          </w:p>
        </w:tc>
        <w:tc>
          <w:tcPr>
            <w:tcW w:w="2923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S/W 개발 총괄 · 5개 SaaS 단독 개발</w:t>
            </w:r>
          </w:p>
        </w:tc>
        <w:tc>
          <w:tcPr>
            <w:tcW w:w="346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컴퓨터공학 학사(경주대) · 日 KDDI 서버 엔지니어 5년 · 식품기업 제조·마케팅·IT 총괄(2012~)</w:t>
            </w:r>
          </w:p>
        </w:tc>
        <w:tc>
          <w:tcPr>
            <w:tcW w:w="6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>완료(2026.04)</w:t>
            </w:r>
          </w:p>
        </w:tc>
      </w:tr>
      <w:tr>
        <w:trPr>
          <w:trHeight w:val="56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i/>
                <w:color w:val="0000ff"/>
              </w:rPr>
              <w:t/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</w:tr>
      <w:tr>
        <w:trPr>
          <w:trHeight w:val="403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…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/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6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ff"/>
          <w:sz w:val="10"/>
        </w:rPr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0"/>
        </w:rPr>
      </w:pPr>
    </w:p>
    <w:p>
      <w:r>
        <w:br w:type="page"/>
      </w:r>
    </w:p>
    <w:tbl>
      <w:tblPr>
        <w:tblOverlap w:val="never"/>
        <w:tblW w:w="34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0"/>
        <w:gridCol w:w="452"/>
      </w:tblGrid>
      <w:tr>
        <w:trPr>
          <w:trHeight w:val="601"/>
        </w:trPr>
        <w:tc>
          <w:tcPr>
            <w:tcW w:w="3000" w:type="dxa"/>
            <w:tcBorders>
              <w:top w:val="single" w:color="000000" w:sz="14"/>
              <w:left w:val="single" w:color="000000" w:sz="14"/>
              <w:bottom w:val="single" w:color="000000" w:sz="14"/>
              <w:right w:val="non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504" w:lineRule="auto"/>
              <w:ind w:left="718" w:hanging="718"/>
            </w:pPr>
            <w:r>
              <w:rPr>
                <w:rFonts w:ascii="HY울릉도M" w:eastAsia="HY울릉도M"/>
                <w:sz w:val="32"/>
              </w:rPr>
              <w:t xml:space="preserve"> 5. 기타</w:t>
            </w:r>
          </w:p>
        </w:tc>
        <w:tc>
          <w:tcPr>
            <w:tcW w:w="452" w:type="dxa"/>
            <w:tcBorders>
              <w:top w:val="none" w:color="000000" w:sz="3"/>
              <w:left w:val="none" w:color="000000" w:sz="3"/>
              <w:bottom w:val="single" w:color="000000" w:sz="14"/>
              <w:right w:val="none" w:color="000000" w:sz="9"/>
              <w:tl2br w:val="single" w:color="000000" w:sz="14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>5. 수상 및 유사 대회 참여 등 이력 사항</w:t>
      </w: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5-1. 수상이력 사항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470"/>
        </w:trPr>
        <w:tc>
          <w:tcPr>
            <w:tcW w:w="9581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 xml:space="preserve">※ </w:t>
            </w:r>
            <w:r>
              <w:rPr>
                <w:rFonts w:ascii="맑은 고딕" w:eastAsia="맑은 고딕"/>
                <w:color w:val="0000ff"/>
                <w:spacing w:val="-2"/>
              </w:rPr>
              <w:t>창업기업은 기업 및 대표자 수상 내역 해당</w:t>
            </w:r>
          </w:p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사업화지원금이 아닌 상금만 기재(예비창업패키지, 초기창업패키지 등의 수혜내역 제외)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해당없음 (2026.04 신설법인, 최근 3년 누적 수상 상금 없음)</w:t>
      </w:r>
    </w:p>
    <w:p>
      <w:pPr>
        <w:pStyle w:val="0"/>
        <w:widowControl w:val="off"/>
      </w:pPr>
    </w:p>
    <w:tbl>
      <w:tblPr>
        <w:tblOverlap w:val="never"/>
        <w:tblW w:w="95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67"/>
        <w:gridCol w:w="1038"/>
        <w:gridCol w:w="2636"/>
        <w:gridCol w:w="1497"/>
        <w:gridCol w:w="2229"/>
        <w:gridCol w:w="1270"/>
      </w:tblGrid>
      <w:tr>
        <w:trPr>
          <w:trHeight w:val="658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수상일</w:t>
            </w: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수상자</w:t>
            </w: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대회명</w:t>
            </w: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주최기관</w:t>
            </w: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훈격</w:t>
            </w: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상금(천원)</w:t>
            </w:r>
          </w:p>
        </w:tc>
      </w:tr>
      <w:tr>
        <w:trPr>
          <w:trHeight w:val="410"/>
        </w:trPr>
        <w:tc>
          <w:tcPr>
            <w:tcW w:w="86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○○</w:t>
            </w: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149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i/>
                <w:color w:val="0000ff"/>
              </w:rPr>
              <w:t>○○</w:t>
            </w:r>
            <w:r>
              <w:rPr>
                <w:rFonts w:ascii="맑은 고딕" w:eastAsia="맑은 고딕"/>
                <w:i/>
                <w:color w:val="0000ff"/>
              </w:rPr>
              <w:t/>
            </w:r>
          </w:p>
        </w:tc>
        <w:tc>
          <w:tcPr>
            <w:tcW w:w="127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i/>
                <w:color w:val="0000ff"/>
              </w:rPr>
              <w:t/>
            </w: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  <w:tr>
        <w:trPr>
          <w:trHeight w:val="410"/>
        </w:trPr>
        <w:tc>
          <w:tcPr>
            <w:tcW w:w="86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03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636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49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222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z w:val="24"/>
              </w:rPr>
            </w:pPr>
          </w:p>
        </w:tc>
        <w:tc>
          <w:tcPr>
            <w:tcW w:w="127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z w:val="24"/>
              </w:rPr>
            </w:pPr>
          </w:p>
        </w:tc>
      </w:tr>
    </w:tbl>
    <w:p>
      <w:pPr>
        <w:pStyle w:val="0"/>
        <w:widowControl w:val="off"/>
        <w:wordWrap w:val="1"/>
        <w:ind w:left="454" w:hanging="454"/>
        <w:jc w:val="left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</w:pPr>
      <w:r>
        <w:rPr>
          <w:rFonts w:ascii="HCI Poppy" w:eastAsia="휴먼명조"/>
          <w:b/>
          <w:sz w:val="30"/>
        </w:rPr>
        <w:t xml:space="preserve"> 5-2. 유사 대회 참여 또는 개발 이력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470"/>
        </w:trPr>
        <w:tc>
          <w:tcPr>
            <w:tcW w:w="9581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기업의 대회 참여 및 개발 이력 기재</w:t>
            </w:r>
          </w:p>
        </w:tc>
      </w:tr>
    </w:tbl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개발 이력: 매실 허브(ERP·WMS, 3월~ 운영중), 매실 인사이트(이커머스 심층분석·실수익 역산, 4월~ 운영중), 매실 스튜디오(콘텐츠 생성), 매실 플로워(주문·물류), 매실 에이전시(AI 오케스트레이션) — 5개 SaaS 자체 개발·상용 운영</w:t>
      </w:r>
    </w:p>
    <w:p>
      <w:pPr>
        <w:pStyle w:val="0"/>
        <w:widowControl w:val="off"/>
        <w:spacing w:line="360" w:lineRule="auto" w:before="20" w:after="20"/>
        <w:ind w:left="360" w:hanging="360"/>
      </w:pPr>
      <w:r>
        <w:rPr>
          <w:rFonts w:ascii="맑은 고딕" w:eastAsia="맑은 고딕"/>
          <w:color w:val="000000"/>
          <w:sz w:val="22"/>
        </w:rPr>
        <w:t xml:space="preserve">실사용 검증: 자가 브랜드 배마마 + 외부 6개사(인사이트 4사·스튜디오 2사 등) 실사용</w:t>
      </w:r>
    </w:p>
    <w:p>
      <w:pPr>
        <w:pStyle w:val="0"/>
        <w:widowControl w:val="off"/>
      </w:pPr>
    </w:p>
    <w:tbl>
      <w:tblPr>
        <w:tblOverlap w:val="never"/>
        <w:tblW w:w="926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620"/>
        <w:gridCol w:w="1677"/>
        <w:gridCol w:w="1450"/>
        <w:gridCol w:w="1513"/>
      </w:tblGrid>
      <w:tr>
        <w:trPr>
          <w:trHeight w:val="431"/>
        </w:trPr>
        <w:tc>
          <w:tcPr>
            <w:tcW w:w="462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대회(개발)명</w:t>
            </w:r>
          </w:p>
        </w:tc>
        <w:tc>
          <w:tcPr>
            <w:tcW w:w="1677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주관</w:t>
            </w:r>
          </w:p>
        </w:tc>
        <w:tc>
          <w:tcPr>
            <w:tcW w:w="1450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기간</w:t>
            </w:r>
          </w:p>
        </w:tc>
        <w:tc>
          <w:tcPr>
            <w:tcW w:w="1513" w:type="dxa"/>
            <w:tcBorders>
              <w:top w:val="single" w:color="000000" w:sz="5"/>
              <w:left w:val="single" w:color="000000" w:sz="5"/>
              <w:bottom w:val="double" w:color="000000" w:sz="5"/>
              <w:right w:val="single" w:color="000000" w:sz="5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입상여부</w:t>
            </w:r>
          </w:p>
        </w:tc>
      </w:tr>
      <w:tr>
        <w:trPr>
          <w:trHeight w:val="410"/>
        </w:trPr>
        <w:tc>
          <w:tcPr>
            <w:tcW w:w="462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677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450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513" w:type="dxa"/>
            <w:tcBorders>
              <w:top w:val="doub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10"/>
        </w:trPr>
        <w:tc>
          <w:tcPr>
            <w:tcW w:w="462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67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1450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z w:val="16"/>
              </w:rPr>
            </w:pPr>
          </w:p>
        </w:tc>
        <w:tc>
          <w:tcPr>
            <w:tcW w:w="1513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wordWrap w:val="1"/>
        <w:ind w:left="454" w:hanging="454"/>
        <w:jc w:val="left"/>
      </w:pPr>
    </w:p>
    <w:p>
      <w:pPr>
        <w:pStyle w:val="0"/>
        <w:widowControl w:val="off"/>
        <w:rPr>
          <w:rFonts w:ascii="HCI Poppy" w:eastAsia="휴먼명조"/>
          <w:b/>
          <w:color w:val="000000"/>
        </w:rPr>
      </w:pPr>
    </w:p>
    <w:p>
      <w:pPr>
        <w:pStyle w:val="0"/>
        <w:widowControl w:val="off"/>
        <w:wordWrap w:val="1"/>
        <w:ind w:left="454" w:hanging="454"/>
        <w:jc w:val="left"/>
        <w:rPr>
          <w:rFonts w:ascii="HCI Poppy" w:eastAsia="휴먼명조"/>
          <w:color w:val="000000"/>
          <w:sz w:val="24"/>
        </w:rPr>
      </w:pPr>
    </w:p>
    <w:p>
      <w:pPr>
        <w:pStyle w:val="0"/>
        <w:widowControl w:val="off"/>
        <w:wordWrap w:val="1"/>
        <w:ind w:left="454" w:hanging="454"/>
        <w:jc w:val="left"/>
        <w:rPr>
          <w:rFonts w:ascii="HCI Poppy" w:eastAsia="휴먼명조"/>
          <w:color w:val="000000"/>
          <w:sz w:val="26"/>
        </w:rPr>
      </w:pPr>
    </w:p>
    <w:p>
      <w:pPr>
        <w:pStyle w:val="0"/>
        <w:widowControl w:val="off"/>
        <w:spacing w:line="240" w:lineRule="auto"/>
        <w:ind w:left="316" w:hanging="316"/>
        <w:rPr>
          <w:color w:val="000000"/>
          <w:spacing w:val="0"/>
          <w:sz w:val="2"/>
        </w:rPr>
      </w:pPr>
    </w:p>
    <w:p>
      <w:pPr>
        <w:pStyle w:val="0"/>
        <w:widowControl w:val="off"/>
        <w:spacing w:line="240" w:lineRule="auto"/>
        <w:ind w:left="316" w:hanging="316"/>
        <w:rPr>
          <w:color w:val="000000"/>
          <w:spacing w:val="0"/>
          <w:sz w:val="2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(견고딕14)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8"/>
    </w:rPr>
  </w:style>
  <w:style w:type="paragraph" w:styleId="15">
    <w:name w:val="(신명조13)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6"/>
    </w:rPr>
  </w:style>
  <w:style w:type="paragraph" w:styleId="16">
    <w:name w:val="17제목글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48" w:lineRule="auto"/>
      <w:ind w:left="839" w:right="0" w:hanging="839"/>
      <w:jc w:val="both"/>
      <w:textAlignment w:val="baseline"/>
    </w:pPr>
    <w:rPr>
      <w:rFonts w:ascii="HCI Poppy" w:eastAsia="휴먼명조"/>
      <w:b/>
      <w:color w:val="000000"/>
      <w:sz w:val="34"/>
    </w:rPr>
  </w:style>
  <w:style w:type="paragraph" w:styleId="17">
    <w:name w:val="표안가운데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8" w:lineRule="auto"/>
      <w:ind w:left="0" w:right="0" w:firstLine="0"/>
      <w:jc w:val="center"/>
      <w:textAlignment w:val="baseline"/>
    </w:pPr>
    <w:rPr>
      <w:rFonts w:ascii="휴먼명조" w:eastAsia="휴먼명조"/>
      <w:color w:val="000000"/>
      <w:spacing w:val="-13"/>
      <w:w w:val="98"/>
      <w:sz w:val="22"/>
    </w:rPr>
  </w:style>
  <w:style w:type="paragraph" w:styleId="18">
    <w:name w:val="선그리기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57" w:line="384" w:lineRule="auto"/>
      <w:ind w:left="24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19">
    <w:name w:val="s0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한컴바탕"/>
      <w:color w:val="000000"/>
      <w:sz w:val="24"/>
    </w:rPr>
  </w:style>
  <w:style w:type="paragraph" w:styleId="20">
    <w:name w:val="++서식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-윤고딕140" w:eastAsia="-윤고딕140"/>
      <w:color w:val="000000"/>
      <w:sz w:val="36"/>
      <w:shd w:val="clear" w:color="000000"/>
    </w:rPr>
  </w:style>
  <w:style w:type="paragraph" w:styleId="21">
    <w:name w:val="바탕글 사본1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창업진흥원</dc:creator>
  <dc:description>Fasoo_Trace_ID: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</dc:description>
  <cp:lastModifiedBy>USER</cp:lastModifiedBy>
  <dcterms:created xsi:type="dcterms:W3CDTF">2019-05-13T05:09:37.000</dcterms:created>
  <dcterms:modified xsi:type="dcterms:W3CDTF">2026-05-07T06:16:44.000</dcterms:modified>
  <cp:version>0501.0001.01</cp:version>
</cp:coreProperties>
</file>