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Resource List: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background drawing (Layer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Destroyable background drawing (Layer 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drawing (Layer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 drawing (Layer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drawing (Layer 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drawing (Layer 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drawing (Layer 5)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draw: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Red, blue and white color Alphabet: A-Z, a-z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Red, blue and white color Numbers: 0-9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Walkable chapters for Red team and Blue team (Size 36x36 pixel with lucency background)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Chapters with Weapon for Red team and Blue team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based static background (40x40 of Size 36x36 Titles)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based destroyable background (less than 40x40 of Size 36x36 Titles)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Chater HP with Red and 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Naming List: (art file name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be the same as this list)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“Red_A.tga”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“Red_a.tga”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“Red_0.tga” etc…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“Blue_A.tga”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“Blue_a.tga”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“Blue_0.tga”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“White_A.tga”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“White_a.tga”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“White_0.tga” etc…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“Static_Background1.tga”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“Static_Background2.tga”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“Destroyable_Background1.tga”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“Destroyable_Background2.tga”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Etc….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Examples: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Alphabet &amp; numbers: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background and destroyable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14700" cy="2209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Sites with existing 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http://www.spriters-resource.com/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http://spritedatabase.net/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anything you like in those website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