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67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1587"/>
        <w:gridCol w:w="1113"/>
        <w:gridCol w:w="1408"/>
        <w:gridCol w:w="320"/>
        <w:gridCol w:w="637"/>
        <w:gridCol w:w="4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2" w:type="dxa"/>
        </w:trPr>
        <w:tc>
          <w:tcPr>
            <w:tcW w:w="1253" w:type="dxa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数据类别</w:t>
            </w:r>
          </w:p>
        </w:tc>
        <w:tc>
          <w:tcPr>
            <w:tcW w:w="5065" w:type="dxa"/>
            <w:gridSpan w:val="5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具体参数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31" w:hRule="atLeast"/>
        </w:trPr>
        <w:tc>
          <w:tcPr>
            <w:tcW w:w="1253" w:type="dxa"/>
            <w:vMerge w:val="restart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太空电梯成本</w:t>
            </w:r>
          </w:p>
        </w:tc>
        <w:tc>
          <w:tcPr>
            <w:tcW w:w="2700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单位运输成本</w:t>
            </w:r>
          </w:p>
        </w:tc>
        <w:tc>
          <w:tcPr>
            <w:tcW w:w="2817" w:type="dxa"/>
            <w:gridSpan w:val="4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450-600 美元 / 公斤</w:t>
            </w:r>
          </w:p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31" w:hRule="atLeast"/>
        </w:trPr>
        <w:tc>
          <w:tcPr>
            <w:tcW w:w="1253" w:type="dxa"/>
            <w:vMerge w:val="continue"/>
          </w:tcPr>
          <w:p/>
        </w:tc>
        <w:tc>
          <w:tcPr>
            <w:tcW w:w="2700" w:type="dxa"/>
            <w:gridSpan w:val="2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银河港建设固定成本</w:t>
            </w:r>
          </w:p>
        </w:tc>
        <w:tc>
          <w:tcPr>
            <w:tcW w:w="2817" w:type="dxa"/>
            <w:gridSpan w:val="4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单座 1200-1800 亿美元</w:t>
            </w:r>
          </w:p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三座 3600-5400 亿美元</w:t>
            </w:r>
          </w:p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16" w:hRule="atLeast"/>
        </w:trPr>
        <w:tc>
          <w:tcPr>
            <w:tcW w:w="1253" w:type="dxa"/>
            <w:vMerge w:val="restart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火箭成本</w:t>
            </w:r>
          </w:p>
        </w:tc>
        <w:tc>
          <w:tcPr>
            <w:tcW w:w="2700" w:type="dxa"/>
            <w:gridSpan w:val="2"/>
            <w:vMerge w:val="restart"/>
          </w:tcPr>
          <w:p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发射场启用固定成本</w:t>
            </w:r>
          </w:p>
        </w:tc>
        <w:tc>
          <w:tcPr>
            <w:tcW w:w="1408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2025年（当前）</w:t>
            </w:r>
          </w:p>
        </w:tc>
        <w:tc>
          <w:tcPr>
            <w:tcW w:w="1409" w:type="dxa"/>
            <w:gridSpan w:val="3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2050年（预测）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16" w:hRule="atLeast"/>
        </w:trPr>
        <w:tc>
          <w:tcPr>
            <w:tcW w:w="1253" w:type="dxa"/>
            <w:vMerge w:val="continue"/>
          </w:tcPr>
          <w:p/>
        </w:tc>
        <w:tc>
          <w:tcPr>
            <w:tcW w:w="2700" w:type="dxa"/>
            <w:gridSpan w:val="2"/>
            <w:vMerge w:val="continue"/>
          </w:tcPr>
          <w:p/>
        </w:tc>
        <w:tc>
          <w:tcPr>
            <w:tcW w:w="1408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300—500万美元</w:t>
            </w:r>
          </w:p>
        </w:tc>
        <w:tc>
          <w:tcPr>
            <w:tcW w:w="1409" w:type="dxa"/>
            <w:gridSpan w:val="3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250 万 - 400 万美元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243" w:hRule="atLeast"/>
        </w:trPr>
        <w:tc>
          <w:tcPr>
            <w:tcW w:w="1253" w:type="dxa"/>
            <w:vMerge w:val="continue"/>
          </w:tcPr>
          <w:p/>
        </w:tc>
        <w:tc>
          <w:tcPr>
            <w:tcW w:w="2700" w:type="dxa"/>
            <w:gridSpan w:val="2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单位运输成本</w:t>
            </w:r>
          </w:p>
        </w:tc>
        <w:tc>
          <w:tcPr>
            <w:tcW w:w="1408" w:type="dxa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color w:val="000000"/>
                <w:sz w:val="12"/>
                <w:szCs w:val="12"/>
                <w:lang w:val="en-US" w:eastAsia="zh-CN"/>
              </w:rPr>
              <w:t>270</w:t>
            </w:r>
            <w:r>
              <w:rPr>
                <w:rStyle w:val="5"/>
                <w:rFonts w:ascii="宋体" w:hAnsi="宋体" w:eastAsia="宋体" w:cs="宋体"/>
                <w:b/>
                <w:color w:val="000000"/>
                <w:sz w:val="12"/>
                <w:szCs w:val="12"/>
              </w:rPr>
              <w:t>万美元 / 吨</w:t>
            </w:r>
          </w:p>
        </w:tc>
        <w:tc>
          <w:tcPr>
            <w:tcW w:w="1409" w:type="dxa"/>
            <w:gridSpan w:val="3"/>
          </w:tcPr>
          <w:p>
            <w:pPr>
              <w:rPr>
                <w:rFonts w:ascii="宋体" w:hAnsi="宋体" w:eastAsia="宋体" w:cs="宋体"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color w:val="000000"/>
                <w:sz w:val="12"/>
                <w:szCs w:val="12"/>
              </w:rPr>
              <w:t>90∼112.5万美元/吨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775" w:hRule="atLeast"/>
        </w:trPr>
        <w:tc>
          <w:tcPr>
            <w:tcW w:w="1253" w:type="dxa"/>
            <w:vMerge w:val="restart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运营参数</w:t>
            </w:r>
          </w:p>
        </w:tc>
        <w:tc>
          <w:tcPr>
            <w:tcW w:w="2700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太空电梯单次运输周期</w:t>
            </w:r>
          </w:p>
        </w:tc>
        <w:tc>
          <w:tcPr>
            <w:tcW w:w="2817" w:type="dxa"/>
            <w:gridSpan w:val="4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7天，往返14天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51" w:hRule="atLeast"/>
        </w:trPr>
        <w:tc>
          <w:tcPr>
            <w:tcW w:w="1253" w:type="dxa"/>
            <w:vMerge w:val="continue"/>
          </w:tcPr>
          <w:p/>
        </w:tc>
        <w:tc>
          <w:tcPr>
            <w:tcW w:w="2700" w:type="dxa"/>
            <w:gridSpan w:val="2"/>
            <w:vMerge w:val="restart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火箭年发射次数上限</w:t>
            </w:r>
          </w:p>
        </w:tc>
        <w:tc>
          <w:tcPr>
            <w:tcW w:w="1408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2025（当前）</w:t>
            </w:r>
          </w:p>
        </w:tc>
        <w:tc>
          <w:tcPr>
            <w:tcW w:w="1409" w:type="dxa"/>
            <w:gridSpan w:val="3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2050（预测）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51" w:hRule="atLeast"/>
        </w:trPr>
        <w:tc>
          <w:tcPr>
            <w:tcW w:w="1253" w:type="dxa"/>
            <w:vMerge w:val="continue"/>
          </w:tcPr>
          <w:p/>
        </w:tc>
        <w:tc>
          <w:tcPr>
            <w:tcW w:w="2700" w:type="dxa"/>
            <w:gridSpan w:val="2"/>
            <w:vMerge w:val="continue"/>
          </w:tcPr>
          <w:p/>
        </w:tc>
        <w:tc>
          <w:tcPr>
            <w:tcW w:w="1408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329次</w:t>
            </w:r>
          </w:p>
        </w:tc>
        <w:tc>
          <w:tcPr>
            <w:tcW w:w="140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7300次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775" w:hRule="atLeast"/>
        </w:trPr>
        <w:tc>
          <w:tcPr>
            <w:tcW w:w="1253" w:type="dxa"/>
            <w:vMerge w:val="restart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可靠性参数</w:t>
            </w:r>
          </w:p>
        </w:tc>
        <w:tc>
          <w:tcPr>
            <w:tcW w:w="2700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太空电梯故障率</w:t>
            </w:r>
          </w:p>
        </w:tc>
        <w:tc>
          <w:tcPr>
            <w:tcW w:w="2817" w:type="dxa"/>
            <w:gridSpan w:val="4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理想工况下故障率 </w:t>
            </w:r>
            <w:r>
              <w:rPr>
                <w:rStyle w:val="5"/>
                <w:rFonts w:ascii="宋体" w:hAnsi="宋体" w:eastAsia="宋体" w:cs="宋体"/>
                <w:b/>
                <w:color w:val="000000"/>
                <w:sz w:val="12"/>
                <w:szCs w:val="12"/>
              </w:rPr>
              <w:t>&lt; 0.05%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；极端天气下故障率升至 </w:t>
            </w:r>
            <w:r>
              <w:rPr>
                <w:rStyle w:val="5"/>
                <w:rFonts w:ascii="宋体" w:hAnsi="宋体" w:eastAsia="宋体" w:cs="宋体"/>
                <w:b/>
                <w:color w:val="000000"/>
                <w:sz w:val="12"/>
                <w:szCs w:val="12"/>
              </w:rPr>
              <w:t>0.8-1.2%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51" w:hRule="atLeast"/>
        </w:trPr>
        <w:tc>
          <w:tcPr>
            <w:tcW w:w="1253" w:type="dxa"/>
            <w:vMerge w:val="continue"/>
          </w:tcPr>
          <w:p/>
        </w:tc>
        <w:tc>
          <w:tcPr>
            <w:tcW w:w="2700" w:type="dxa"/>
            <w:gridSpan w:val="2"/>
            <w:vMerge w:val="restart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火箭发射失败率</w:t>
            </w:r>
          </w:p>
        </w:tc>
        <w:tc>
          <w:tcPr>
            <w:tcW w:w="1408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2025当前</w:t>
            </w:r>
          </w:p>
        </w:tc>
        <w:tc>
          <w:tcPr>
            <w:tcW w:w="1409" w:type="dxa"/>
            <w:gridSpan w:val="3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2050预测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51" w:hRule="atLeast"/>
        </w:trPr>
        <w:tc>
          <w:tcPr>
            <w:tcW w:w="1253" w:type="dxa"/>
            <w:vMerge w:val="continue"/>
          </w:tcPr>
          <w:p/>
        </w:tc>
        <w:tc>
          <w:tcPr>
            <w:tcW w:w="2700" w:type="dxa"/>
            <w:gridSpan w:val="2"/>
            <w:vMerge w:val="continue"/>
          </w:tcPr>
          <w:p/>
        </w:tc>
        <w:tc>
          <w:tcPr>
            <w:tcW w:w="1408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1.2%</w:t>
            </w:r>
          </w:p>
        </w:tc>
        <w:tc>
          <w:tcPr>
            <w:tcW w:w="140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775" w:hRule="atLeast"/>
        </w:trPr>
        <w:tc>
          <w:tcPr>
            <w:tcW w:w="1253" w:type="dxa"/>
            <w:vMerge w:val="restart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水资源参数</w:t>
            </w:r>
          </w:p>
        </w:tc>
        <w:tc>
          <w:tcPr>
            <w:tcW w:w="2700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人均日用水量</w:t>
            </w:r>
          </w:p>
        </w:tc>
        <w:tc>
          <w:tcPr>
            <w:tcW w:w="2817" w:type="dxa"/>
            <w:gridSpan w:val="4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闭环生态系统下 </w:t>
            </w:r>
            <w:r>
              <w:rPr>
                <w:rStyle w:val="5"/>
                <w:rFonts w:ascii="宋体" w:hAnsi="宋体" w:eastAsia="宋体" w:cs="宋体"/>
                <w:b/>
                <w:color w:val="000000"/>
                <w:sz w:val="12"/>
                <w:szCs w:val="12"/>
              </w:rPr>
              <w:t>60-90 升 / 人 / 天</w:t>
            </w:r>
            <w:r>
              <w:rPr>
                <w:rFonts w:ascii="宋体" w:hAnsi="宋体" w:eastAsia="宋体" w:cs="宋体"/>
                <w:sz w:val="24"/>
                <w:szCs w:val="24"/>
              </w:rPr>
              <w:t>（含生活、种植、设备冷却）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775" w:hRule="atLeast"/>
        </w:trPr>
        <w:tc>
          <w:tcPr>
            <w:tcW w:w="1253" w:type="dxa"/>
            <w:vMerge w:val="continue"/>
          </w:tcPr>
          <w:p/>
        </w:tc>
        <w:tc>
          <w:tcPr>
            <w:tcW w:w="2700" w:type="dxa"/>
            <w:gridSpan w:val="2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再生水回收率</w:t>
            </w:r>
          </w:p>
        </w:tc>
        <w:tc>
          <w:tcPr>
            <w:tcW w:w="2817" w:type="dxa"/>
            <w:gridSpan w:val="4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生物再生系统回收率 </w:t>
            </w:r>
            <w:r>
              <w:rPr>
                <w:rStyle w:val="5"/>
                <w:rFonts w:ascii="宋体" w:hAnsi="宋体" w:eastAsia="宋体" w:cs="宋体"/>
                <w:b/>
                <w:color w:val="000000"/>
                <w:sz w:val="12"/>
                <w:szCs w:val="12"/>
              </w:rPr>
              <w:t>96-98%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，其中尿液资源化率 </w:t>
            </w:r>
            <w:r>
              <w:rPr>
                <w:rStyle w:val="5"/>
                <w:rFonts w:ascii="宋体" w:hAnsi="宋体" w:eastAsia="宋体" w:cs="宋体"/>
                <w:b/>
                <w:color w:val="000000"/>
                <w:sz w:val="12"/>
                <w:szCs w:val="12"/>
              </w:rPr>
              <w:t>99%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19" w:hRule="atLeast"/>
        </w:trPr>
        <w:tc>
          <w:tcPr>
            <w:tcW w:w="1253" w:type="dxa"/>
            <w:vMerge w:val="restart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环境影响</w:t>
            </w:r>
          </w:p>
        </w:tc>
        <w:tc>
          <w:tcPr>
            <w:tcW w:w="2700" w:type="dxa"/>
            <w:gridSpan w:val="2"/>
            <w:vMerge w:val="restart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参数碳排放因子</w:t>
            </w:r>
          </w:p>
        </w:tc>
        <w:tc>
          <w:tcPr>
            <w:tcW w:w="1408" w:type="dxa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太空电梯</w:t>
            </w:r>
          </w:p>
        </w:tc>
        <w:tc>
          <w:tcPr>
            <w:tcW w:w="1409" w:type="dxa"/>
            <w:gridSpan w:val="3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 吨 CO₂/ 吨物资（全电力驱动）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19" w:hRule="atLeast"/>
        </w:trPr>
        <w:tc>
          <w:tcPr>
            <w:tcW w:w="1253" w:type="dxa"/>
            <w:vMerge w:val="continue"/>
          </w:tcPr>
          <w:p/>
        </w:tc>
        <w:tc>
          <w:tcPr>
            <w:tcW w:w="2700" w:type="dxa"/>
            <w:gridSpan w:val="2"/>
            <w:vMerge w:val="continue"/>
          </w:tcPr>
          <w:p/>
        </w:tc>
        <w:tc>
          <w:tcPr>
            <w:tcW w:w="1408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火箭</w:t>
            </w:r>
          </w:p>
        </w:tc>
        <w:tc>
          <w:tcPr>
            <w:tcW w:w="1409" w:type="dxa"/>
            <w:gridSpan w:val="3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液氧甲烷燃料：2.2-2.8 吨 CO₂/ 吨物资煤油燃料：5.5-7.2 吨 CO₂/ 吨物资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36" w:hRule="atLeast"/>
        </w:trPr>
        <w:tc>
          <w:tcPr>
            <w:tcW w:w="1253" w:type="dxa"/>
            <w:vMerge w:val="continue"/>
          </w:tcPr>
          <w:p/>
        </w:tc>
        <w:tc>
          <w:tcPr>
            <w:tcW w:w="2700" w:type="dxa"/>
            <w:gridSpan w:val="2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污染物排放因子</w:t>
            </w:r>
          </w:p>
        </w:tc>
        <w:tc>
          <w:tcPr>
            <w:tcW w:w="2817" w:type="dxa"/>
            <w:gridSpan w:val="4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Segoe UI Emoji" w:hAnsi="Segoe UI Emoji" w:eastAsia="Segoe UI Emoji" w:cs="Segoe UI Emoji"/>
                <w:i w:val="0"/>
                <w:caps w:val="0"/>
                <w:spacing w:val="0"/>
                <w:sz w:val="12"/>
                <w:szCs w:val="12"/>
              </w:rPr>
              <w:t>单次火箭发射排放氯化氢 95-110 吨、氧化铝微粒 60-70 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89" w:type="dxa"/>
        </w:trPr>
        <w:tc>
          <w:tcPr>
            <w:tcW w:w="2840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物资需求</w:t>
            </w:r>
          </w:p>
        </w:tc>
        <w:tc>
          <w:tcPr>
            <w:tcW w:w="2841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月球殖民地建设总物资量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89" w:type="dxa"/>
        </w:trPr>
        <w:tc>
          <w:tcPr>
            <w:tcW w:w="2840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太空电梯运力</w:t>
            </w:r>
          </w:p>
        </w:tc>
        <w:tc>
          <w:tcPr>
            <w:tcW w:w="2841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单银河港年运输能力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89" w:type="dxa"/>
        </w:trPr>
        <w:tc>
          <w:tcPr>
            <w:tcW w:w="2840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太空电梯配置</w:t>
            </w:r>
          </w:p>
        </w:tc>
        <w:tc>
          <w:tcPr>
            <w:tcW w:w="2841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银河港数量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89" w:type="dxa"/>
        </w:trPr>
        <w:tc>
          <w:tcPr>
            <w:tcW w:w="2840" w:type="dxa"/>
            <w:gridSpan w:val="2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火箭运力</w:t>
            </w:r>
          </w:p>
        </w:tc>
        <w:tc>
          <w:tcPr>
            <w:tcW w:w="2841" w:type="dxa"/>
            <w:gridSpan w:val="3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单次运输载荷范围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89" w:type="dxa"/>
        </w:trPr>
        <w:tc>
          <w:tcPr>
            <w:tcW w:w="2840" w:type="dxa"/>
            <w:gridSpan w:val="2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火箭发射场</w:t>
            </w:r>
          </w:p>
        </w:tc>
        <w:tc>
          <w:tcPr>
            <w:tcW w:w="2841" w:type="dxa"/>
            <w:gridSpan w:val="3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发射场数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89" w:type="dxa"/>
        </w:trPr>
        <w:tc>
          <w:tcPr>
            <w:tcW w:w="2840" w:type="dxa"/>
            <w:gridSpan w:val="2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殖民地规模</w:t>
            </w:r>
          </w:p>
        </w:tc>
        <w:tc>
          <w:tcPr>
            <w:tcW w:w="2841" w:type="dxa"/>
            <w:gridSpan w:val="3"/>
          </w:tcPr>
          <w:p>
            <w:r>
              <w:rPr>
                <w:rFonts w:ascii="宋体" w:hAnsi="宋体" w:eastAsia="宋体" w:cs="宋体"/>
                <w:sz w:val="24"/>
                <w:szCs w:val="24"/>
              </w:rPr>
              <w:t>常住人口数量</w:t>
            </w:r>
          </w:p>
        </w:tc>
      </w:tr>
    </w:tbl>
    <w:p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A6761"/>
    <w:rsid w:val="0E5A6761"/>
    <w:rsid w:val="147B59A0"/>
    <w:rsid w:val="4D0D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2026-01-30T08:57:00Z</dcterms:created>
  <dc:creator>星夜飞雪</dc:creator>
  <cp:lastModifiedBy>星夜飞雪</cp:lastModifiedBy>
  <dcterms:modified xsi:type="dcterms:W3CDTF">2026-01-30T12:33:52Z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