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6"/>
      </w:tblGrid>
      <w:tr>
        <w:trPr>
          <w:trHeight w:hRule="exact" w:val="15847"/>
        </w:trPr>
        <w:tc>
          <w:tcPr>
            <w:tcW w:type="dxa" w:w="10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9" w:lineRule="auto" w:before="924" w:after="0"/>
              <w:ind w:left="948" w:right="892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been recorded, of which 1,518 species are from the marine environment, 113 from brackish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waters and 877 are from freshwater habitats. In addition, 291 exotic fish species also occur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in India. </w:t>
            </w:r>
          </w:p>
          <w:p>
            <w:pPr>
              <w:autoSpaceDN w:val="0"/>
              <w:autoSpaceDE w:val="0"/>
              <w:widowControl/>
              <w:spacing w:line="274" w:lineRule="auto" w:before="114" w:after="126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Fish Diversity of India*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660.0" w:type="dxa"/>
            </w:tblPr>
            <w:tblGrid>
              <w:gridCol w:w="5460"/>
              <w:gridCol w:w="5460"/>
            </w:tblGrid>
            <w:tr>
              <w:trPr>
                <w:trHeight w:hRule="exact" w:val="414"/>
              </w:trPr>
              <w:tc>
                <w:tcPr>
                  <w:tcW w:type="dxa" w:w="2632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0" w:after="0"/>
                    <w:ind w:left="108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/>
                      <w:color w:val="000000"/>
                      <w:sz w:val="22"/>
                    </w:rPr>
                    <w:t xml:space="preserve">Native Fishes </w:t>
                  </w:r>
                </w:p>
              </w:tc>
              <w:tc>
                <w:tcPr>
                  <w:tcW w:type="dxa" w:w="2972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/>
                      <w:color w:val="000000"/>
                      <w:sz w:val="22"/>
                    </w:rPr>
                    <w:t xml:space="preserve">Number of Species </w:t>
                  </w:r>
                </w:p>
              </w:tc>
            </w:tr>
            <w:tr>
              <w:trPr>
                <w:trHeight w:hRule="exact" w:val="410"/>
              </w:trPr>
              <w:tc>
                <w:tcPr>
                  <w:tcW w:type="dxa" w:w="2632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0" w:after="0"/>
                    <w:ind w:left="108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Marine Ecosystem </w:t>
                  </w:r>
                </w:p>
              </w:tc>
              <w:tc>
                <w:tcPr>
                  <w:tcW w:type="dxa" w:w="2972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1518 </w:t>
                  </w:r>
                </w:p>
              </w:tc>
            </w:tr>
            <w:tr>
              <w:trPr>
                <w:trHeight w:hRule="exact" w:val="414"/>
              </w:trPr>
              <w:tc>
                <w:tcPr>
                  <w:tcW w:type="dxa" w:w="2632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0" w:after="0"/>
                    <w:ind w:left="108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Brackishwater Ecosystem </w:t>
                  </w:r>
                </w:p>
              </w:tc>
              <w:tc>
                <w:tcPr>
                  <w:tcW w:type="dxa" w:w="2972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113 </w:t>
                  </w:r>
                </w:p>
              </w:tc>
            </w:tr>
            <w:tr>
              <w:trPr>
                <w:trHeight w:hRule="exact" w:val="414"/>
              </w:trPr>
              <w:tc>
                <w:tcPr>
                  <w:tcW w:type="dxa" w:w="2632"/>
                  <w:tcBorders>
                    <w:start w:sz="4.0" w:val="single" w:color="#000000"/>
                    <w:top w:sz="3.199999999999818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0" w:after="0"/>
                    <w:ind w:left="108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Freshwater Ecosystem </w:t>
                  </w:r>
                </w:p>
              </w:tc>
              <w:tc>
                <w:tcPr>
                  <w:tcW w:type="dxa" w:w="2972"/>
                  <w:tcBorders>
                    <w:start w:sz="3.199999999999818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877 </w:t>
                  </w:r>
                </w:p>
              </w:tc>
            </w:tr>
            <w:tr>
              <w:trPr>
                <w:trHeight w:hRule="exact" w:val="410"/>
              </w:trPr>
              <w:tc>
                <w:tcPr>
                  <w:tcW w:type="dxa" w:w="2632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0" w:after="0"/>
                    <w:ind w:left="0" w:right="54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2"/>
                    </w:rPr>
                    <w:t xml:space="preserve">Sub-total </w:t>
                  </w:r>
                </w:p>
              </w:tc>
              <w:tc>
                <w:tcPr>
                  <w:tcW w:type="dxa" w:w="2972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2"/>
                    </w:rPr>
                    <w:t xml:space="preserve">2508 </w:t>
                  </w:r>
                </w:p>
              </w:tc>
            </w:tr>
            <w:tr>
              <w:trPr>
                <w:trHeight w:hRule="exact" w:val="418"/>
              </w:trPr>
              <w:tc>
                <w:tcPr>
                  <w:tcW w:type="dxa" w:w="2632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0" w:after="0"/>
                    <w:ind w:left="108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/>
                      <w:color w:val="000000"/>
                      <w:sz w:val="22"/>
                    </w:rPr>
                    <w:t xml:space="preserve">Exotic Fishes </w:t>
                  </w:r>
                </w:p>
              </w:tc>
              <w:tc>
                <w:tcPr>
                  <w:tcW w:type="dxa" w:w="2972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2"/>
                    </w:rPr>
                    <w:t xml:space="preserve">291 </w:t>
                  </w:r>
                </w:p>
              </w:tc>
            </w:tr>
            <w:tr>
              <w:trPr>
                <w:trHeight w:hRule="exact" w:val="410"/>
              </w:trPr>
              <w:tc>
                <w:tcPr>
                  <w:tcW w:type="dxa" w:w="2632"/>
                  <w:tcBorders>
                    <w:start w:sz="4.0" w:val="single" w:color="#000000"/>
                    <w:top w:sz="4.0" w:val="single" w:color="#000000"/>
                    <w:end w:sz="3.199999999999818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0" w:after="0"/>
                    <w:ind w:left="0" w:right="54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2"/>
                    </w:rPr>
                    <w:t xml:space="preserve">Total </w:t>
                  </w:r>
                </w:p>
              </w:tc>
              <w:tc>
                <w:tcPr>
                  <w:tcW w:type="dxa" w:w="2972"/>
                  <w:tcBorders>
                    <w:start w:sz="3.199999999999818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2"/>
                    </w:rPr>
                    <w:t xml:space="preserve">2799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50" w:lineRule="auto" w:before="230" w:after="0"/>
              <w:ind w:left="948" w:right="900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*U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hyperlink r:id="rId9" w:history="1">
                <w:r>
                  <w:rPr>
                    <w:rStyle w:val="Hyperlink"/>
                  </w:rPr>
                  <w:t>ttam K Sarkar,</w:t>
                </w:r>
              </w:hyperlink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hyperlink r:id="rId10" w:history="1">
                <w:r>
                  <w:rPr>
                    <w:rStyle w:val="Hyperlink"/>
                  </w:rPr>
                  <w:t>JK Jena,</w:t>
                </w:r>
              </w:hyperlink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hyperlink r:id="rId11" w:history="1">
                <w:r>
                  <w:rPr>
                    <w:rStyle w:val="Hyperlink"/>
                  </w:rPr>
                  <w:t>Shri Prakash Singh,</w:t>
                </w:r>
              </w:hyperlink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hyperlink r:id="rId12" w:history="1">
                <w:r>
                  <w:rPr>
                    <w:rStyle w:val="Hyperlink"/>
                  </w:rPr>
                  <w:t xml:space="preserve">AK Singh </w:t>
                </w:r>
              </w:hyperlink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and SC Rebello (2012). </w:t>
            </w:r>
            <w:r>
              <w:rPr>
                <w:rFonts w:ascii="Calibri" w:hAnsi="Calibri" w:eastAsia="Calibri"/>
                <w:b w:val="0"/>
                <w:i/>
                <w:color w:val="000000"/>
                <w:sz w:val="20"/>
              </w:rPr>
              <w:t xml:space="preserve">Documenting Coastal Fish </w:t>
            </w:r>
            <w:r>
              <w:rPr>
                <w:rFonts w:ascii="Calibri" w:hAnsi="Calibri" w:eastAsia="Calibri"/>
                <w:b w:val="0"/>
                <w:i/>
                <w:color w:val="000000"/>
                <w:sz w:val="20"/>
              </w:rPr>
              <w:t>Bi</w:t>
            </w:r>
            <w:r>
              <w:rPr>
                <w:rFonts w:ascii="Calibri" w:hAnsi="Calibri" w:eastAsia="Calibri"/>
                <w:b w:val="0"/>
                <w:i/>
                <w:color w:val="000000"/>
                <w:sz w:val="20"/>
              </w:rPr>
              <w:hyperlink r:id="rId9" w:history="1">
                <w:r>
                  <w:rPr>
                    <w:rStyle w:val="Hyperlink"/>
                  </w:rPr>
                  <w:t>odiversity of Ind</w:t>
                </w:r>
              </w:hyperlink>
            </w:r>
            <w:r>
              <w:rPr>
                <w:rFonts w:ascii="Calibri" w:hAnsi="Calibri" w:eastAsia="Calibri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Calibri" w:hAnsi="Calibri" w:eastAsia="Calibri"/>
                <w:b w:val="0"/>
                <w:i/>
                <w:color w:val="000000"/>
                <w:sz w:val="20"/>
              </w:rPr>
              <w:hyperlink r:id="rId10" w:history="1">
                <w:r>
                  <w:rPr>
                    <w:rStyle w:val="Hyperlink"/>
                  </w:rPr>
                  <w:t>a: Status</w:t>
                </w:r>
              </w:hyperlink>
            </w:r>
            <w:r>
              <w:rPr>
                <w:rFonts w:ascii="Calibri" w:hAnsi="Calibri" w:eastAsia="Calibri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Calibri" w:hAnsi="Calibri" w:eastAsia="Calibri"/>
                <w:b w:val="0"/>
                <w:i/>
                <w:color w:val="000000"/>
                <w:sz w:val="20"/>
              </w:rPr>
              <w:hyperlink r:id="rId11" w:history="1">
                <w:r>
                  <w:rPr>
                    <w:rStyle w:val="Hyperlink"/>
                  </w:rPr>
                  <w:t xml:space="preserve"> Issues and Challeng</w:t>
                </w:r>
              </w:hyperlink>
            </w:r>
            <w:r>
              <w:rPr>
                <w:rFonts w:ascii="Calibri" w:hAnsi="Calibri" w:eastAsia="Calibri"/>
                <w:b w:val="0"/>
                <w:i/>
                <w:color w:val="000000"/>
                <w:sz w:val="20"/>
              </w:rPr>
              <w:t>e</w:t>
            </w:r>
            <w:r>
              <w:rPr>
                <w:rFonts w:ascii="Calibri" w:hAnsi="Calibri" w:eastAsia="Calibri"/>
                <w:b w:val="0"/>
                <w:i/>
                <w:color w:val="000000"/>
                <w:sz w:val="20"/>
              </w:rPr>
              <w:hyperlink r:id="rId12" w:history="1">
                <w:r>
                  <w:rPr>
                    <w:rStyle w:val="Hyperlink"/>
                  </w:rPr>
                  <w:t>s.</w:t>
                </w:r>
              </w:hyperlink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hyperlink r:id="rId12" w:history="1">
                <w:r>
                  <w:rPr>
                    <w:rStyle w:val="Hyperlink"/>
                  </w:rPr>
                  <w:t xml:space="preserve"> Confere</w:t>
                </w:r>
              </w:hyperlink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nce Paper, International Day for Biological Diversity,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 xml:space="preserve">Marine Biodiversity, 22 May 2012, Uttar Pradesh State Biodiversity Board, Lucknow, pp. 22-28. </w:t>
            </w:r>
          </w:p>
          <w:p>
            <w:pPr>
              <w:autoSpaceDN w:val="0"/>
              <w:autoSpaceDE w:val="0"/>
              <w:widowControl/>
              <w:spacing w:line="271" w:lineRule="auto" w:before="410" w:after="0"/>
              <w:ind w:left="99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C00000"/>
                <w:sz w:val="24"/>
              </w:rPr>
              <w:t xml:space="preserve">Categorization of Fish by their habitat: </w:t>
            </w:r>
          </w:p>
          <w:p>
            <w:pPr>
              <w:autoSpaceDN w:val="0"/>
              <w:autoSpaceDE w:val="0"/>
              <w:widowControl/>
              <w:spacing w:line="329" w:lineRule="auto" w:before="454" w:after="0"/>
              <w:ind w:left="1668" w:right="892" w:hanging="360"/>
              <w:jc w:val="both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Freshwater Fish: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 Fish that spend most or all of their life in freshwaters, such as rivers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and lakes, having a salinity of less than 0.5 ppt. Around 40% of all known species of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fish are found in freshwater. </w:t>
            </w:r>
          </w:p>
          <w:p>
            <w:pPr>
              <w:autoSpaceDN w:val="0"/>
              <w:tabs>
                <w:tab w:pos="5428" w:val="left"/>
              </w:tabs>
              <w:autoSpaceDE w:val="0"/>
              <w:widowControl/>
              <w:spacing w:line="329" w:lineRule="auto" w:before="408" w:after="0"/>
              <w:ind w:left="1668" w:right="86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They may be divided into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Coldwater Fish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 (5 – 20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C); examples: Mahseer, Trout, etc.,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and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Warmwater Fish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 (25 – 35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C); example: Carps, Catfish, Snakeheads,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Featherbacks, etc. </w:t>
            </w:r>
          </w:p>
          <w:p>
            <w:pPr>
              <w:autoSpaceDN w:val="0"/>
              <w:tabs>
                <w:tab w:pos="1668" w:val="left"/>
              </w:tabs>
              <w:autoSpaceDE w:val="0"/>
              <w:widowControl/>
              <w:spacing w:line="312" w:lineRule="auto" w:before="566" w:after="0"/>
              <w:ind w:left="1308" w:right="864" w:firstLine="0"/>
              <w:jc w:val="lef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Brackishwater Fish: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 Fish that can tolerate a wide range of salinity (0.5 – 30.0 ppt)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and live in backwaters, estuaries and coastal waters. </w:t>
            </w:r>
          </w:p>
          <w:p>
            <w:pPr>
              <w:autoSpaceDN w:val="0"/>
              <w:autoSpaceDE w:val="0"/>
              <w:widowControl/>
              <w:spacing w:line="262" w:lineRule="auto" w:before="118" w:after="0"/>
              <w:ind w:left="166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Example: Mullet, Milkfish, Seabass, Pearlspot, Mudskipper, etc. </w:t>
            </w:r>
          </w:p>
          <w:p>
            <w:pPr>
              <w:autoSpaceDN w:val="0"/>
              <w:autoSpaceDE w:val="0"/>
              <w:widowControl/>
              <w:spacing w:line="329" w:lineRule="auto" w:before="568" w:after="0"/>
              <w:ind w:left="1668" w:right="892" w:hanging="360"/>
              <w:jc w:val="both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Marine Fish: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 Fish that spend most or all of their life in seawater, such as Seas and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Oceans, having salinity above 30 ppt. There are about 240 species contributing to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the marine fisheries. </w:t>
            </w:r>
          </w:p>
          <w:p>
            <w:pPr>
              <w:autoSpaceDN w:val="0"/>
              <w:autoSpaceDE w:val="0"/>
              <w:widowControl/>
              <w:spacing w:line="264" w:lineRule="auto" w:before="118" w:after="0"/>
              <w:ind w:left="166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Example: Sardines, Mackerel, Ribbonfish, Anchovies, Grouper, Cobia, Tuna, etc. </w:t>
            </w:r>
          </w:p>
        </w:tc>
      </w:tr>
    </w:tbl>
    <w:p>
      <w:pPr>
        <w:autoSpaceDN w:val="0"/>
        <w:autoSpaceDE w:val="0"/>
        <w:widowControl/>
        <w:spacing w:line="330" w:lineRule="exact" w:before="0" w:after="0"/>
        <w:ind w:left="0" w:right="5360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1</w:t>
      </w:r>
    </w:p>
    <w:p>
      <w:pPr>
        <w:sectPr>
          <w:pgSz w:w="11906" w:h="16838"/>
          <w:pgMar w:top="240" w:right="460" w:bottom="164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6"/>
      </w:tblGrid>
      <w:tr>
        <w:trPr>
          <w:trHeight w:hRule="exact" w:val="15847"/>
        </w:trPr>
        <w:tc>
          <w:tcPr>
            <w:tcW w:type="dxa" w:w="10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33.9999999999999" w:type="dxa"/>
            </w:tblPr>
            <w:tblGrid>
              <w:gridCol w:w="5460"/>
              <w:gridCol w:w="5460"/>
            </w:tblGrid>
            <w:tr>
              <w:trPr>
                <w:trHeight w:hRule="exact" w:val="386"/>
              </w:trPr>
              <w:tc>
                <w:tcPr>
                  <w:tcW w:type="dxa" w:w="9024"/>
                  <w:gridSpan w:val="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shd w:fill="deeaf6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6" w:after="0"/>
                    <w:ind w:left="10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Mahseers </w:t>
                  </w:r>
                </w:p>
              </w:tc>
            </w:tr>
            <w:tr>
              <w:trPr>
                <w:trHeight w:hRule="exact" w:val="340"/>
              </w:trPr>
              <w:tc>
                <w:tcPr>
                  <w:tcW w:type="dxa" w:w="34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Fish Name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Picture </w:t>
                  </w:r>
                </w:p>
              </w:tc>
            </w:tr>
            <w:tr>
              <w:trPr>
                <w:trHeight w:hRule="exact" w:val="2150"/>
              </w:trPr>
              <w:tc>
                <w:tcPr>
                  <w:tcW w:type="dxa" w:w="34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158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Golden Mahseer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 xml:space="preserve">Tor putitora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312159" cy="133604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2159" cy="13360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1860"/>
              </w:trPr>
              <w:tc>
                <w:tcPr>
                  <w:tcW w:type="dxa" w:w="346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2016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Tor Mahseer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>Tor tor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2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161029" cy="1122679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1029" cy="11226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2340"/>
              </w:trPr>
              <w:tc>
                <w:tcPr>
                  <w:tcW w:type="dxa" w:w="346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158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Deccan Mahseer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>Tor khudree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2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243579" cy="1418589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3579" cy="141858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2250"/>
              </w:trPr>
              <w:tc>
                <w:tcPr>
                  <w:tcW w:type="dxa" w:w="346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288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Chocolate Mahseer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 xml:space="preserve">Neolissocheilus hexagonolepis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2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172460" cy="1374139"/>
                        <wp:docPr id="4" name="Picture 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2460" cy="1374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382"/>
              </w:trPr>
              <w:tc>
                <w:tcPr>
                  <w:tcW w:type="dxa" w:w="9024"/>
                  <w:gridSpan w:val="2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18" w:after="0"/>
                    <w:ind w:left="10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Trout </w:t>
                  </w:r>
                </w:p>
              </w:tc>
            </w:tr>
            <w:tr>
              <w:trPr>
                <w:trHeight w:hRule="exact" w:val="2252"/>
              </w:trPr>
              <w:tc>
                <w:tcPr>
                  <w:tcW w:type="dxa" w:w="3468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22" w:after="0"/>
                    <w:ind w:left="106" w:right="72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Common Snow Trout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 xml:space="preserve">Schizothorax richardsonii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3.199999999999818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965450" cy="1374140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5450" cy="13741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2088"/>
              </w:trPr>
              <w:tc>
                <w:tcPr>
                  <w:tcW w:type="dxa" w:w="3468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20" w:after="0"/>
                    <w:ind w:left="106" w:right="1152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Rainbow Trout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4"/>
                    </w:rPr>
                    <w:t xml:space="preserve">Oncorhynchus mykiss </w:t>
                  </w:r>
                </w:p>
              </w:tc>
              <w:tc>
                <w:tcPr>
                  <w:tcW w:type="dxa" w:w="5556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4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85440" cy="1285240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5440" cy="12852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330" w:lineRule="exact" w:before="0" w:after="0"/>
        <w:ind w:left="0" w:right="5360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2</w:t>
      </w:r>
    </w:p>
    <w:p>
      <w:pPr>
        <w:sectPr>
          <w:pgSz w:w="11906" w:h="16838"/>
          <w:pgMar w:top="240" w:right="460" w:bottom="164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52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4376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4</w:t>
      </w:r>
    </w:p>
    <w:p>
      <w:pPr>
        <w:sectPr>
          <w:pgSz w:w="11900" w:h="16840"/>
          <w:pgMar w:top="1440" w:right="1440" w:bottom="1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52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4376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8</w:t>
      </w:r>
    </w:p>
    <w:p>
      <w:pPr>
        <w:sectPr>
          <w:pgSz w:w="11900" w:h="16840"/>
          <w:pgMar w:top="1440" w:right="1440" w:bottom="1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52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4376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9</w:t>
      </w:r>
    </w:p>
    <w:p>
      <w:pPr>
        <w:sectPr>
          <w:pgSz w:w="11900" w:h="16840"/>
          <w:pgMar w:top="1440" w:right="1440" w:bottom="1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52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4244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10</w:t>
      </w:r>
    </w:p>
    <w:p>
      <w:pPr>
        <w:sectPr>
          <w:pgSz w:w="11900" w:h="16840"/>
          <w:pgMar w:top="1440" w:right="1440" w:bottom="1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52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4244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11</w:t>
      </w:r>
    </w:p>
    <w:p>
      <w:pPr>
        <w:sectPr>
          <w:pgSz w:w="11900" w:h="16840"/>
          <w:pgMar w:top="1440" w:right="1440" w:bottom="1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52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4244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12</w:t>
      </w:r>
    </w:p>
    <w:p>
      <w:pPr>
        <w:sectPr>
          <w:pgSz w:w="11900" w:h="16840"/>
          <w:pgMar w:top="1440" w:right="1440" w:bottom="1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52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4244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13</w:t>
      </w:r>
    </w:p>
    <w:p>
      <w:pPr>
        <w:sectPr>
          <w:pgSz w:w="11900" w:h="16840"/>
          <w:pgMar w:top="1440" w:right="1440" w:bottom="1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52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4244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14</w:t>
      </w:r>
    </w:p>
    <w:p>
      <w:pPr>
        <w:sectPr>
          <w:pgSz w:w="11900" w:h="16840"/>
          <w:pgMar w:top="1440" w:right="1440" w:bottom="1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522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0" w:right="4244" w:firstLine="0"/>
        <w:jc w:val="right"/>
      </w:pPr>
      <w:r>
        <w:rPr>
          <w:rFonts w:ascii="Helvetica" w:hAnsi="Helvetica" w:eastAsia="Helvetica"/>
          <w:b w:val="0"/>
          <w:i w:val="0"/>
          <w:color w:val="C11010"/>
          <w:sz w:val="24"/>
        </w:rPr>
        <w:t>15</w:t>
      </w:r>
    </w:p>
    <w:sectPr w:rsidR="00FC693F" w:rsidRPr="0006063C" w:rsidSect="00034616">
      <w:pgSz w:w="11900" w:h="16840"/>
      <w:pgMar w:top="1440" w:right="1440" w:bottom="164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researchgate.net/profile/Dr_uttam_Sarkar" TargetMode="External"/><Relationship Id="rId10" Type="http://schemas.openxmlformats.org/officeDocument/2006/relationships/hyperlink" Target="https://www.researchgate.net/scientific-contributions/58061200_J_K_Jena" TargetMode="External"/><Relationship Id="rId11" Type="http://schemas.openxmlformats.org/officeDocument/2006/relationships/hyperlink" Target="https://www.researchgate.net/profile/Shri_Singh7" TargetMode="External"/><Relationship Id="rId12" Type="http://schemas.openxmlformats.org/officeDocument/2006/relationships/hyperlink" Target="https://www.researchgate.net/scientific-contributions/2047071096_A_K_Singh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