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b/>
          <w:color w:val="1F4D78"/>
          <w:sz w:val="56"/>
        </w:rPr>
        <w:t>Filament Hotel</w:t>
      </w:r>
    </w:p>
    <w:p>
      <w:pPr>
        <w:pStyle w:val="Heading1"/>
      </w:pPr>
      <w:r>
        <w:rPr>
          <w:rFonts w:ascii="Calibri" w:hAnsi="Calibri"/>
          <w:sz w:val="22"/>
        </w:rPr>
        <w:t>Accountant User Guide</w:t>
      </w:r>
    </w:p>
    <w:p>
      <w:r>
        <w:rPr>
          <w:rFonts w:ascii="Calibri" w:hAnsi="Calibri"/>
          <w:b/>
          <w:sz w:val="22"/>
        </w:rPr>
        <w:t>Audience:</w:t>
      </w:r>
      <w:r>
        <w:rPr>
          <w:rFonts w:ascii="Calibri" w:hAnsi="Calibri"/>
          <w:sz w:val="22"/>
        </w:rPr>
        <w:t xml:space="preserve"> Accountants  </w:t>
      </w:r>
    </w:p>
    <w:p>
      <w:r>
        <w:rPr>
          <w:rFonts w:ascii="Calibri" w:hAnsi="Calibri"/>
          <w:b/>
          <w:sz w:val="22"/>
        </w:rPr>
        <w:t>Application:</w:t>
      </w:r>
      <w:r>
        <w:rPr>
          <w:rFonts w:ascii="Calibri" w:hAnsi="Calibri"/>
          <w:sz w:val="22"/>
        </w:rPr>
        <w:t xml:space="preserve"> Filament Hotel hospitality management system  </w:t>
      </w:r>
    </w:p>
    <w:p>
      <w:r>
        <w:rPr>
          <w:rFonts w:ascii="Calibri" w:hAnsi="Calibri"/>
          <w:b/>
          <w:sz w:val="22"/>
        </w:rPr>
        <w:t>Admin URL: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/admin</w:t>
      </w:r>
      <w:r>
        <w:rPr>
          <w:rFonts w:ascii="Calibri" w:hAnsi="Calibri"/>
          <w:sz w:val="22"/>
        </w:rPr>
        <w:t xml:space="preserve">  </w:t>
      </w:r>
    </w:p>
    <w:p>
      <w:r>
        <w:rPr>
          <w:rFonts w:ascii="Calibri" w:hAnsi="Calibri"/>
          <w:b/>
          <w:sz w:val="22"/>
        </w:rPr>
        <w:t>Guide date:</w:t>
      </w:r>
      <w:r>
        <w:rPr>
          <w:rFonts w:ascii="Calibri" w:hAnsi="Calibri"/>
          <w:sz w:val="22"/>
        </w:rPr>
        <w:t xml:space="preserve"> 29 August 2026</w:t>
      </w:r>
    </w:p>
    <w:p>
      <w:pPr>
        <w:pStyle w:val="Heading1"/>
      </w:pPr>
      <w:r>
        <w:rPr>
          <w:rFonts w:ascii="Calibri" w:hAnsi="Calibri"/>
          <w:sz w:val="22"/>
        </w:rPr>
        <w:t>1. Accountant role at a glance</w:t>
      </w:r>
    </w:p>
    <w:p>
      <w:r>
        <w:rPr>
          <w:rFonts w:ascii="Calibri" w:hAnsi="Calibri"/>
          <w:sz w:val="22"/>
        </w:rPr>
        <w:t>The accountant owns the payment, receivables, refund, and finance-reporting workflows in the Filament panel. The role can review transactions across hotel bookings, conference bookings, table reservations, and food orders; record or correct payments; process refunds when authorized; reconcile corporate credit; and review stock/production reports that affect financial controls.</w:t>
      </w:r>
    </w:p>
    <w:p>
      <w:r>
        <w:rPr>
          <w:rFonts w:ascii="Calibri" w:hAnsi="Calibri"/>
          <w:sz w:val="22"/>
        </w:rPr>
        <w:t>The accountant is a finance-focused role. It is not a general administrator role: accountants do not manage user roles, create or edit corporate organisations, maintain promotions, or change hotel branding and billing configuration. Escalate those changes to a super admin, admin, or manager.</w:t>
      </w:r>
    </w:p>
    <w:p>
      <w:pPr>
        <w:pStyle w:val="Heading1"/>
      </w:pPr>
      <w:r>
        <w:rPr>
          <w:rFonts w:ascii="Calibri" w:hAnsi="Calibri"/>
          <w:sz w:val="22"/>
        </w:rPr>
        <w:t>2. Sign in and use the accountant dashboard</w:t>
      </w:r>
    </w:p>
    <w:p>
      <w:pPr>
        <w:pStyle w:val="ListNumber"/>
      </w:pPr>
      <w:r>
        <w:rPr>
          <w:rFonts w:ascii="Calibri" w:hAnsi="Calibri"/>
          <w:sz w:val="22"/>
        </w:rPr>
        <w:t xml:space="preserve">Open the admin URL, normally </w:t>
      </w:r>
      <w:r>
        <w:rPr>
          <w:rFonts w:ascii="Consolas" w:hAnsi="Consolas"/>
          <w:color w:val="1F4D78"/>
          <w:sz w:val="20"/>
        </w:rPr>
        <w:t>https://your-domain.com/admin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>Sign in with your accountant email and password.</w:t>
      </w:r>
    </w:p>
    <w:p>
      <w:pPr>
        <w:pStyle w:val="ListNumber"/>
      </w:pPr>
      <w:r>
        <w:rPr>
          <w:rFonts w:ascii="Calibri" w:hAnsi="Calibri"/>
          <w:sz w:val="22"/>
        </w:rPr>
        <w:t xml:space="preserve">Open </w:t>
      </w:r>
      <w:r>
        <w:rPr>
          <w:rFonts w:ascii="Calibri" w:hAnsi="Calibri"/>
          <w:b/>
          <w:sz w:val="22"/>
        </w:rPr>
        <w:t>Dashboards → Accountant Dashboard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 xml:space="preserve">If access is denied, confirm the account has the </w:t>
      </w:r>
      <w:r>
        <w:rPr>
          <w:rFonts w:ascii="Consolas" w:hAnsi="Consolas"/>
          <w:color w:val="1F4D78"/>
          <w:sz w:val="20"/>
        </w:rPr>
        <w:t>accountant</w:t>
      </w:r>
      <w:r>
        <w:rPr>
          <w:rFonts w:ascii="Calibri" w:hAnsi="Calibri"/>
          <w:sz w:val="22"/>
        </w:rPr>
        <w:t xml:space="preserve"> role and </w:t>
      </w:r>
      <w:r>
        <w:rPr>
          <w:rFonts w:ascii="Consolas" w:hAnsi="Consolas"/>
          <w:color w:val="1F4D78"/>
          <w:sz w:val="20"/>
        </w:rPr>
        <w:t>view accountant dashboard</w:t>
      </w:r>
      <w:r>
        <w:rPr>
          <w:rFonts w:ascii="Calibri" w:hAnsi="Calibri"/>
          <w:sz w:val="22"/>
        </w:rPr>
        <w:t xml:space="preserve"> permission.</w:t>
      </w:r>
    </w:p>
    <w:p>
      <w:pPr>
        <w:pStyle w:val="ListNumber"/>
      </w:pPr>
      <w:r>
        <w:rPr>
          <w:rFonts w:ascii="Calibri" w:hAnsi="Calibri"/>
          <w:sz w:val="22"/>
        </w:rPr>
        <w:t>Sign out from the profile menu when finished on a shared device.</w:t>
      </w:r>
    </w:p>
    <w:p>
      <w:r>
        <w:rPr>
          <w:rFonts w:ascii="Calibri" w:hAnsi="Calibri"/>
          <w:sz w:val="22"/>
        </w:rPr>
        <w:t xml:space="preserve">The </w:t>
      </w:r>
      <w:r>
        <w:rPr>
          <w:rFonts w:ascii="Calibri" w:hAnsi="Calibri"/>
          <w:b/>
          <w:sz w:val="22"/>
        </w:rPr>
        <w:t>Dashboard period</w:t>
      </w:r>
      <w:r>
        <w:rPr>
          <w:rFonts w:ascii="Calibri" w:hAnsi="Calibri"/>
          <w:sz w:val="22"/>
        </w:rPr>
        <w:t xml:space="preserve"> section spans the page width. Choose </w:t>
      </w:r>
      <w:r>
        <w:rPr>
          <w:rFonts w:ascii="Calibri" w:hAnsi="Calibri"/>
          <w:b/>
          <w:sz w:val="22"/>
        </w:rPr>
        <w:t>Daily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>Weekly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>Monthly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>Quarterly</w:t>
      </w:r>
      <w:r>
        <w:rPr>
          <w:rFonts w:ascii="Calibri" w:hAnsi="Calibri"/>
          <w:sz w:val="22"/>
        </w:rPr>
        <w:t xml:space="preserve">, or </w:t>
      </w:r>
      <w:r>
        <w:rPr>
          <w:rFonts w:ascii="Calibri" w:hAnsi="Calibri"/>
          <w:b/>
          <w:sz w:val="22"/>
        </w:rPr>
        <w:t>Yearly</w:t>
      </w:r>
      <w:r>
        <w:rPr>
          <w:rFonts w:ascii="Calibri" w:hAnsi="Calibri"/>
          <w:sz w:val="22"/>
        </w:rPr>
        <w:t>, or provide custom start and end dates. Date-aware widgets use the selected range:</w:t>
      </w:r>
    </w:p>
    <w:p>
      <w:pPr>
        <w:pStyle w:val="ListBullet"/>
      </w:pPr>
      <w:r>
        <w:rPr>
          <w:rFonts w:ascii="Calibri" w:hAnsi="Calibri"/>
          <w:b/>
          <w:sz w:val="22"/>
        </w:rPr>
        <w:t>AccountantStats</w:t>
      </w:r>
      <w:r>
        <w:rPr>
          <w:rFonts w:ascii="Calibri" w:hAnsi="Calibri"/>
          <w:sz w:val="22"/>
        </w:rPr>
        <w:t xml:space="preserve"> — completed revenue, outstanding balance, refunds, and payment count.</w:t>
      </w:r>
    </w:p>
    <w:p>
      <w:pPr>
        <w:pStyle w:val="ListBullet"/>
      </w:pPr>
      <w:r>
        <w:rPr>
          <w:rFonts w:ascii="Calibri" w:hAnsi="Calibri"/>
          <w:b/>
          <w:sz w:val="22"/>
        </w:rPr>
        <w:t>AccountantReceivablesStats</w:t>
      </w:r>
      <w:r>
        <w:rPr>
          <w:rFonts w:ascii="Calibri" w:hAnsi="Calibri"/>
          <w:sz w:val="22"/>
        </w:rPr>
        <w:t xml:space="preserve"> — hotel, conference, table-reservation, food-order, and corporate-billed receivables.</w:t>
      </w:r>
    </w:p>
    <w:p>
      <w:pPr>
        <w:pStyle w:val="ListBullet"/>
      </w:pPr>
      <w:r>
        <w:rPr>
          <w:rFonts w:ascii="Calibri" w:hAnsi="Calibri"/>
          <w:b/>
          <w:sz w:val="22"/>
        </w:rPr>
        <w:t>Corporate billing</w:t>
      </w:r>
      <w:r>
        <w:rPr>
          <w:rFonts w:ascii="Calibri" w:hAnsi="Calibri"/>
          <w:sz w:val="22"/>
        </w:rPr>
        <w:t xml:space="preserve"> — credit exposure and outstanding corporate balances.</w:t>
      </w:r>
    </w:p>
    <w:p>
      <w:pPr>
        <w:pStyle w:val="ListBullet"/>
      </w:pPr>
      <w:r>
        <w:rPr>
          <w:rFonts w:ascii="Calibri" w:hAnsi="Calibri"/>
          <w:b/>
          <w:sz w:val="22"/>
        </w:rPr>
        <w:t>Revenue chart</w:t>
      </w:r>
      <w:r>
        <w:rPr>
          <w:rFonts w:ascii="Calibri" w:hAnsi="Calibri"/>
          <w:sz w:val="22"/>
        </w:rPr>
        <w:t xml:space="preserve"> — restaurant revenue trend for the selected period.</w:t>
      </w:r>
    </w:p>
    <w:p>
      <w:pPr>
        <w:pStyle w:val="ListBullet"/>
      </w:pPr>
      <w:r>
        <w:rPr>
          <w:rFonts w:ascii="Calibri" w:hAnsi="Calibri"/>
          <w:b/>
          <w:sz w:val="22"/>
        </w:rPr>
        <w:t>Recent payments</w:t>
      </w:r>
      <w:r>
        <w:rPr>
          <w:rFonts w:ascii="Calibri" w:hAnsi="Calibri"/>
          <w:sz w:val="22"/>
        </w:rPr>
        <w:t xml:space="preserve"> — latest payment records in the active scope.</w:t>
      </w:r>
    </w:p>
    <w:p>
      <w:r>
        <w:rPr>
          <w:rFonts w:ascii="Calibri" w:hAnsi="Calibri"/>
          <w:sz w:val="22"/>
        </w:rPr>
        <w:t>The dashboard period is a reporting scope, not a settlement action. A payment created today can settle a booking created in an earlier period.</w:t>
      </w:r>
    </w:p>
    <w:p>
      <w:pPr>
        <w:pStyle w:val="Heading1"/>
      </w:pPr>
      <w:r>
        <w:rPr>
          <w:rFonts w:ascii="Calibri" w:hAnsi="Calibri"/>
          <w:sz w:val="22"/>
        </w:rPr>
        <w:t>3. What accountants can access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Area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Accountant capability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Dashboard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Accountant cash-position and receivables stats, corporate billing, revenue chart, and recent payments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Payments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View, create, edit, reconcile, and manage payment records within assigned permissions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Refunds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Process authorized refunds and preserve the reason/audit trail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Hotel transactions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View bookings and payment status; do not perform reception check-in/out tasks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Conferences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View conference bookings and their payment state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Restaurant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View table reservations and food orders, including payment/corporate state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Financial reports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View revenue, guest, restaurant, and transaction reporting permitted by the panel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Kitchen controls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View kitchen stock, stock movements, and production-versus-sales reports for cost/reconciliation checks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Corporate receivables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Review open credit transactions and record approved offline settlements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System settings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View billing settings; configuration changes are reserved for super admin/admin/manager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Users and setup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No role/permission, promotion, corporate-organisation, or branding administration</w:t>
            </w:r>
          </w:p>
        </w:tc>
      </w:tr>
    </w:tbl>
    <w:p/>
    <w:p>
      <w:r>
        <w:rPr>
          <w:rFonts w:ascii="Calibri" w:hAnsi="Calibri"/>
          <w:sz w:val="22"/>
        </w:rPr>
        <w:t>Sidebar visibility follows the seeded permissions and resource authorization. A missing item usually indicates an authorization or navigation issue rather than missing data.</w:t>
      </w:r>
    </w:p>
    <w:p>
      <w:pPr>
        <w:pStyle w:val="Heading1"/>
      </w:pPr>
      <w:r>
        <w:rPr>
          <w:rFonts w:ascii="Calibri" w:hAnsi="Calibri"/>
          <w:sz w:val="22"/>
        </w:rPr>
        <w:t>4. Daily reconciliation routine</w:t>
      </w:r>
    </w:p>
    <w:p>
      <w:r>
        <w:rPr>
          <w:rFonts w:ascii="Calibri" w:hAnsi="Calibri"/>
          <w:sz w:val="22"/>
        </w:rPr>
        <w:t>Use this sequence at the start and end of each accounting day:</w:t>
      </w:r>
    </w:p>
    <w:p>
      <w:pPr>
        <w:pStyle w:val="ListNumber"/>
      </w:pPr>
      <w:r>
        <w:rPr>
          <w:rFonts w:ascii="Calibri" w:hAnsi="Calibri"/>
          <w:sz w:val="22"/>
        </w:rPr>
        <w:t xml:space="preserve">Set the accountant dashboard and Payments page to </w:t>
      </w:r>
      <w:r>
        <w:rPr>
          <w:rFonts w:ascii="Calibri" w:hAnsi="Calibri"/>
          <w:b/>
          <w:sz w:val="22"/>
        </w:rPr>
        <w:t>Daily</w:t>
      </w:r>
      <w:r>
        <w:rPr>
          <w:rFonts w:ascii="Calibri" w:hAnsi="Calibri"/>
          <w:sz w:val="22"/>
        </w:rPr>
        <w:t xml:space="preserve"> (or the exact custom range).</w:t>
      </w:r>
    </w:p>
    <w:p>
      <w:pPr>
        <w:pStyle w:val="ListNumber"/>
      </w:pPr>
      <w:r>
        <w:rPr>
          <w:rFonts w:ascii="Calibri" w:hAnsi="Calibri"/>
          <w:sz w:val="22"/>
        </w:rPr>
        <w:t xml:space="preserve">Compare </w:t>
      </w:r>
      <w:r>
        <w:rPr>
          <w:rFonts w:ascii="Calibri" w:hAnsi="Calibri"/>
          <w:b/>
          <w:sz w:val="22"/>
        </w:rPr>
        <w:t>Total collected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>Pending amount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>Refunded amount</w:t>
      </w:r>
      <w:r>
        <w:rPr>
          <w:rFonts w:ascii="Calibri" w:hAnsi="Calibri"/>
          <w:sz w:val="22"/>
        </w:rPr>
        <w:t xml:space="preserve">, and </w:t>
      </w:r>
      <w:r>
        <w:rPr>
          <w:rFonts w:ascii="Calibri" w:hAnsi="Calibri"/>
          <w:b/>
          <w:sz w:val="22"/>
        </w:rPr>
        <w:t>Payment count</w:t>
      </w:r>
      <w:r>
        <w:rPr>
          <w:rFonts w:ascii="Calibri" w:hAnsi="Calibri"/>
          <w:sz w:val="22"/>
        </w:rPr>
        <w:t xml:space="preserve"> with the approved cash, mobile-money, card, and bank statements.</w:t>
      </w:r>
    </w:p>
    <w:p>
      <w:pPr>
        <w:pStyle w:val="ListNumber"/>
      </w:pPr>
      <w:r>
        <w:rPr>
          <w:rFonts w:ascii="Calibri" w:hAnsi="Calibri"/>
          <w:sz w:val="22"/>
        </w:rPr>
        <w:t>Open Payments and filter one transaction type at a time: food orders, conference bookings, hotel bookings, and table reservations.</w:t>
      </w:r>
    </w:p>
    <w:p>
      <w:pPr>
        <w:pStyle w:val="ListNumber"/>
      </w:pPr>
      <w:r>
        <w:rPr>
          <w:rFonts w:ascii="Calibri" w:hAnsi="Calibri"/>
          <w:sz w:val="22"/>
        </w:rPr>
        <w:t>Confirm every payment has a recognizable transaction ID, guest, method, reference, amount, and status.</w:t>
      </w:r>
    </w:p>
    <w:p>
      <w:pPr>
        <w:pStyle w:val="ListNumber"/>
      </w:pPr>
      <w:r>
        <w:rPr>
          <w:rFonts w:ascii="Calibri" w:hAnsi="Calibri"/>
          <w:sz w:val="22"/>
        </w:rPr>
        <w:t xml:space="preserve">Review </w:t>
      </w:r>
      <w:r>
        <w:rPr>
          <w:rFonts w:ascii="Calibri" w:hAnsi="Calibri"/>
          <w:b/>
          <w:sz w:val="22"/>
        </w:rPr>
        <w:t>Corporate Receivables</w:t>
      </w:r>
      <w:r>
        <w:rPr>
          <w:rFonts w:ascii="Calibri" w:hAnsi="Calibri"/>
          <w:sz w:val="22"/>
        </w:rPr>
        <w:t xml:space="preserve"> for unpaid credit transactions and follow up with the organisation contact.</w:t>
      </w:r>
    </w:p>
    <w:p>
      <w:pPr>
        <w:pStyle w:val="ListNumber"/>
      </w:pPr>
      <w:r>
        <w:rPr>
          <w:rFonts w:ascii="Calibri" w:hAnsi="Calibri"/>
          <w:sz w:val="22"/>
        </w:rPr>
        <w:t>Check refunds, failed payments, duplicates, and offline settlements; attach or record a useful reference.</w:t>
      </w:r>
    </w:p>
    <w:p>
      <w:pPr>
        <w:pStyle w:val="ListNumber"/>
      </w:pPr>
      <w:r>
        <w:rPr>
          <w:rFonts w:ascii="Calibri" w:hAnsi="Calibri"/>
          <w:sz w:val="22"/>
        </w:rPr>
        <w:t>Export or archive the approved reconciliation outside the application according to finance policy.</w:t>
      </w:r>
    </w:p>
    <w:p>
      <w:pPr>
        <w:pStyle w:val="Heading1"/>
      </w:pPr>
      <w:r>
        <w:rPr>
          <w:rFonts w:ascii="Calibri" w:hAnsi="Calibri"/>
          <w:sz w:val="22"/>
        </w:rPr>
        <w:t>5. Payments page</w:t>
      </w:r>
    </w:p>
    <w:p>
      <w:r>
        <w:rPr>
          <w:rFonts w:ascii="Calibri" w:hAnsi="Calibri"/>
          <w:sz w:val="22"/>
        </w:rPr>
        <w:t xml:space="preserve">Open </w:t>
      </w:r>
      <w:r>
        <w:rPr>
          <w:rFonts w:ascii="Calibri" w:hAnsi="Calibri"/>
          <w:b/>
          <w:sz w:val="22"/>
        </w:rPr>
        <w:t>Finance → Payments</w:t>
      </w:r>
      <w:r>
        <w:rPr>
          <w:rFonts w:ascii="Calibri" w:hAnsi="Calibri"/>
          <w:sz w:val="22"/>
        </w:rPr>
        <w:t>. The page uses a full-width filter area and matching summary cards.</w:t>
      </w:r>
    </w:p>
    <w:p>
      <w:pPr>
        <w:pStyle w:val="Heading2"/>
      </w:pPr>
      <w:r>
        <w:rPr>
          <w:rFonts w:ascii="Calibri" w:hAnsi="Calibri"/>
          <w:sz w:val="22"/>
        </w:rPr>
        <w:t>Filter the payment list</w:t>
      </w:r>
    </w:p>
    <w:p>
      <w:pPr>
        <w:pStyle w:val="ListNumber"/>
      </w:pPr>
      <w:r>
        <w:rPr>
          <w:rFonts w:ascii="Calibri" w:hAnsi="Calibri"/>
          <w:sz w:val="22"/>
        </w:rPr>
        <w:t xml:space="preserve">Choose a </w:t>
      </w:r>
      <w:r>
        <w:rPr>
          <w:rFonts w:ascii="Calibri" w:hAnsi="Calibri"/>
          <w:b/>
          <w:sz w:val="22"/>
        </w:rPr>
        <w:t>Transaction type</w:t>
      </w:r>
      <w:r>
        <w:rPr>
          <w:rFonts w:ascii="Calibri" w:hAnsi="Calibri"/>
          <w:sz w:val="22"/>
        </w:rPr>
        <w:t>:</w:t>
      </w:r>
    </w:p>
    <w:p>
      <w:r>
        <w:rPr>
          <w:rFonts w:ascii="Calibri" w:hAnsi="Calibri"/>
          <w:sz w:val="22"/>
        </w:rPr>
        <w:t xml:space="preserve">   - </w:t>
      </w:r>
      <w:r>
        <w:rPr>
          <w:rFonts w:ascii="Calibri" w:hAnsi="Calibri"/>
          <w:b/>
          <w:sz w:val="22"/>
        </w:rPr>
        <w:t>All payments</w:t>
      </w:r>
    </w:p>
    <w:p>
      <w:r>
        <w:rPr>
          <w:rFonts w:ascii="Calibri" w:hAnsi="Calibri"/>
          <w:sz w:val="22"/>
        </w:rPr>
        <w:t xml:space="preserve">   - </w:t>
      </w:r>
      <w:r>
        <w:rPr>
          <w:rFonts w:ascii="Calibri" w:hAnsi="Calibri"/>
          <w:b/>
          <w:sz w:val="22"/>
        </w:rPr>
        <w:t>Food orders</w:t>
      </w:r>
    </w:p>
    <w:p>
      <w:r>
        <w:rPr>
          <w:rFonts w:ascii="Calibri" w:hAnsi="Calibri"/>
          <w:sz w:val="22"/>
        </w:rPr>
        <w:t xml:space="preserve">   - </w:t>
      </w:r>
      <w:r>
        <w:rPr>
          <w:rFonts w:ascii="Calibri" w:hAnsi="Calibri"/>
          <w:b/>
          <w:sz w:val="22"/>
        </w:rPr>
        <w:t>Conference bookings</w:t>
      </w:r>
    </w:p>
    <w:p>
      <w:r>
        <w:rPr>
          <w:rFonts w:ascii="Calibri" w:hAnsi="Calibri"/>
          <w:sz w:val="22"/>
        </w:rPr>
        <w:t xml:space="preserve">   - </w:t>
      </w:r>
      <w:r>
        <w:rPr>
          <w:rFonts w:ascii="Calibri" w:hAnsi="Calibri"/>
          <w:b/>
          <w:sz w:val="22"/>
        </w:rPr>
        <w:t>Hotel bookings</w:t>
      </w:r>
    </w:p>
    <w:p>
      <w:r>
        <w:rPr>
          <w:rFonts w:ascii="Calibri" w:hAnsi="Calibri"/>
          <w:sz w:val="22"/>
        </w:rPr>
        <w:t xml:space="preserve">   - </w:t>
      </w:r>
      <w:r>
        <w:rPr>
          <w:rFonts w:ascii="Calibri" w:hAnsi="Calibri"/>
          <w:b/>
          <w:sz w:val="22"/>
        </w:rPr>
        <w:t>Table reservations</w:t>
      </w:r>
    </w:p>
    <w:p>
      <w:pPr>
        <w:pStyle w:val="ListNumber"/>
      </w:pPr>
      <w:r>
        <w:rPr>
          <w:rFonts w:ascii="Calibri" w:hAnsi="Calibri"/>
          <w:sz w:val="22"/>
        </w:rPr>
        <w:t xml:space="preserve">Choose a </w:t>
      </w:r>
      <w:r>
        <w:rPr>
          <w:rFonts w:ascii="Calibri" w:hAnsi="Calibri"/>
          <w:b/>
          <w:sz w:val="22"/>
        </w:rPr>
        <w:t>Breakdown</w:t>
      </w:r>
      <w:r>
        <w:rPr>
          <w:rFonts w:ascii="Calibri" w:hAnsi="Calibri"/>
          <w:sz w:val="22"/>
        </w:rPr>
        <w:t>: daily, weekly, monthly, quarterly, or annually.</w:t>
      </w:r>
    </w:p>
    <w:p>
      <w:pPr>
        <w:pStyle w:val="ListNumber"/>
      </w:pPr>
      <w:r>
        <w:rPr>
          <w:rFonts w:ascii="Calibri" w:hAnsi="Calibri"/>
          <w:sz w:val="22"/>
        </w:rPr>
        <w:t xml:space="preserve">Optionally set custom </w:t>
      </w:r>
      <w:r>
        <w:rPr>
          <w:rFonts w:ascii="Calibri" w:hAnsi="Calibri"/>
          <w:b/>
          <w:sz w:val="22"/>
        </w:rPr>
        <w:t>Start date</w:t>
      </w:r>
      <w:r>
        <w:rPr>
          <w:rFonts w:ascii="Calibri" w:hAnsi="Calibri"/>
          <w:sz w:val="22"/>
        </w:rPr>
        <w:t xml:space="preserve"> and </w:t>
      </w:r>
      <w:r>
        <w:rPr>
          <w:rFonts w:ascii="Calibri" w:hAnsi="Calibri"/>
          <w:b/>
          <w:sz w:val="22"/>
        </w:rPr>
        <w:t>End date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>Review both the table and the metrics; they share the same type and date scope.</w:t>
      </w:r>
    </w:p>
    <w:p>
      <w:r>
        <w:rPr>
          <w:rFonts w:ascii="Calibri" w:hAnsi="Calibri"/>
          <w:sz w:val="22"/>
        </w:rPr>
        <w:t>The metrics are:</w:t>
      </w:r>
    </w:p>
    <w:p>
      <w:pPr>
        <w:pStyle w:val="ListBullet"/>
      </w:pPr>
      <w:r>
        <w:rPr>
          <w:rFonts w:ascii="Calibri" w:hAnsi="Calibri"/>
          <w:b/>
          <w:sz w:val="22"/>
        </w:rPr>
        <w:t>Payment count</w:t>
      </w:r>
      <w:r>
        <w:rPr>
          <w:rFonts w:ascii="Calibri" w:hAnsi="Calibri"/>
          <w:sz w:val="22"/>
        </w:rPr>
        <w:t xml:space="preserve"> — number of payment records in scope.</w:t>
      </w:r>
    </w:p>
    <w:p>
      <w:pPr>
        <w:pStyle w:val="ListBullet"/>
      </w:pPr>
      <w:r>
        <w:rPr>
          <w:rFonts w:ascii="Calibri" w:hAnsi="Calibri"/>
          <w:b/>
          <w:sz w:val="22"/>
        </w:rPr>
        <w:t>Total collected</w:t>
      </w:r>
      <w:r>
        <w:rPr>
          <w:rFonts w:ascii="Calibri" w:hAnsi="Calibri"/>
          <w:sz w:val="22"/>
        </w:rPr>
        <w:t xml:space="preserve"> — records with </w:t>
      </w:r>
      <w:r>
        <w:rPr>
          <w:rFonts w:ascii="Consolas" w:hAnsi="Consolas"/>
          <w:color w:val="1F4D78"/>
          <w:sz w:val="20"/>
        </w:rPr>
        <w:t>paid</w:t>
      </w:r>
      <w:r>
        <w:rPr>
          <w:rFonts w:ascii="Calibri" w:hAnsi="Calibri"/>
          <w:sz w:val="22"/>
        </w:rPr>
        <w:t xml:space="preserve"> or </w:t>
      </w:r>
      <w:r>
        <w:rPr>
          <w:rFonts w:ascii="Consolas" w:hAnsi="Consolas"/>
          <w:color w:val="1F4D78"/>
          <w:sz w:val="20"/>
        </w:rPr>
        <w:t>completed</w:t>
      </w:r>
      <w:r>
        <w:rPr>
          <w:rFonts w:ascii="Calibri" w:hAnsi="Calibri"/>
          <w:sz w:val="22"/>
        </w:rPr>
        <w:t xml:space="preserve"> status.</w:t>
      </w:r>
    </w:p>
    <w:p>
      <w:pPr>
        <w:pStyle w:val="ListBullet"/>
      </w:pPr>
      <w:r>
        <w:rPr>
          <w:rFonts w:ascii="Calibri" w:hAnsi="Calibri"/>
          <w:b/>
          <w:sz w:val="22"/>
        </w:rPr>
        <w:t>Pending amount</w:t>
      </w:r>
      <w:r>
        <w:rPr>
          <w:rFonts w:ascii="Calibri" w:hAnsi="Calibri"/>
          <w:sz w:val="22"/>
        </w:rPr>
        <w:t xml:space="preserve"> — records with </w:t>
      </w:r>
      <w:r>
        <w:rPr>
          <w:rFonts w:ascii="Consolas" w:hAnsi="Consolas"/>
          <w:color w:val="1F4D78"/>
          <w:sz w:val="20"/>
        </w:rPr>
        <w:t>pending</w:t>
      </w:r>
      <w:r>
        <w:rPr>
          <w:rFonts w:ascii="Calibri" w:hAnsi="Calibri"/>
          <w:sz w:val="22"/>
        </w:rPr>
        <w:t xml:space="preserve"> or </w:t>
      </w:r>
      <w:r>
        <w:rPr>
          <w:rFonts w:ascii="Consolas" w:hAnsi="Consolas"/>
          <w:color w:val="1F4D78"/>
          <w:sz w:val="20"/>
        </w:rPr>
        <w:t>unpaid</w:t>
      </w:r>
      <w:r>
        <w:rPr>
          <w:rFonts w:ascii="Calibri" w:hAnsi="Calibri"/>
          <w:sz w:val="22"/>
        </w:rPr>
        <w:t xml:space="preserve"> status.</w:t>
      </w:r>
    </w:p>
    <w:p>
      <w:pPr>
        <w:pStyle w:val="ListBullet"/>
      </w:pPr>
      <w:r>
        <w:rPr>
          <w:rFonts w:ascii="Calibri" w:hAnsi="Calibri"/>
          <w:b/>
          <w:sz w:val="22"/>
        </w:rPr>
        <w:t>Refunded amount</w:t>
      </w:r>
      <w:r>
        <w:rPr>
          <w:rFonts w:ascii="Calibri" w:hAnsi="Calibri"/>
          <w:sz w:val="22"/>
        </w:rPr>
        <w:t xml:space="preserve"> — records with </w:t>
      </w:r>
      <w:r>
        <w:rPr>
          <w:rFonts w:ascii="Consolas" w:hAnsi="Consolas"/>
          <w:color w:val="1F4D78"/>
          <w:sz w:val="20"/>
        </w:rPr>
        <w:t>refunded</w:t>
      </w:r>
      <w:r>
        <w:rPr>
          <w:rFonts w:ascii="Calibri" w:hAnsi="Calibri"/>
          <w:sz w:val="22"/>
        </w:rPr>
        <w:t xml:space="preserve"> or </w:t>
      </w:r>
      <w:r>
        <w:rPr>
          <w:rFonts w:ascii="Consolas" w:hAnsi="Consolas"/>
          <w:color w:val="1F4D78"/>
          <w:sz w:val="20"/>
        </w:rPr>
        <w:t>refund</w:t>
      </w:r>
      <w:r>
        <w:rPr>
          <w:rFonts w:ascii="Calibri" w:hAnsi="Calibri"/>
          <w:sz w:val="22"/>
        </w:rPr>
        <w:t xml:space="preserve"> status.</w:t>
      </w:r>
    </w:p>
    <w:p>
      <w:pPr>
        <w:pStyle w:val="Heading2"/>
      </w:pPr>
      <w:r>
        <w:rPr>
          <w:rFonts w:ascii="Calibri" w:hAnsi="Calibri"/>
          <w:sz w:val="22"/>
        </w:rPr>
        <w:t>Review or correct a payment</w:t>
      </w:r>
    </w:p>
    <w:p>
      <w:pPr>
        <w:pStyle w:val="ListNumber"/>
      </w:pPr>
      <w:r>
        <w:rPr>
          <w:rFonts w:ascii="Calibri" w:hAnsi="Calibri"/>
          <w:sz w:val="22"/>
        </w:rPr>
        <w:t>Open the payment record from the table.</w:t>
      </w:r>
    </w:p>
    <w:p>
      <w:pPr>
        <w:pStyle w:val="ListNumber"/>
      </w:pPr>
      <w:r>
        <w:rPr>
          <w:rFonts w:ascii="Calibri" w:hAnsi="Calibri"/>
          <w:sz w:val="22"/>
        </w:rPr>
        <w:t>Verify the linked transaction ID, guest, amount, method, transaction reference, and status.</w:t>
      </w:r>
    </w:p>
    <w:p>
      <w:pPr>
        <w:pStyle w:val="ListNumber"/>
      </w:pPr>
      <w:r>
        <w:rPr>
          <w:rFonts w:ascii="Calibri" w:hAnsi="Calibri"/>
          <w:sz w:val="22"/>
        </w:rPr>
        <w:t>For an approved offline receipt, record the actual method (</w:t>
      </w:r>
      <w:r>
        <w:rPr>
          <w:rFonts w:ascii="Consolas" w:hAnsi="Consolas"/>
          <w:color w:val="1F4D78"/>
          <w:sz w:val="20"/>
        </w:rPr>
        <w:t>cash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momo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card</w:t>
      </w:r>
      <w:r>
        <w:rPr>
          <w:rFonts w:ascii="Calibri" w:hAnsi="Calibri"/>
          <w:sz w:val="22"/>
        </w:rPr>
        <w:t xml:space="preserve">, or </w:t>
      </w:r>
      <w:r>
        <w:rPr>
          <w:rFonts w:ascii="Consolas" w:hAnsi="Consolas"/>
          <w:color w:val="1F4D78"/>
          <w:sz w:val="20"/>
        </w:rPr>
        <w:t>bank_transfer</w:t>
      </w:r>
      <w:r>
        <w:rPr>
          <w:rFonts w:ascii="Calibri" w:hAnsi="Calibri"/>
          <w:sz w:val="22"/>
        </w:rPr>
        <w:t>) and a bank/slip/reference number when available.</w:t>
      </w:r>
    </w:p>
    <w:p>
      <w:pPr>
        <w:pStyle w:val="ListNumber"/>
      </w:pPr>
      <w:r>
        <w:rPr>
          <w:rFonts w:ascii="Calibri" w:hAnsi="Calibri"/>
          <w:sz w:val="22"/>
        </w:rPr>
        <w:t>Save only after checking the source statement and the related booking/order/reservation.</w:t>
      </w:r>
    </w:p>
    <w:p>
      <w:pPr>
        <w:pStyle w:val="ListNumber"/>
      </w:pPr>
      <w:r>
        <w:rPr>
          <w:rFonts w:ascii="Calibri" w:hAnsi="Calibri"/>
          <w:sz w:val="22"/>
        </w:rPr>
        <w:t>Reopen the record to confirm the saved state and keep the activity log entry.</w:t>
      </w:r>
    </w:p>
    <w:p>
      <w:r>
        <w:rPr>
          <w:rFonts w:ascii="Calibri" w:hAnsi="Calibri"/>
          <w:sz w:val="22"/>
        </w:rPr>
        <w:t>Do not create a second payment to compensate for an uncertain browser response. First check the existing reference and Paystack/webhook state.</w:t>
      </w:r>
    </w:p>
    <w:p>
      <w:pPr>
        <w:pStyle w:val="Heading1"/>
      </w:pPr>
      <w:r>
        <w:rPr>
          <w:rFonts w:ascii="Calibri" w:hAnsi="Calibri"/>
          <w:sz w:val="22"/>
        </w:rPr>
        <w:t>6. Refunds and reversals</w:t>
      </w:r>
    </w:p>
    <w:p>
      <w:r>
        <w:rPr>
          <w:rFonts w:ascii="Calibri" w:hAnsi="Calibri"/>
          <w:sz w:val="22"/>
        </w:rPr>
        <w:t>Refunds change financial totals and should follow the property’s approval policy.</w:t>
      </w:r>
    </w:p>
    <w:p>
      <w:pPr>
        <w:pStyle w:val="ListNumber"/>
      </w:pPr>
      <w:r>
        <w:rPr>
          <w:rFonts w:ascii="Calibri" w:hAnsi="Calibri"/>
          <w:sz w:val="22"/>
        </w:rPr>
        <w:t>Confirm the original payment, amount, guest, and transaction reference.</w:t>
      </w:r>
    </w:p>
    <w:p>
      <w:pPr>
        <w:pStyle w:val="ListNumber"/>
      </w:pPr>
      <w:r>
        <w:rPr>
          <w:rFonts w:ascii="Calibri" w:hAnsi="Calibri"/>
          <w:sz w:val="22"/>
        </w:rPr>
        <w:t>Confirm the refund reason and the approval record outside the application where required.</w:t>
      </w:r>
    </w:p>
    <w:p>
      <w:pPr>
        <w:pStyle w:val="ListNumber"/>
      </w:pPr>
      <w:r>
        <w:rPr>
          <w:rFonts w:ascii="Calibri" w:hAnsi="Calibri"/>
          <w:sz w:val="22"/>
        </w:rPr>
        <w:t>Use the available refund action and enter a concise reason.</w:t>
      </w:r>
    </w:p>
    <w:p>
      <w:pPr>
        <w:pStyle w:val="ListNumber"/>
      </w:pPr>
      <w:r>
        <w:rPr>
          <w:rFonts w:ascii="Calibri" w:hAnsi="Calibri"/>
          <w:sz w:val="22"/>
        </w:rPr>
        <w:t>Verify the payment is marked refunded and the related transaction reflects the correct balance/status.</w:t>
      </w:r>
    </w:p>
    <w:p>
      <w:pPr>
        <w:pStyle w:val="ListNumber"/>
      </w:pPr>
      <w:r>
        <w:rPr>
          <w:rFonts w:ascii="Calibri" w:hAnsi="Calibri"/>
          <w:sz w:val="22"/>
        </w:rPr>
        <w:t>Confirm the refund appears in the selected reporting period and in the activity log.</w:t>
      </w:r>
    </w:p>
    <w:p>
      <w:r>
        <w:rPr>
          <w:rFonts w:ascii="Calibri" w:hAnsi="Calibri"/>
          <w:sz w:val="22"/>
        </w:rPr>
        <w:t>Never refund an unknown transaction or rely on a guest screenshot as proof of settlement. Escalate duplicate charges, partial refunds, chargebacks, and mismatched Paystack references to the super admin/technical owner.</w:t>
      </w:r>
    </w:p>
    <w:p>
      <w:pPr>
        <w:pStyle w:val="Heading1"/>
      </w:pPr>
      <w:r>
        <w:rPr>
          <w:rFonts w:ascii="Calibri" w:hAnsi="Calibri"/>
          <w:sz w:val="22"/>
        </w:rPr>
        <w:t>7. Corporate receivables and offline settlement</w:t>
      </w:r>
    </w:p>
    <w:p>
      <w:r>
        <w:rPr>
          <w:rFonts w:ascii="Calibri" w:hAnsi="Calibri"/>
          <w:sz w:val="22"/>
        </w:rPr>
        <w:t xml:space="preserve">Open </w:t>
      </w:r>
      <w:r>
        <w:rPr>
          <w:rFonts w:ascii="Calibri" w:hAnsi="Calibri"/>
          <w:b/>
          <w:sz w:val="22"/>
        </w:rPr>
        <w:t>Finance → Corporate Receivables</w:t>
      </w:r>
      <w:r>
        <w:rPr>
          <w:rFonts w:ascii="Calibri" w:hAnsi="Calibri"/>
          <w:sz w:val="22"/>
        </w:rPr>
        <w:t xml:space="preserve"> to see active credit transactions across room bookings, conference bookings, table reservations, and food orders. The page shows outstanding balance, open transactions, corporate accounts, and receivables by service.</w:t>
      </w:r>
    </w:p>
    <w:p>
      <w:pPr>
        <w:pStyle w:val="Heading2"/>
      </w:pPr>
      <w:r>
        <w:rPr>
          <w:rFonts w:ascii="Calibri" w:hAnsi="Calibri"/>
          <w:sz w:val="22"/>
        </w:rPr>
        <w:t>Mark a corporate transaction paid</w:t>
      </w:r>
    </w:p>
    <w:p>
      <w:r>
        <w:rPr>
          <w:rFonts w:ascii="Calibri" w:hAnsi="Calibri"/>
          <w:sz w:val="22"/>
        </w:rPr>
        <w:t>Use this action only after the finance team has received and verified an offline payment:</w:t>
      </w:r>
    </w:p>
    <w:p>
      <w:pPr>
        <w:pStyle w:val="ListNumber"/>
      </w:pPr>
      <w:r>
        <w:rPr>
          <w:rFonts w:ascii="Calibri" w:hAnsi="Calibri"/>
          <w:sz w:val="22"/>
        </w:rPr>
        <w:t>Locate the organisation, guest, transaction type/ID, and outstanding amount.</w:t>
      </w:r>
    </w:p>
    <w:p>
      <w:pPr>
        <w:pStyle w:val="ListNumber"/>
      </w:pPr>
      <w:r>
        <w:rPr>
          <w:rFonts w:ascii="Calibri" w:hAnsi="Calibri"/>
          <w:sz w:val="22"/>
        </w:rPr>
        <w:t>Select the actual payment method: cash, mobile money, card, or bank transfer.</w:t>
      </w:r>
    </w:p>
    <w:p>
      <w:pPr>
        <w:pStyle w:val="ListNumber"/>
      </w:pPr>
      <w:r>
        <w:rPr>
          <w:rFonts w:ascii="Calibri" w:hAnsi="Calibri"/>
          <w:sz w:val="22"/>
        </w:rPr>
        <w:t>Enter the receipt, bank, or transfer reference when available.</w:t>
      </w:r>
    </w:p>
    <w:p>
      <w:pPr>
        <w:pStyle w:val="ListNumber"/>
      </w:pPr>
      <w:r>
        <w:rPr>
          <w:rFonts w:ascii="Calibri" w:hAnsi="Calibri"/>
          <w:sz w:val="22"/>
        </w:rPr>
        <w:t xml:space="preserve">Click </w:t>
      </w:r>
      <w:r>
        <w:rPr>
          <w:rFonts w:ascii="Calibri" w:hAnsi="Calibri"/>
          <w:b/>
          <w:sz w:val="22"/>
        </w:rPr>
        <w:t>Mark paid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>Confirm the success message, payment record, transaction status, and guest dashboard state.</w:t>
      </w:r>
    </w:p>
    <w:p>
      <w:r>
        <w:rPr>
          <w:rFonts w:ascii="Calibri" w:hAnsi="Calibri"/>
          <w:sz w:val="22"/>
        </w:rPr>
        <w:t>The action records a payment against the specific transaction; it does not change the organisation’s credit limit or mark unrelated transactions as paid. For partial or disputed settlement, stop and escalate rather than forcing a full payment.</w:t>
      </w:r>
    </w:p>
    <w:p>
      <w:pPr>
        <w:pStyle w:val="Heading1"/>
      </w:pPr>
      <w:r>
        <w:rPr>
          <w:rFonts w:ascii="Calibri" w:hAnsi="Calibri"/>
          <w:sz w:val="22"/>
        </w:rPr>
        <w:t>8. Corporate billing controls</w:t>
      </w:r>
    </w:p>
    <w:p>
      <w:r>
        <w:rPr>
          <w:rFonts w:ascii="Calibri" w:hAnsi="Calibri"/>
          <w:sz w:val="22"/>
        </w:rPr>
        <w:t>Corporate organisations, linked guests, credit limits, payment terms, and the deferred-payment toggle are managed by super admins, admins, and managers. Accountants consume these settings for reconciliation and settlement.</w:t>
      </w:r>
    </w:p>
    <w:p>
      <w:r>
        <w:rPr>
          <w:rFonts w:ascii="Calibri" w:hAnsi="Calibri"/>
          <w:sz w:val="22"/>
        </w:rPr>
        <w:t>On the accountant dashboard, compare:</w:t>
      </w:r>
    </w:p>
    <w:p>
      <w:pPr>
        <w:pStyle w:val="ListBullet"/>
      </w:pPr>
      <w:r>
        <w:rPr>
          <w:rFonts w:ascii="Calibri" w:hAnsi="Calibri"/>
          <w:b/>
          <w:sz w:val="22"/>
        </w:rPr>
        <w:t>Corporate-billed receivables</w:t>
      </w:r>
      <w:r>
        <w:rPr>
          <w:rFonts w:ascii="Calibri" w:hAnsi="Calibri"/>
          <w:sz w:val="22"/>
        </w:rPr>
        <w:t xml:space="preserve"> with the channel totals.</w:t>
      </w:r>
    </w:p>
    <w:p>
      <w:pPr>
        <w:pStyle w:val="ListBullet"/>
      </w:pPr>
      <w:r>
        <w:rPr>
          <w:rFonts w:ascii="Calibri" w:hAnsi="Calibri"/>
          <w:sz w:val="22"/>
        </w:rPr>
        <w:t>Active corporate accounts and linked guests.</w:t>
      </w:r>
    </w:p>
    <w:p>
      <w:pPr>
        <w:pStyle w:val="ListBullet"/>
      </w:pPr>
      <w:r>
        <w:rPr>
          <w:rFonts w:ascii="Calibri" w:hAnsi="Calibri"/>
          <w:sz w:val="22"/>
        </w:rPr>
        <w:t>Outstanding exposure against the organisation’s approved credit limit.</w:t>
      </w:r>
    </w:p>
    <w:p>
      <w:pPr>
        <w:pStyle w:val="ListBullet"/>
      </w:pPr>
      <w:r>
        <w:rPr>
          <w:rFonts w:ascii="Calibri" w:hAnsi="Calibri"/>
          <w:sz w:val="22"/>
        </w:rPr>
        <w:t>Billed activity for the selected date range.</w:t>
      </w:r>
    </w:p>
    <w:p>
      <w:r>
        <w:rPr>
          <w:rFonts w:ascii="Calibri" w:hAnsi="Calibri"/>
          <w:sz w:val="22"/>
        </w:rPr>
        <w:t>If a credit transaction exceeds a limit, has the wrong organisation, or remains open after settlement, escalate it to the organisation manager and a super admin. Do not alter corporate master data from a payment correction.</w:t>
      </w:r>
    </w:p>
    <w:p>
      <w:pPr>
        <w:pStyle w:val="Heading1"/>
      </w:pPr>
      <w:r>
        <w:rPr>
          <w:rFonts w:ascii="Calibri" w:hAnsi="Calibri"/>
          <w:sz w:val="22"/>
        </w:rPr>
        <w:t>9. Revenue and operational reports</w:t>
      </w:r>
    </w:p>
    <w:p>
      <w:r>
        <w:rPr>
          <w:rFonts w:ascii="Calibri" w:hAnsi="Calibri"/>
          <w:sz w:val="22"/>
        </w:rPr>
        <w:t xml:space="preserve">Use the </w:t>
      </w:r>
      <w:r>
        <w:rPr>
          <w:rFonts w:ascii="Calibri" w:hAnsi="Calibri"/>
          <w:b/>
          <w:sz w:val="22"/>
        </w:rPr>
        <w:t>Reports</w:t>
      </w:r>
      <w:r>
        <w:rPr>
          <w:rFonts w:ascii="Calibri" w:hAnsi="Calibri"/>
          <w:sz w:val="22"/>
        </w:rPr>
        <w:t xml:space="preserve"> group to support month-end and management reporting:</w:t>
      </w:r>
    </w:p>
    <w:p>
      <w:pPr>
        <w:pStyle w:val="ListBullet"/>
      </w:pPr>
      <w:r>
        <w:rPr>
          <w:rFonts w:ascii="Calibri" w:hAnsi="Calibri"/>
          <w:b/>
          <w:sz w:val="22"/>
        </w:rPr>
        <w:t>Revenue Report</w:t>
      </w:r>
      <w:r>
        <w:rPr>
          <w:rFonts w:ascii="Calibri" w:hAnsi="Calibri"/>
          <w:sz w:val="22"/>
        </w:rPr>
        <w:t xml:space="preserve"> — collected revenue, refunds, net revenue, outstanding balances by service, payment count, and payment-method totals.</w:t>
      </w:r>
    </w:p>
    <w:p>
      <w:pPr>
        <w:pStyle w:val="ListBullet"/>
      </w:pPr>
      <w:r>
        <w:rPr>
          <w:rFonts w:ascii="Calibri" w:hAnsi="Calibri"/>
          <w:b/>
          <w:sz w:val="22"/>
        </w:rPr>
        <w:t>Guest Report</w:t>
      </w:r>
      <w:r>
        <w:rPr>
          <w:rFonts w:ascii="Calibri" w:hAnsi="Calibri"/>
          <w:sz w:val="22"/>
        </w:rPr>
        <w:t xml:space="preserve"> — guest and spend summaries useful for revenue attribution.</w:t>
      </w:r>
    </w:p>
    <w:p>
      <w:pPr>
        <w:pStyle w:val="ListBullet"/>
      </w:pPr>
      <w:r>
        <w:rPr>
          <w:rFonts w:ascii="Calibri" w:hAnsi="Calibri"/>
          <w:b/>
          <w:sz w:val="22"/>
        </w:rPr>
        <w:t>Restaurant Reports</w:t>
      </w:r>
      <w:r>
        <w:rPr>
          <w:rFonts w:ascii="Calibri" w:hAnsi="Calibri"/>
          <w:sz w:val="22"/>
        </w:rPr>
        <w:t xml:space="preserve"> — order count, paid/outstanding values, payment rate, and average order value.</w:t>
      </w:r>
    </w:p>
    <w:p>
      <w:pPr>
        <w:pStyle w:val="ListBullet"/>
      </w:pPr>
      <w:r>
        <w:rPr>
          <w:rFonts w:ascii="Calibri" w:hAnsi="Calibri"/>
          <w:b/>
          <w:sz w:val="22"/>
        </w:rPr>
        <w:t>Transaction Dashboard</w:t>
      </w:r>
      <w:r>
        <w:rPr>
          <w:rFonts w:ascii="Calibri" w:hAnsi="Calibri"/>
          <w:sz w:val="22"/>
        </w:rPr>
        <w:t xml:space="preserve"> — unified hotel, conference, table, and food transaction breakdown.</w:t>
      </w:r>
    </w:p>
    <w:p>
      <w:pPr>
        <w:pStyle w:val="ListBullet"/>
      </w:pPr>
      <w:r>
        <w:rPr>
          <w:rFonts w:ascii="Calibri" w:hAnsi="Calibri"/>
          <w:b/>
          <w:sz w:val="22"/>
        </w:rPr>
        <w:t>Kitchen Production Report / Production vs Sales</w:t>
      </w:r>
      <w:r>
        <w:rPr>
          <w:rFonts w:ascii="Calibri" w:hAnsi="Calibri"/>
          <w:sz w:val="22"/>
        </w:rPr>
        <w:t xml:space="preserve"> — production, wastage, sales, and variance signals used for food-cost review.</w:t>
      </w:r>
    </w:p>
    <w:p>
      <w:r>
        <w:rPr>
          <w:rFonts w:ascii="Calibri" w:hAnsi="Calibri"/>
          <w:sz w:val="22"/>
        </w:rPr>
        <w:t>Use one consistent date scope when comparing pages. Revenue reports are based on payment records, while receivable reports are based on transaction creation and payment state; the two totals will not always match for the same period.</w:t>
      </w:r>
    </w:p>
    <w:p>
      <w:pPr>
        <w:pStyle w:val="Heading1"/>
      </w:pPr>
      <w:r>
        <w:rPr>
          <w:rFonts w:ascii="Calibri" w:hAnsi="Calibri"/>
          <w:sz w:val="22"/>
        </w:rPr>
        <w:t>10. Billing settings and promotions</w:t>
      </w:r>
    </w:p>
    <w:p>
      <w:r>
        <w:rPr>
          <w:rFonts w:ascii="Calibri" w:hAnsi="Calibri"/>
          <w:sz w:val="22"/>
        </w:rPr>
        <w:t xml:space="preserve">The </w:t>
      </w:r>
      <w:r>
        <w:rPr>
          <w:rFonts w:ascii="Calibri" w:hAnsi="Calibri"/>
          <w:b/>
          <w:sz w:val="22"/>
        </w:rPr>
        <w:t>Billing Settings</w:t>
      </w:r>
      <w:r>
        <w:rPr>
          <w:rFonts w:ascii="Calibri" w:hAnsi="Calibri"/>
          <w:sz w:val="22"/>
        </w:rPr>
        <w:t xml:space="preserve"> page is visible to accountants for review. It displays VAT, NHIL, and service-charge percentages used by checkout calculations. Only super admins, admins, and managers can change these rates. Before a rate change, obtain approval, record the effective date, and test one representative checkout.</w:t>
      </w:r>
    </w:p>
    <w:p>
      <w:r>
        <w:rPr>
          <w:rFonts w:ascii="Calibri" w:hAnsi="Calibri"/>
          <w:sz w:val="22"/>
        </w:rPr>
        <w:t xml:space="preserve">The </w:t>
      </w:r>
      <w:r>
        <w:rPr>
          <w:rFonts w:ascii="Calibri" w:hAnsi="Calibri"/>
          <w:b/>
          <w:sz w:val="22"/>
        </w:rPr>
        <w:t>Promotions</w:t>
      </w:r>
      <w:r>
        <w:rPr>
          <w:rFonts w:ascii="Calibri" w:hAnsi="Calibri"/>
          <w:sz w:val="22"/>
        </w:rPr>
        <w:t xml:space="preserve"> page is not an accountant management area. Promotions can be percentage-based or fixed-amount and are applied before service charge, VAT, and NHIL. Ask an admin/manager to correct a code or validity window, then re-run the affected reconciliation.</w:t>
      </w:r>
    </w:p>
    <w:p>
      <w:pPr>
        <w:pStyle w:val="Heading1"/>
      </w:pPr>
      <w:r>
        <w:rPr>
          <w:rFonts w:ascii="Calibri" w:hAnsi="Calibri"/>
          <w:sz w:val="22"/>
        </w:rPr>
        <w:t>11. Paystack and online payment controls</w:t>
      </w:r>
    </w:p>
    <w:p>
      <w:r>
        <w:rPr>
          <w:rFonts w:ascii="Calibri" w:hAnsi="Calibri"/>
          <w:sz w:val="22"/>
        </w:rPr>
        <w:t>Paystack applies when a guest selects immediate online payment. The authoritative record is the server-side verification/webhook result and the stored payment reference.</w:t>
      </w:r>
    </w:p>
    <w:p>
      <w:pPr>
        <w:pStyle w:val="ListBullet"/>
      </w:pPr>
      <w:r>
        <w:rPr>
          <w:rFonts w:ascii="Calibri" w:hAnsi="Calibri"/>
          <w:sz w:val="22"/>
        </w:rPr>
        <w:t>Never place Paystack secret keys in notes, source control, or browser code.</w:t>
      </w:r>
    </w:p>
    <w:p>
      <w:pPr>
        <w:pStyle w:val="ListBullet"/>
      </w:pPr>
      <w:r>
        <w:rPr>
          <w:rFonts w:ascii="Calibri" w:hAnsi="Calibri"/>
          <w:sz w:val="22"/>
        </w:rPr>
        <w:t>Match the Paystack reference, amount, currency, guest, and transaction type.</w:t>
      </w:r>
    </w:p>
    <w:p>
      <w:pPr>
        <w:pStyle w:val="ListBullet"/>
      </w:pPr>
      <w:r>
        <w:rPr>
          <w:rFonts w:ascii="Calibri" w:hAnsi="Calibri"/>
          <w:sz w:val="22"/>
        </w:rPr>
        <w:t>Treat a browser return without a verified payment record as unconfirmed.</w:t>
      </w:r>
    </w:p>
    <w:p>
      <w:pPr>
        <w:pStyle w:val="ListBullet"/>
      </w:pPr>
      <w:r>
        <w:rPr>
          <w:rFonts w:ascii="Calibri" w:hAnsi="Calibri"/>
          <w:sz w:val="22"/>
        </w:rPr>
        <w:t>Investigate duplicate, failed, pending, or amount-mismatch payments before editing anything.</w:t>
      </w:r>
    </w:p>
    <w:p>
      <w:pPr>
        <w:pStyle w:val="ListBullet"/>
      </w:pPr>
      <w:r>
        <w:rPr>
          <w:rFonts w:ascii="Calibri" w:hAnsi="Calibri"/>
          <w:sz w:val="22"/>
        </w:rPr>
        <w:t>Ask the technical owner to check webhook delivery and queue failures when verification is delayed.</w:t>
      </w:r>
    </w:p>
    <w:p>
      <w:pPr>
        <w:pStyle w:val="Heading1"/>
      </w:pPr>
      <w:r>
        <w:rPr>
          <w:rFonts w:ascii="Calibri" w:hAnsi="Calibri"/>
          <w:sz w:val="22"/>
        </w:rPr>
        <w:t>12. Kitchen and stock reconciliation</w:t>
      </w:r>
    </w:p>
    <w:p>
      <w:r>
        <w:rPr>
          <w:rFonts w:ascii="Calibri" w:hAnsi="Calibri"/>
          <w:sz w:val="22"/>
        </w:rPr>
        <w:t>Accountants have read access to kitchen stock, stock movements, and production reports so food-cost figures can be reconciled with sales.</w:t>
      </w:r>
    </w:p>
    <w:p>
      <w:pPr>
        <w:pStyle w:val="ListNumber"/>
      </w:pPr>
      <w:r>
        <w:rPr>
          <w:rFonts w:ascii="Calibri" w:hAnsi="Calibri"/>
          <w:sz w:val="22"/>
        </w:rPr>
        <w:t>Compare ingredient receipts and stock movements for the selected period.</w:t>
      </w:r>
    </w:p>
    <w:p>
      <w:pPr>
        <w:pStyle w:val="ListNumber"/>
      </w:pPr>
      <w:r>
        <w:rPr>
          <w:rFonts w:ascii="Calibri" w:hAnsi="Calibri"/>
          <w:sz w:val="22"/>
        </w:rPr>
        <w:t>Review batches: menu item, production date, quantity produced, quantity wasted, units, and ingredients consumed.</w:t>
      </w:r>
    </w:p>
    <w:p>
      <w:pPr>
        <w:pStyle w:val="ListNumber"/>
      </w:pPr>
      <w:r>
        <w:rPr>
          <w:rFonts w:ascii="Calibri" w:hAnsi="Calibri"/>
          <w:sz w:val="22"/>
        </w:rPr>
        <w:t>Compare finished portions with food orders and identify unexplained negative variance.</w:t>
      </w:r>
    </w:p>
    <w:p>
      <w:pPr>
        <w:pStyle w:val="ListNumber"/>
      </w:pPr>
      <w:r>
        <w:rPr>
          <w:rFonts w:ascii="Calibri" w:hAnsi="Calibri"/>
          <w:sz w:val="22"/>
        </w:rPr>
        <w:t>Ask the kitchen manager to correct source production or waste records; do not adjust figures solely to make a report balance.</w:t>
      </w:r>
    </w:p>
    <w:p>
      <w:r>
        <w:rPr>
          <w:rFonts w:ascii="Calibri" w:hAnsi="Calibri"/>
          <w:sz w:val="22"/>
        </w:rPr>
        <w:t>Negative variance generally means recorded sales/consumption exceed recorded production or available stock for the selected period. Check date boundaries, cancelled orders, recipe quantities, and late stock entries first.</w:t>
      </w:r>
    </w:p>
    <w:p>
      <w:pPr>
        <w:pStyle w:val="Heading1"/>
      </w:pPr>
      <w:r>
        <w:rPr>
          <w:rFonts w:ascii="Calibri" w:hAnsi="Calibri"/>
          <w:sz w:val="22"/>
        </w:rPr>
        <w:t>13. Audit trail and data safety</w:t>
      </w:r>
    </w:p>
    <w:p>
      <w:r>
        <w:rPr>
          <w:rFonts w:ascii="Calibri" w:hAnsi="Calibri"/>
          <w:sz w:val="22"/>
        </w:rPr>
        <w:t xml:space="preserve">Use </w:t>
      </w:r>
      <w:r>
        <w:rPr>
          <w:rFonts w:ascii="Calibri" w:hAnsi="Calibri"/>
          <w:b/>
          <w:sz w:val="22"/>
        </w:rPr>
        <w:t>Activity Logs</w:t>
      </w:r>
      <w:r>
        <w:rPr>
          <w:rFonts w:ascii="Calibri" w:hAnsi="Calibri"/>
          <w:sz w:val="22"/>
        </w:rPr>
        <w:t xml:space="preserve"> when available to confirm who created, edited, paid, refunded, or settled a record. Keep notes factual and exclude passwords, Paystack secrets, card data, and unnecessary personal information.</w:t>
      </w:r>
    </w:p>
    <w:p>
      <w:pPr>
        <w:pStyle w:val="ListBullet"/>
      </w:pPr>
      <w:r>
        <w:rPr>
          <w:rFonts w:ascii="Calibri" w:hAnsi="Calibri"/>
          <w:sz w:val="22"/>
        </w:rPr>
        <w:t>Use your own named account and sign out on shared devices.</w:t>
      </w:r>
    </w:p>
    <w:p>
      <w:pPr>
        <w:pStyle w:val="ListBullet"/>
      </w:pPr>
      <w:r>
        <w:rPr>
          <w:rFonts w:ascii="Calibri" w:hAnsi="Calibri"/>
          <w:sz w:val="22"/>
        </w:rPr>
        <w:t>Preserve transaction history; prefer status changes and documented corrections over deletes.</w:t>
      </w:r>
    </w:p>
    <w:p>
      <w:pPr>
        <w:pStyle w:val="ListBullet"/>
      </w:pPr>
      <w:r>
        <w:rPr>
          <w:rFonts w:ascii="Calibri" w:hAnsi="Calibri"/>
          <w:sz w:val="22"/>
        </w:rPr>
        <w:t>Back up before migrations or bulk updates.</w:t>
      </w:r>
    </w:p>
    <w:p>
      <w:pPr>
        <w:pStyle w:val="ListBullet"/>
      </w:pPr>
      <w:r>
        <w:rPr>
          <w:rFonts w:ascii="Calibri" w:hAnsi="Calibri"/>
          <w:sz w:val="22"/>
        </w:rPr>
        <w:t>Reconcile before editing a payment amount or status.</w:t>
      </w:r>
    </w:p>
    <w:p>
      <w:pPr>
        <w:pStyle w:val="ListBullet"/>
      </w:pPr>
      <w:r>
        <w:rPr>
          <w:rFonts w:ascii="Calibri" w:hAnsi="Calibri"/>
          <w:sz w:val="22"/>
        </w:rPr>
        <w:t>Escalate role/permission changes, refunds outside policy, orphaned payments, and database errors.</w:t>
      </w:r>
    </w:p>
    <w:p>
      <w:pPr>
        <w:pStyle w:val="Heading1"/>
      </w:pPr>
      <w:r>
        <w:rPr>
          <w:rFonts w:ascii="Calibri" w:hAnsi="Calibri"/>
          <w:sz w:val="22"/>
        </w:rPr>
        <w:t>14. Troubleshooting</w:t>
      </w:r>
    </w:p>
    <w:p>
      <w:pPr>
        <w:pStyle w:val="Heading2"/>
      </w:pPr>
      <w:r>
        <w:rPr>
          <w:rFonts w:ascii="Calibri" w:hAnsi="Calibri"/>
          <w:sz w:val="22"/>
        </w:rPr>
        <w:t>A payment is missing from the list</w:t>
      </w:r>
    </w:p>
    <w:p>
      <w:r>
        <w:rPr>
          <w:rFonts w:ascii="Calibri" w:hAnsi="Calibri"/>
          <w:sz w:val="22"/>
        </w:rPr>
        <w:t>Check the transaction-type filter, date range, payment creation date, transaction reference, and status. Then confirm the payment is linked through the correct foreign key (booking, conference booking, restaurant reservation, or restaurant order).</w:t>
      </w:r>
    </w:p>
    <w:p>
      <w:pPr>
        <w:pStyle w:val="Heading2"/>
      </w:pPr>
      <w:r>
        <w:rPr>
          <w:rFonts w:ascii="Calibri" w:hAnsi="Calibri"/>
          <w:sz w:val="22"/>
        </w:rPr>
        <w:t>A payment shows the wrong guest or transaction</w:t>
      </w:r>
    </w:p>
    <w:p>
      <w:r>
        <w:rPr>
          <w:rFonts w:ascii="Calibri" w:hAnsi="Calibri"/>
          <w:sz w:val="22"/>
        </w:rPr>
        <w:t>Open the payment and compare its linked ID with the source transaction. Do not overwrite a record until the source booking/order/reservation and activity log have been reviewed.</w:t>
      </w:r>
    </w:p>
    <w:p>
      <w:pPr>
        <w:pStyle w:val="Heading2"/>
      </w:pPr>
      <w:r>
        <w:rPr>
          <w:rFonts w:ascii="Calibri" w:hAnsi="Calibri"/>
          <w:sz w:val="22"/>
        </w:rPr>
        <w:t>A corporate transaction remains outstanding after payment</w:t>
      </w:r>
    </w:p>
    <w:p>
      <w:r>
        <w:rPr>
          <w:rFonts w:ascii="Calibri" w:hAnsi="Calibri"/>
          <w:sz w:val="22"/>
        </w:rPr>
        <w:t>Confirm the offline method/reference, mark the exact transaction paid, and verify that a completed payment was created. If it remains open, check for partial payments, duplicate records, or an invalid corporate payment state and escalate.</w:t>
      </w:r>
    </w:p>
    <w:p>
      <w:pPr>
        <w:pStyle w:val="Heading2"/>
      </w:pPr>
      <w:r>
        <w:rPr>
          <w:rFonts w:ascii="Calibri" w:hAnsi="Calibri"/>
          <w:sz w:val="22"/>
        </w:rPr>
        <w:t>Metrics do not match another report</w:t>
      </w:r>
    </w:p>
    <w:p>
      <w:r>
        <w:rPr>
          <w:rFonts w:ascii="Calibri" w:hAnsi="Calibri"/>
          <w:sz w:val="22"/>
        </w:rPr>
        <w:t xml:space="preserve">Align the date range and understand the date field used by each report. Payments are filtered by payment </w:t>
      </w:r>
      <w:r>
        <w:rPr>
          <w:rFonts w:ascii="Consolas" w:hAnsi="Consolas"/>
          <w:color w:val="1F4D78"/>
          <w:sz w:val="20"/>
        </w:rPr>
        <w:t>created_at</w:t>
      </w:r>
      <w:r>
        <w:rPr>
          <w:rFonts w:ascii="Calibri" w:hAnsi="Calibri"/>
          <w:sz w:val="22"/>
        </w:rPr>
        <w:t>; receivables are filtered by the transaction’s creation date and current status.</w:t>
      </w:r>
    </w:p>
    <w:p>
      <w:pPr>
        <w:pStyle w:val="Heading2"/>
      </w:pPr>
      <w:r>
        <w:rPr>
          <w:rFonts w:ascii="Calibri" w:hAnsi="Calibri"/>
          <w:sz w:val="22"/>
        </w:rPr>
        <w:t>A report or dashboard is missing</w:t>
      </w:r>
    </w:p>
    <w:p>
      <w:r>
        <w:rPr>
          <w:rFonts w:ascii="Calibri" w:hAnsi="Calibri"/>
          <w:sz w:val="22"/>
        </w:rPr>
        <w:t>Confirm the accountant role and permission, then follow the approved cache-clearing/deployment procedure. Ask a super admin to verify panel discovery and authorization if it remains unavailable.</w:t>
      </w:r>
    </w:p>
    <w:p>
      <w:pPr>
        <w:pStyle w:val="Heading1"/>
      </w:pPr>
      <w:r>
        <w:rPr>
          <w:rFonts w:ascii="Calibri" w:hAnsi="Calibri"/>
          <w:sz w:val="22"/>
        </w:rPr>
        <w:t>Appendix — Escalation matrix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Situation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Escalate to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Role, permission, or privileged-user change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Super admin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Refund approval, chargeback, or payment-method correction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Finance lead / super admin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Corporate credit-limit, account-link, or settlement dispute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Manager / super admin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Paystack webhook, duplicate, or verification issue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Super admin / technical owner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Room, venue, or table availability conflict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Manager / reception lead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Menu, recipe, stock, or production discrepancy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Kitchen manager / manager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Billing-rate, promotion, branding, or public-content change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Admin / manager / super admin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Migration, backup, queue, scheduler, or production outage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Super admin / technical owner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29 August 2026  |  Page </w:t>
    </w:r>
    <w:r>
      <w:rPr>
        <w:rFonts w:ascii="Calibri" w:hAnsi="Calibri"/>
        <w:color w:val="5B6573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573"/>
        <w:sz w:val="18"/>
      </w:rPr>
      <w:t>FILAMENT HOTEL  |  ACCOUNTANT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Filament Hotel Accountant User Guide</dc:title>
  <dc:subject>Finance, receivables, and payment operations guide</dc:subject>
  <dc:creator>Filament Hotel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