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可重构月球科研站</w:t>
      </w:r>
    </w:p>
    <w:p>
      <w:pPr>
        <w:pStyle w:val="Subtitle"/>
      </w:pPr>
      <w:r>
        <w:rPr>
          <w:color w:val="000000"/>
        </w:rPr>
        <w:t>巨构框架方案与验证路线  V4  2026年9月7日</w:t>
      </w:r>
    </w:p>
    <w:p>
      <w:r>
        <w:t>本方案面向课程评审、机械设计讨论与项目路演，提出一座具有错层、退台和局部悬挑的不规则巨型框架。24个功能房间嵌入5层轨道网络，沿框架内部的X、Y、Z方向有序迁移，利用预留泊位完成科研协作、维修隔离和扩建重组。</w:t>
      </w:r>
    </w:p>
    <w:p>
      <w:r>
        <w:t>设计的核心是让框架承担空间组织，让房间承担可替换的任务功能。中央贯通空腔、组团之间的净距与空闲泊位共同保证框架可见、路径可读、调度有余量。建筑的规模通过结构跨度、层高和细部比例呈现。</w:t>
      </w:r>
    </w:p>
    <w:p>
      <w:pPr>
        <w:pStyle w:val="Heading2"/>
      </w:pPr>
      <w:r>
        <w:rPr>
          <w:color w:val="000000"/>
        </w:rPr>
        <w:t>确定的概念参数</w:t>
      </w:r>
    </w:p>
    <w:tbl>
      <w:tblPr>
        <w:tblW w:type="auto" w:w="0"/>
        <w:jc w:val="center"/>
        <w:tblLayout w:type="fixed"/>
        <w:tblLook w:firstColumn="1" w:firstRow="1" w:lastColumn="0" w:lastRow="0" w:noHBand="0" w:noVBand="1" w:val="04A0"/>
      </w:tblPr>
      <w:tblGrid>
        <w:gridCol w:w="1757"/>
        <w:gridCol w:w="2976"/>
        <w:gridCol w:w="4904"/>
      </w:tblGrid>
      <w:tr>
        <w:trPr>
          <w:tblHeader/>
          <w:cantSplit/>
        </w:trPr>
        <w:tc>
          <w:tcPr>
            <w:tcW w:type="dxa" w:w="1757"/>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jc w:val="center"/>
            </w:pPr>
            <w:r>
              <w:rPr>
                <w:b/>
                <w:color w:val="FFFFFF"/>
                <w:sz w:val="18"/>
              </w:rPr>
              <w:t>项目</w:t>
            </w:r>
          </w:p>
        </w:tc>
        <w:tc>
          <w:tcPr>
            <w:tcW w:type="dxa" w:w="2976"/>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V4设定</w:t>
            </w:r>
          </w:p>
        </w:tc>
        <w:tc>
          <w:tcPr>
            <w:tcW w:type="dxa" w:w="4904"/>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解释</w:t>
            </w:r>
          </w:p>
        </w:tc>
      </w:tr>
      <w:tr>
        <w:trPr>
          <w:cantSplit/>
        </w:trPr>
        <w:tc>
          <w:tcPr>
            <w:tcW w:type="dxa" w:w="1757"/>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组织规模</w:t>
            </w:r>
          </w:p>
        </w:tc>
        <w:tc>
          <w:tcPr>
            <w:tcW w:type="dxa" w:w="297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5层  42个有效节点  24个房间</w:t>
            </w:r>
          </w:p>
        </w:tc>
        <w:tc>
          <w:tcPr>
            <w:tcW w:type="dxa" w:w="4904"/>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18个节点初始空闲，约42.9%；空闲节点可承担等待与调度，不等同于永久交通面积。</w:t>
            </w:r>
          </w:p>
        </w:tc>
      </w:tr>
      <w:tr>
        <w:trPr>
          <w:cantSplit/>
        </w:trPr>
        <w:tc>
          <w:tcPr>
            <w:tcW w:type="dxa" w:w="1757"/>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水平间距</w:t>
            </w:r>
          </w:p>
        </w:tc>
        <w:tc>
          <w:tcPr>
            <w:tcW w:type="dxa" w:w="2976"/>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X方向31 m  Z方向30 m</w:t>
            </w:r>
          </w:p>
        </w:tc>
        <w:tc>
          <w:tcPr>
            <w:tcW w:type="dxa" w:w="4904"/>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最大运输包络为X 23 m × Y 19.5 m × Z 21 m；相邻同向包络间净距约8 m和9 m。</w:t>
            </w:r>
          </w:p>
        </w:tc>
      </w:tr>
      <w:tr>
        <w:trPr>
          <w:cantSplit/>
        </w:trPr>
        <w:tc>
          <w:tcPr>
            <w:tcW w:type="dxa" w:w="1757"/>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垂直层距</w:t>
            </w:r>
          </w:p>
        </w:tc>
        <w:tc>
          <w:tcPr>
            <w:tcW w:type="dxa" w:w="297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27 m</w:t>
            </w:r>
          </w:p>
        </w:tc>
        <w:tc>
          <w:tcPr>
            <w:tcW w:type="dxa" w:w="4904"/>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泊位基准Y为8.5、35.5、62.5、89.5、116.5 m。基准并非室内净高。</w:t>
            </w:r>
          </w:p>
        </w:tc>
      </w:tr>
      <w:tr>
        <w:trPr>
          <w:cantSplit/>
        </w:trPr>
        <w:tc>
          <w:tcPr>
            <w:tcW w:type="dxa" w:w="1757"/>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竖向迁移</w:t>
            </w:r>
          </w:p>
        </w:tc>
        <w:tc>
          <w:tcPr>
            <w:tcW w:type="dxa" w:w="2976"/>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A  B  C三条嵌入式轨道</w:t>
            </w:r>
          </w:p>
        </w:tc>
        <w:tc>
          <w:tcPr>
            <w:tcW w:type="dxa" w:w="4904"/>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房间先沿水平轨道到达连通竖向节点，再由托架跨层运输。</w:t>
            </w:r>
          </w:p>
        </w:tc>
      </w:tr>
      <w:tr>
        <w:trPr>
          <w:cantSplit/>
        </w:trPr>
        <w:tc>
          <w:tcPr>
            <w:tcW w:type="dxa" w:w="1757"/>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调度规则</w:t>
            </w:r>
          </w:p>
        </w:tc>
        <w:tc>
          <w:tcPr>
            <w:tcW w:type="dxa" w:w="297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同一时刻运输一个房间</w:t>
            </w:r>
          </w:p>
        </w:tc>
        <w:tc>
          <w:tcPr>
            <w:tcW w:type="dxa" w:w="4904"/>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其他房间保持停靠；空闲泊位用于周转，支撑和封闭通道构成路径约束。</w:t>
            </w:r>
          </w:p>
        </w:tc>
      </w:tr>
    </w:tbl>
    <w:p>
      <w:pPr>
        <w:spacing w:after="0"/>
      </w:pPr>
    </w:p>
    <w:p>
      <w:pPr>
        <w:pStyle w:val="Heading2"/>
      </w:pPr>
      <w:r>
        <w:rPr>
          <w:color w:val="000000"/>
        </w:rPr>
        <w:t>本轮形成的判断</w:t>
      </w:r>
    </w:p>
    <w:p>
      <w:r>
        <w:t>巨构框架比紧密排列的独立楼块更符合可重构建筑的表达：骨架长期使用，功能房间按任务迁移。42个节点提供空间余量，但空位比例本身不保证可达性，仍须逐任务检查连通性、占位和运动包络。</w:t>
      </w:r>
    </w:p>
    <w:p>
      <w:r>
        <w:t>各层节点数／初始房间数依次为L1 14／9、L2 11／6、L3 8／5、L4 6／3、L5 3／1，形成逐层收缩的退台轮廓。图形仿真支持几何、占位与时序检查；承载、竖直驱动、锁定制动及生命保障接口需要进一步设计和实物验证。</w:t>
      </w:r>
    </w:p>
    <w:p>
      <w:r>
        <w:br w:type="page"/>
      </w:r>
    </w:p>
    <w:p>
      <w:pPr>
        <w:pStyle w:val="Heading1"/>
      </w:pPr>
      <w:r>
        <w:rPr>
          <w:color w:val="000000"/>
        </w:rPr>
        <w:t>一 空间与视觉设计</w:t>
      </w:r>
    </w:p>
    <w:p>
      <w:pPr>
        <w:pStyle w:val="Heading2"/>
      </w:pPr>
      <w:r>
        <w:rPr>
          <w:color w:val="000000"/>
        </w:rPr>
        <w:t>以不规则框架建立整体轮廓</w:t>
      </w:r>
    </w:p>
    <w:p>
      <w:r>
        <w:t>主框架由不同长度的水平跨和高低不一的立柱组织，形成退台、错层及有限悬挑。主要支撑布置在边界和可识别的结构带，中央保留贯穿五层的大空腔。房间分成若干局部组团，组团之间显露轨道、连接节点与维护空间。</w:t>
      </w:r>
    </w:p>
    <w:p>
      <w:pPr>
        <w:keepNext/>
      </w:pPr>
      <w:r>
        <w:drawing>
          <wp:inline xmlns:a="http://schemas.openxmlformats.org/drawingml/2006/main" xmlns:pic="http://schemas.openxmlformats.org/drawingml/2006/picture">
            <wp:extent cx="6120000" cy="2256750"/>
            <wp:docPr id="1" name="Picture 1" descr="五层退台巨构剖面关系示意，中央留空，A和C竖向轨道贯通五层，B至四层，房间沿两侧框架嵌入。仅示意结构关系。"/>
            <wp:cNvGraphicFramePr>
              <a:graphicFrameLocks noChangeAspect="1"/>
            </wp:cNvGraphicFramePr>
            <a:graphic>
              <a:graphicData uri="http://schemas.openxmlformats.org/drawingml/2006/picture">
                <pic:pic>
                  <pic:nvPicPr>
                    <pic:cNvPr id="0" name="frame_section.png"/>
                    <pic:cNvPicPr/>
                  </pic:nvPicPr>
                  <pic:blipFill>
                    <a:blip r:embed="rId10"/>
                    <a:stretch>
                      <a:fillRect/>
                    </a:stretch>
                  </pic:blipFill>
                  <pic:spPr>
                    <a:xfrm>
                      <a:off x="0" y="0"/>
                      <a:ext cx="6120000" cy="2256750"/>
                    </a:xfrm>
                    <a:prstGeom prst="rect"/>
                  </pic:spPr>
                </pic:pic>
              </a:graphicData>
            </a:graphic>
          </wp:inline>
        </w:drawing>
      </w:r>
    </w:p>
    <w:p>
      <w:pPr>
        <w:pStyle w:val="Caption"/>
      </w:pPr>
      <w:r>
        <w:t>图1  结构与轨道的剖面关系示意  实际节点和允许路径以仿真拓扑为准</w:t>
      </w:r>
    </w:p>
    <w:p>
      <w:pPr>
        <w:pStyle w:val="Heading2"/>
      </w:pPr>
      <w:r>
        <w:rPr>
          <w:color w:val="000000"/>
        </w:rPr>
        <w:t>房间是嵌入骨架的功能单元</w:t>
      </w:r>
    </w:p>
    <w:p>
      <w:r>
        <w:t>统一运输底盘、停靠基准和接口区，使不同房间共享搬运机构；外壳尺寸在最大包络内变化。科研舱、样品处理舱、生活舱及设备舱通过窗带比例、舱门、设备面板和局部内装区分，避免只用不同颜色表示用途。固定的连续载人通道如何在迁移前后重接，另列为工程设计问题。</w:t>
      </w:r>
    </w:p>
    <w:p>
      <w:pPr>
        <w:pStyle w:val="Heading2"/>
      </w:pPr>
      <w:r>
        <w:rPr>
          <w:color w:val="000000"/>
        </w:rPr>
        <w:t>材质与光影服务于结构阅读</w:t>
      </w:r>
    </w:p>
    <w:p>
      <w:r>
        <w:t>框架采用哑光金属与局部磨损边缘，轨道具有较明确的金属反射，舱体外壳表现细微板缝与粗糙度差异，玻璃保留受控反射及部分内部可见性。连接件、锁定机构、导向轮、隔热层和维护走道构成近景细节。材料表现避免通体镜面或过强自发光。</w:t>
      </w:r>
    </w:p>
    <w:p>
      <w:r>
        <w:t>场景以有方向性的主光形成清晰投影，用月面地形起伏和接触阴影落稳建筑；室内暖光与导向冷光控制在局部。日景、低角度照明与夜间检修表达不同观察目的，辉光不能吞没轨道与支撑。月面背景不采用地球式云雾解释真实环境；艺术化补光与曝光属于展示参数。</w:t>
      </w:r>
    </w:p>
    <w:p>
      <w:pPr>
        <w:pStyle w:val="Heading2"/>
      </w:pPr>
      <w:r>
        <w:rPr>
          <w:color w:val="000000"/>
        </w:rPr>
        <w:t>观察顺序</w:t>
      </w:r>
    </w:p>
    <w:p>
      <w:r>
        <w:t>首先用总览看清退台轮廓和中央空腔，再用分层观察读取可用泊位，随后以房间近景观察运输底盘和锁定接口。机构视图展示承载关系，任务视图保留移动轨迹与终态，减少装饰元素对运动理解的干扰。</w:t>
      </w:r>
    </w:p>
    <w:p>
      <w:r>
        <w:br w:type="page"/>
      </w:r>
    </w:p>
    <w:p>
      <w:pPr>
        <w:pStyle w:val="Heading1"/>
      </w:pPr>
      <w:r>
        <w:rPr>
          <w:color w:val="000000"/>
        </w:rPr>
        <w:t>二 搬运机构与接口架构</w:t>
      </w:r>
    </w:p>
    <w:p>
      <w:pPr>
        <w:pStyle w:val="Heading2"/>
      </w:pPr>
      <w:r>
        <w:rPr>
          <w:color w:val="000000"/>
        </w:rPr>
        <w:t>框架内的三维运动</w:t>
      </w:r>
    </w:p>
    <w:p>
      <w:r>
        <w:t>房间的移动遵循已定义的正交轨道图：X和Z方向承担层内平移，Y方向承担跨层升降。A轨道位于列−1、行0，C轨道位于列0、行−1，均贯通5层；B轨道位于列1、行0，贯通L1至L4。各层水平轨道与竖向节点相连，房间经过合法节点转接，不能跨越无连接的空腔或框架。</w:t>
      </w:r>
    </w:p>
    <w:p>
      <w:r>
        <w:t>水平承载、竖向承载与长期停靠需要分别承担功能。概念架构采用运输底盘与可收放的升降托架，房间到站后将重量传递给泊位支承及机械锁定装置；轨道导向约束姿态。驱动形式需通过载荷、维护与冗余取舍确定，暂不把某一种传动方案视为已验证。</w:t>
      </w:r>
    </w:p>
    <w:p>
      <w:pPr>
        <w:pStyle w:val="Heading2"/>
      </w:pPr>
      <w:r>
        <w:rPr>
          <w:color w:val="000000"/>
        </w:rPr>
        <w:t>建议的动作状态与互锁</w:t>
      </w:r>
    </w:p>
    <w:tbl>
      <w:tblPr>
        <w:tblW w:type="auto" w:w="0"/>
        <w:jc w:val="center"/>
        <w:tblLayout w:type="fixed"/>
        <w:tblLook w:firstColumn="1" w:firstRow="1" w:lastColumn="0" w:lastRow="0" w:noHBand="0" w:noVBand="1" w:val="04A0"/>
      </w:tblPr>
      <w:tblGrid>
        <w:gridCol w:w="1531"/>
        <w:gridCol w:w="3628"/>
        <w:gridCol w:w="4479"/>
      </w:tblGrid>
      <w:tr>
        <w:trPr>
          <w:tblHeader/>
          <w:cantSplit/>
        </w:trPr>
        <w:tc>
          <w:tcPr>
            <w:tcW w:type="dxa" w:w="1531"/>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jc w:val="center"/>
            </w:pPr>
            <w:r>
              <w:rPr>
                <w:b/>
                <w:color w:val="FFFFFF"/>
                <w:sz w:val="18"/>
              </w:rPr>
              <w:t>状态</w:t>
            </w:r>
          </w:p>
        </w:tc>
        <w:tc>
          <w:tcPr>
            <w:tcW w:type="dxa" w:w="3628"/>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动作与可见表现</w:t>
            </w:r>
          </w:p>
        </w:tc>
        <w:tc>
          <w:tcPr>
            <w:tcW w:type="dxa" w:w="4479"/>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进入下一状态的工程条件</w:t>
            </w:r>
          </w:p>
        </w:tc>
      </w:tr>
      <w:tr>
        <w:trPr>
          <w:cantSplit/>
        </w:trPr>
        <w:tc>
          <w:tcPr>
            <w:tcW w:type="dxa" w:w="1531"/>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准备</w:t>
            </w:r>
          </w:p>
        </w:tc>
        <w:tc>
          <w:tcPr>
            <w:tcW w:type="dxa" w:w="3628"/>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核对目标、路径、占位和接口状态</w:t>
            </w:r>
          </w:p>
        </w:tc>
        <w:tc>
          <w:tcPr>
            <w:tcW w:type="dxa" w:w="4479"/>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目标可用，路线未封闭，任务允许迁移。</w:t>
            </w:r>
          </w:p>
        </w:tc>
      </w:tr>
      <w:tr>
        <w:trPr>
          <w:cantSplit/>
        </w:trPr>
        <w:tc>
          <w:tcPr>
            <w:tcW w:type="dxa" w:w="1531"/>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接管载荷</w:t>
            </w:r>
          </w:p>
        </w:tc>
        <w:tc>
          <w:tcPr>
            <w:tcW w:type="dxa" w:w="3628"/>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托架到位，运输底盘受承托</w:t>
            </w:r>
          </w:p>
        </w:tc>
        <w:tc>
          <w:tcPr>
            <w:tcW w:type="dxa" w:w="4479"/>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载荷接管确认后才允许解除泊位锁定。</w:t>
            </w:r>
          </w:p>
        </w:tc>
      </w:tr>
      <w:tr>
        <w:trPr>
          <w:cantSplit/>
        </w:trPr>
        <w:tc>
          <w:tcPr>
            <w:tcW w:type="dxa" w:w="1531"/>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解锁与断接</w:t>
            </w:r>
          </w:p>
        </w:tc>
        <w:tc>
          <w:tcPr>
            <w:tcW w:type="dxa" w:w="3628"/>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显示锁扣打开和接口区隔离</w:t>
            </w:r>
          </w:p>
        </w:tc>
        <w:tc>
          <w:tcPr>
            <w:tcW w:type="dxa" w:w="4479"/>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接口断接、机械解锁经传感器确认。</w:t>
            </w:r>
          </w:p>
        </w:tc>
      </w:tr>
      <w:tr>
        <w:trPr>
          <w:cantSplit/>
        </w:trPr>
        <w:tc>
          <w:tcPr>
            <w:tcW w:type="dxa" w:w="1531"/>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导向运输</w:t>
            </w:r>
          </w:p>
        </w:tc>
        <w:tc>
          <w:tcPr>
            <w:tcW w:type="dxa" w:w="3628"/>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沿轨道平移或沿Y轴升降</w:t>
            </w:r>
          </w:p>
        </w:tc>
        <w:tc>
          <w:tcPr>
            <w:tcW w:type="dxa" w:w="4479"/>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转接点停稳；姿态、速度、制动状态持续受控。</w:t>
            </w:r>
          </w:p>
        </w:tc>
      </w:tr>
      <w:tr>
        <w:trPr>
          <w:cantSplit/>
        </w:trPr>
        <w:tc>
          <w:tcPr>
            <w:tcW w:type="dxa" w:w="1531"/>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停靠与交接</w:t>
            </w:r>
          </w:p>
        </w:tc>
        <w:tc>
          <w:tcPr>
            <w:tcW w:type="dxa" w:w="3628"/>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定位、锁定、托架卸载或收拢</w:t>
            </w:r>
          </w:p>
        </w:tc>
        <w:tc>
          <w:tcPr>
            <w:tcW w:type="dxa" w:w="4479"/>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泊位锁定确认后才允许托架离开。</w:t>
            </w:r>
          </w:p>
        </w:tc>
      </w:tr>
      <w:tr>
        <w:trPr>
          <w:cantSplit/>
        </w:trPr>
        <w:tc>
          <w:tcPr>
            <w:tcW w:type="dxa" w:w="1531"/>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任务结束</w:t>
            </w:r>
          </w:p>
        </w:tc>
        <w:tc>
          <w:tcPr>
            <w:tcW w:type="dxa" w:w="3628"/>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显示实际终态与计划差异</w:t>
            </w:r>
          </w:p>
        </w:tc>
        <w:tc>
          <w:tcPr>
            <w:tcW w:type="dxa" w:w="4479"/>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位置一致、占位无冲突；服务接口另行验收。</w:t>
            </w:r>
          </w:p>
        </w:tc>
      </w:tr>
    </w:tbl>
    <w:p>
      <w:pPr>
        <w:spacing w:after="0"/>
      </w:pPr>
    </w:p>
    <w:p>
      <w:r>
        <w:t>上述互锁是工程深化要求。当前仿真可表达动作顺序与几何状态，并不读取真实载荷、制动器或气密接口传感器。串行运输降低同时运动的协调复杂度，多条竖向轨道提供路线选择；独立备份能力仍取决于网络连通和实际机构设计。</w:t>
      </w:r>
    </w:p>
    <w:p>
      <w:pPr>
        <w:pStyle w:val="Heading2"/>
      </w:pPr>
      <w:r>
        <w:rPr>
          <w:color w:val="000000"/>
        </w:rPr>
        <w:t>标准接口的四个层面</w:t>
      </w:r>
    </w:p>
    <w:p>
      <w:r>
        <w:t>机械接口规定承载点、定位基准、锁定方向和运输包络；电力与数据接口规定隔离、接地、插接顺序和状态确认；流体与热控接口规定关断、泄漏检测和重接检验；载人通行接口规定停靠后连接、疏散与气密验证。统一外形接口只能作为设计起点，不能代替系统兼容性测试。</w:t>
      </w:r>
    </w:p>
    <w:p>
      <w:r>
        <w:br w:type="page"/>
      </w:r>
    </w:p>
    <w:p>
      <w:pPr>
        <w:pStyle w:val="Heading1"/>
      </w:pPr>
      <w:r>
        <w:rPr>
          <w:color w:val="000000"/>
        </w:rPr>
        <w:t>三 任务价值与仿真指标</w:t>
      </w:r>
    </w:p>
    <w:p>
      <w:r>
        <w:t>每个演示从一个明确任务出发，先给出目标房间和目的泊位，再显示可执行路径、周转过程与结束状态。这样可以讨论迁移带来的收益，也能看见空位、升降行程和串行运输的代价。</w:t>
      </w:r>
    </w:p>
    <w:tbl>
      <w:tblPr>
        <w:tblW w:type="auto" w:w="0"/>
        <w:jc w:val="center"/>
        <w:tblLayout w:type="fixed"/>
        <w:tblLook w:firstColumn="1" w:firstRow="1" w:lastColumn="0" w:lastRow="0" w:noHBand="0" w:noVBand="1" w:val="04A0"/>
      </w:tblPr>
      <w:tblGrid>
        <w:gridCol w:w="1474"/>
        <w:gridCol w:w="3685"/>
        <w:gridCol w:w="4479"/>
      </w:tblGrid>
      <w:tr>
        <w:trPr>
          <w:tblHeader/>
          <w:cantSplit/>
        </w:trPr>
        <w:tc>
          <w:tcPr>
            <w:tcW w:type="dxa" w:w="1474"/>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jc w:val="center"/>
            </w:pPr>
            <w:r>
              <w:rPr>
                <w:b/>
                <w:color w:val="FFFFFF"/>
                <w:sz w:val="18"/>
              </w:rPr>
              <w:t>任务</w:t>
            </w:r>
          </w:p>
        </w:tc>
        <w:tc>
          <w:tcPr>
            <w:tcW w:type="dxa" w:w="3685"/>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希望产生的变化</w:t>
            </w:r>
          </w:p>
        </w:tc>
        <w:tc>
          <w:tcPr>
            <w:tcW w:type="dxa" w:w="4479"/>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演示重点</w:t>
            </w:r>
          </w:p>
        </w:tc>
      </w:tr>
      <w:tr>
        <w:trPr>
          <w:cantSplit/>
        </w:trPr>
        <w:tc>
          <w:tcPr>
            <w:tcW w:type="dxa" w:w="1474"/>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科研协作</w:t>
            </w:r>
          </w:p>
        </w:tc>
        <w:tc>
          <w:tcPr>
            <w:tcW w:type="dxa" w:w="3685"/>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将R02、R03、R08调入L2，同层协作房间由0个变为3个。</w:t>
            </w:r>
          </w:p>
        </w:tc>
        <w:tc>
          <w:tcPr>
            <w:tcW w:type="dxa" w:w="4479"/>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显示跨层路径、参与模块与总距离。同层聚集是协作便利的代理指标，实际效率需任务数据验证。</w:t>
            </w:r>
          </w:p>
        </w:tc>
      </w:tr>
      <w:tr>
        <w:trPr>
          <w:cantSplit/>
        </w:trPr>
        <w:tc>
          <w:tcPr>
            <w:tcW w:type="dxa" w:w="1474"/>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维修隔离</w:t>
            </w:r>
          </w:p>
        </w:tc>
        <w:tc>
          <w:tcPr>
            <w:tcW w:type="dxa" w:w="3685"/>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R24从顶层移至首层东侧检修位，附近两个普通泊位留空作缓冲；R11补入顶层。</w:t>
            </w:r>
          </w:p>
        </w:tc>
        <w:tc>
          <w:tcPr>
            <w:tcW w:type="dxa" w:w="4479"/>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显示故障房间移出、邻位缓冲和替代房间停靠。空间移开不等于气密、污染或电气隔离完成。</w:t>
            </w:r>
          </w:p>
        </w:tc>
      </w:tr>
      <w:tr>
        <w:trPr>
          <w:cantSplit/>
        </w:trPr>
        <w:tc>
          <w:tcPr>
            <w:tcW w:type="dxa" w:w="1474"/>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基地扩建</w:t>
            </w:r>
          </w:p>
        </w:tc>
        <w:tc>
          <w:tcPr>
            <w:tcW w:type="dxa" w:w="3685"/>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激活L2两处预留泊位，使该层房间由6个增至8个，全站仍为24个房间。</w:t>
            </w:r>
          </w:p>
        </w:tc>
        <w:tc>
          <w:tcPr>
            <w:tcW w:type="dxa" w:w="4479"/>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显示既有房间如何让位和重组。演示表达空间容量的启用，不代表自动制造或安装了新结构和房间。</w:t>
            </w:r>
          </w:p>
        </w:tc>
      </w:tr>
    </w:tbl>
    <w:p>
      <w:pPr>
        <w:spacing w:after="0"/>
      </w:pPr>
    </w:p>
    <w:p>
      <w:pPr>
        <w:pStyle w:val="Heading2"/>
      </w:pPr>
      <w:r>
        <w:rPr>
          <w:color w:val="000000"/>
        </w:rPr>
        <w:t>让操作结果可复查</w:t>
      </w:r>
    </w:p>
    <w:tbl>
      <w:tblPr>
        <w:tblW w:type="auto" w:w="0"/>
        <w:jc w:val="center"/>
        <w:tblLayout w:type="fixed"/>
        <w:tblLook w:firstColumn="1" w:firstRow="1" w:lastColumn="0" w:lastRow="0" w:noHBand="0" w:noVBand="1" w:val="04A0"/>
      </w:tblPr>
      <w:tblGrid>
        <w:gridCol w:w="1928"/>
        <w:gridCol w:w="3912"/>
        <w:gridCol w:w="3798"/>
      </w:tblGrid>
      <w:tr>
        <w:trPr>
          <w:tblHeader/>
          <w:cantSplit/>
        </w:trPr>
        <w:tc>
          <w:tcPr>
            <w:tcW w:type="dxa" w:w="1928"/>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jc w:val="center"/>
            </w:pPr>
            <w:r>
              <w:rPr>
                <w:b/>
                <w:color w:val="FFFFFF"/>
                <w:sz w:val="18"/>
              </w:rPr>
              <w:t>指标</w:t>
            </w:r>
          </w:p>
        </w:tc>
        <w:tc>
          <w:tcPr>
            <w:tcW w:type="dxa" w:w="3912"/>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统计口径</w:t>
            </w:r>
          </w:p>
        </w:tc>
        <w:tc>
          <w:tcPr>
            <w:tcW w:type="dxa" w:w="3798"/>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判断用途</w:t>
            </w:r>
          </w:p>
        </w:tc>
      </w:tr>
      <w:tr>
        <w:trPr>
          <w:cantSplit/>
        </w:trPr>
        <w:tc>
          <w:tcPr>
            <w:tcW w:type="dxa" w:w="1928"/>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目标完成</w:t>
            </w:r>
          </w:p>
        </w:tc>
        <w:tc>
          <w:tcPr>
            <w:tcW w:type="dxa" w:w="3912"/>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逐房间比较实际泊位与目标泊位</w:t>
            </w:r>
          </w:p>
        </w:tc>
        <w:tc>
          <w:tcPr>
            <w:tcW w:type="dxa" w:w="3798"/>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验证任务结束状态，不能只以动画结束判定成功。</w:t>
            </w:r>
          </w:p>
        </w:tc>
      </w:tr>
      <w:tr>
        <w:trPr>
          <w:cantSplit/>
        </w:trPr>
        <w:tc>
          <w:tcPr>
            <w:tcW w:type="dxa" w:w="1928"/>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搬运次数</w:t>
            </w:r>
          </w:p>
        </w:tc>
        <w:tc>
          <w:tcPr>
            <w:tcW w:type="dxa" w:w="3912"/>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房间从一个泊位移至另一泊位计一次</w:t>
            </w:r>
          </w:p>
        </w:tc>
        <w:tc>
          <w:tcPr>
            <w:tcW w:type="dxa" w:w="3798"/>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显露空位周转引起的额外搬运。</w:t>
            </w:r>
          </w:p>
        </w:tc>
      </w:tr>
      <w:tr>
        <w:trPr>
          <w:cantSplit/>
        </w:trPr>
        <w:tc>
          <w:tcPr>
            <w:tcW w:type="dxa" w:w="1928"/>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移动距离</w:t>
            </w:r>
          </w:p>
        </w:tc>
        <w:tc>
          <w:tcPr>
            <w:tcW w:type="dxa" w:w="3912"/>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累计载房间路径的X Y Z分段长度</w:t>
            </w:r>
          </w:p>
        </w:tc>
        <w:tc>
          <w:tcPr>
            <w:tcW w:type="dxa" w:w="3798"/>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比较任务代价；不直接换算成能耗或成本。</w:t>
            </w:r>
          </w:p>
        </w:tc>
      </w:tr>
      <w:tr>
        <w:trPr>
          <w:cantSplit/>
        </w:trPr>
        <w:tc>
          <w:tcPr>
            <w:tcW w:type="dxa" w:w="1928"/>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升降次数及行程</w:t>
            </w:r>
          </w:p>
        </w:tc>
        <w:tc>
          <w:tcPr>
            <w:tcW w:type="dxa" w:w="3912"/>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按跨层段累计次数和绝对Y位移</w:t>
            </w:r>
          </w:p>
        </w:tc>
        <w:tc>
          <w:tcPr>
            <w:tcW w:type="dxa" w:w="3798"/>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确认存在真实Y坐标变化，观察竖向运输负担。</w:t>
            </w:r>
          </w:p>
        </w:tc>
      </w:tr>
      <w:tr>
        <w:trPr>
          <w:cantSplit/>
        </w:trPr>
        <w:tc>
          <w:tcPr>
            <w:tcW w:type="dxa" w:w="1928"/>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占位与包络</w:t>
            </w:r>
          </w:p>
        </w:tc>
        <w:tc>
          <w:tcPr>
            <w:tcW w:type="dxa" w:w="3912"/>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检查节点占用及路径扫掠范围</w:t>
            </w:r>
          </w:p>
        </w:tc>
        <w:tc>
          <w:tcPr>
            <w:tcW w:type="dxa" w:w="3798"/>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避免穿过静止房间、支撑、边界或封闭通道。</w:t>
            </w:r>
          </w:p>
        </w:tc>
      </w:tr>
      <w:tr>
        <w:trPr>
          <w:cantSplit/>
        </w:trPr>
        <w:tc>
          <w:tcPr>
            <w:tcW w:type="dxa" w:w="1928"/>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异常与重放</w:t>
            </w:r>
          </w:p>
        </w:tc>
        <w:tc>
          <w:tcPr>
            <w:tcW w:type="dxa" w:w="3912"/>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保存初态、目标、路径和事件</w:t>
            </w:r>
          </w:p>
        </w:tc>
        <w:tc>
          <w:tcPr>
            <w:tcW w:type="dxa" w:w="3798"/>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复查无路、急停与恢复；性能结论附版本和设备。</w:t>
            </w:r>
          </w:p>
        </w:tc>
      </w:tr>
    </w:tbl>
    <w:p>
      <w:pPr>
        <w:spacing w:after="0"/>
      </w:pPr>
    </w:p>
    <w:p>
      <w:pPr>
        <w:pStyle w:val="Heading2"/>
      </w:pPr>
      <w:r>
        <w:rPr>
          <w:color w:val="000000"/>
        </w:rPr>
        <w:t>不把播放时长当作实测性能</w:t>
      </w:r>
    </w:p>
    <w:p>
      <w:r>
        <w:t>仿真时长受展示速度和阶段时序设定影响。路演可用倍率控制节奏，论证效率时须另行测量实际定位、接管载荷、解锁、运动、锁定与接口重接耗时。比较两种布局时应同时展示初态、约束和终态，避免仅选择最短的一次路线。</w:t>
      </w:r>
    </w:p>
    <w:p>
      <w:r>
        <w:br w:type="page"/>
      </w:r>
    </w:p>
    <w:p>
      <w:pPr>
        <w:pStyle w:val="Heading1"/>
      </w:pPr>
      <w:r>
        <w:rPr>
          <w:color w:val="000000"/>
        </w:rPr>
        <w:t>四 从桌面样机到框架验证</w:t>
      </w:r>
    </w:p>
    <w:p>
      <w:pPr>
        <w:pStyle w:val="Heading2"/>
      </w:pPr>
      <w:r>
        <w:rPr>
          <w:color w:val="000000"/>
        </w:rPr>
        <w:t>保留原样机作为可测量的第一步</w:t>
      </w:r>
    </w:p>
    <w:p>
      <w:r>
        <w:t>原方案为800 × 600 × 100 mm底座、4 mm面板、八个60 × 40 × 25 mm轻质模型，研究板下XY机构、升降磁头与等待位换位。重量由面板承担，磁耦合用于牵引；磁头靠近或远离面板属于吸合与释放动作。它与本方案的大尺度三维框架具有不同的承载和驱动问题。</w:t>
      </w:r>
    </w:p>
    <w:p>
      <w:r>
        <w:t>原样机继续验证共享驱动、被动模块和等待位周转的基本逻辑。V4增加的Y轴房间运输需要独立的竖向试验台；原XY样机成功不能外推为巨构楼层运输成功。</w:t>
      </w:r>
    </w:p>
    <w:tbl>
      <w:tblPr>
        <w:tblW w:type="auto" w:w="0"/>
        <w:jc w:val="center"/>
        <w:tblLayout w:type="fixed"/>
        <w:tblLook w:firstColumn="1" w:firstRow="1" w:lastColumn="0" w:lastRow="0" w:noHBand="0" w:noVBand="1" w:val="04A0"/>
      </w:tblPr>
      <w:tblGrid>
        <w:gridCol w:w="1531"/>
        <w:gridCol w:w="3628"/>
        <w:gridCol w:w="4479"/>
      </w:tblGrid>
      <w:tr>
        <w:trPr>
          <w:tblHeader/>
          <w:cantSplit/>
        </w:trPr>
        <w:tc>
          <w:tcPr>
            <w:tcW w:type="dxa" w:w="1531"/>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jc w:val="center"/>
            </w:pPr>
            <w:r>
              <w:rPr>
                <w:b/>
                <w:color w:val="FFFFFF"/>
                <w:sz w:val="18"/>
              </w:rPr>
              <w:t>阶段</w:t>
            </w:r>
          </w:p>
        </w:tc>
        <w:tc>
          <w:tcPr>
            <w:tcW w:type="dxa" w:w="3628"/>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实物或分析工作</w:t>
            </w:r>
          </w:p>
        </w:tc>
        <w:tc>
          <w:tcPr>
            <w:tcW w:type="dxa" w:w="4479"/>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进入下一阶段的证据</w:t>
            </w:r>
          </w:p>
        </w:tc>
      </w:tr>
      <w:tr>
        <w:trPr>
          <w:cantSplit/>
        </w:trPr>
        <w:tc>
          <w:tcPr>
            <w:tcW w:type="dxa" w:w="1531"/>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1 平面原理</w:t>
            </w:r>
          </w:p>
        </w:tc>
        <w:tc>
          <w:tcPr>
            <w:tcW w:type="dxa" w:w="3628"/>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保留八模块与等待位，测板材、质量、速度、脱耦和释放。</w:t>
            </w:r>
          </w:p>
        </w:tc>
        <w:tc>
          <w:tcPr>
            <w:tcW w:type="dxa" w:w="4479"/>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完整换位记录、定位误差、失败原因。建议连续20次；原目标19/20及误差≤5 mm均是目标，不是现有结果。</w:t>
            </w:r>
          </w:p>
        </w:tc>
      </w:tr>
      <w:tr>
        <w:trPr>
          <w:cantSplit/>
        </w:trPr>
        <w:tc>
          <w:tcPr>
            <w:tcW w:type="dxa" w:w="1531"/>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2 单跨单层</w:t>
            </w:r>
          </w:p>
        </w:tc>
        <w:tc>
          <w:tcPr>
            <w:tcW w:type="dxa" w:w="3628"/>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用具有明确承载面的底盘替代仅磁牵引展示，加入泊位锁定。</w:t>
            </w:r>
          </w:p>
        </w:tc>
        <w:tc>
          <w:tcPr>
            <w:tcW w:type="dxa" w:w="4479"/>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载荷接管与交接可重复；测挠度、定位和锁定可靠性。</w:t>
            </w:r>
          </w:p>
        </w:tc>
      </w:tr>
      <w:tr>
        <w:trPr>
          <w:cantSplit/>
        </w:trPr>
        <w:tc>
          <w:tcPr>
            <w:tcW w:type="dxa" w:w="1531"/>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3 双层升降</w:t>
            </w:r>
          </w:p>
        </w:tc>
        <w:tc>
          <w:tcPr>
            <w:tcW w:type="dxa" w:w="3628"/>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搭建两层一条竖向轨道，先使用非载人配重模型。</w:t>
            </w:r>
          </w:p>
        </w:tc>
        <w:tc>
          <w:tcPr>
            <w:tcW w:type="dxa" w:w="4479"/>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证明导向、制动、限位及断电保持；记录跨层全部状态。</w:t>
            </w:r>
          </w:p>
        </w:tc>
      </w:tr>
      <w:tr>
        <w:trPr>
          <w:cantSplit/>
        </w:trPr>
        <w:tc>
          <w:tcPr>
            <w:tcW w:type="dxa" w:w="1531"/>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4 多层调度</w:t>
            </w:r>
          </w:p>
        </w:tc>
        <w:tc>
          <w:tcPr>
            <w:tcW w:type="dxa" w:w="3628"/>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扩至多泊位与两条以上可选择路径，验证通道封闭和恢复。</w:t>
            </w:r>
          </w:p>
        </w:tc>
        <w:tc>
          <w:tcPr>
            <w:tcW w:type="dxa" w:w="4479"/>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实物坐标与仿真一致；失败路径被拒绝，事件可重放。</w:t>
            </w:r>
          </w:p>
        </w:tc>
      </w:tr>
      <w:tr>
        <w:trPr>
          <w:cantSplit/>
        </w:trPr>
        <w:tc>
          <w:tcPr>
            <w:tcW w:type="dxa" w:w="1531"/>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5 接口与环境</w:t>
            </w:r>
          </w:p>
        </w:tc>
        <w:tc>
          <w:tcPr>
            <w:tcW w:type="dxa" w:w="3628"/>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完成载荷预算与结构分析，再开展接口及环境专项验证。</w:t>
            </w:r>
          </w:p>
        </w:tc>
        <w:tc>
          <w:tcPr>
            <w:tcW w:type="dxa" w:w="4479"/>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形成机械、电气、热控、防尘、热真空和寿命证据；据此决定下一步适用范围。</w:t>
            </w:r>
          </w:p>
        </w:tc>
      </w:tr>
    </w:tbl>
    <w:p>
      <w:pPr>
        <w:spacing w:after="0"/>
      </w:pPr>
    </w:p>
    <w:p>
      <w:pPr>
        <w:pStyle w:val="Heading2"/>
      </w:pPr>
      <w:r>
        <w:rPr>
          <w:color w:val="000000"/>
        </w:rPr>
        <w:t>软件验收与画面验收分别记录</w:t>
      </w:r>
    </w:p>
    <w:p>
      <w:r>
        <w:t>软件检查节点邻接、边界、占位、终态及移动全程包络；测试包含三类预设、手动六向调度、目标占用、无可达路径、竖向通道封闭、暂停与急停恢复。随机用例须保存种子、版本、数量与失败记录，不能只报告通过次数。</w:t>
      </w:r>
    </w:p>
    <w:p>
      <w:r>
        <w:t>画面检查总览轮廓、玻璃与金属差异、支撑投影、近景机构、层间可见性和移动时的穿插；交互检查视角切换、房间选择与界面可读性。帧率或加载时间仅在记录的设备与浏览器条件下成立。</w:t>
      </w:r>
    </w:p>
    <w:p>
      <w:pPr>
        <w:pStyle w:val="Heading2"/>
      </w:pPr>
      <w:r>
        <w:rPr>
          <w:color w:val="000000"/>
        </w:rPr>
        <w:t>资源安排</w:t>
      </w:r>
    </w:p>
    <w:p>
      <w:r>
        <w:t>团队分配机械、电控、软件、报告与路演职责，允许兼任。采购先做材料规格与数量清单，再以实际询价填写预算。优先投入双层升降与停靠交接验证；大尺度巨构的总质量、建造方式与维护成本在概念阶段保持待评估。</w:t>
      </w:r>
    </w:p>
    <w:p>
      <w:r>
        <w:br w:type="page"/>
      </w:r>
    </w:p>
    <w:p>
      <w:pPr>
        <w:pStyle w:val="Heading1"/>
      </w:pPr>
      <w:r>
        <w:rPr>
          <w:color w:val="000000"/>
        </w:rPr>
        <w:t>五 路演讲述与答辩口径</w:t>
      </w:r>
    </w:p>
    <w:p>
      <w:pPr>
        <w:pStyle w:val="Heading2"/>
      </w:pPr>
      <w:r>
        <w:rPr>
          <w:color w:val="000000"/>
        </w:rPr>
        <w:t>八分钟演示安排</w:t>
      </w:r>
    </w:p>
    <w:tbl>
      <w:tblPr>
        <w:tblW w:type="auto" w:w="0"/>
        <w:jc w:val="center"/>
        <w:tblLayout w:type="fixed"/>
        <w:tblLook w:firstColumn="1" w:firstRow="1" w:lastColumn="0" w:lastRow="0" w:noHBand="0" w:noVBand="1" w:val="04A0"/>
      </w:tblPr>
      <w:tblGrid>
        <w:gridCol w:w="1531"/>
        <w:gridCol w:w="3175"/>
        <w:gridCol w:w="4932"/>
      </w:tblGrid>
      <w:tr>
        <w:trPr>
          <w:tblHeader/>
          <w:cantSplit/>
        </w:trPr>
        <w:tc>
          <w:tcPr>
            <w:tcW w:type="dxa" w:w="1531"/>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jc w:val="center"/>
            </w:pPr>
            <w:r>
              <w:rPr>
                <w:b/>
                <w:color w:val="FFFFFF"/>
                <w:sz w:val="18"/>
              </w:rPr>
              <w:t>时间</w:t>
            </w:r>
          </w:p>
        </w:tc>
        <w:tc>
          <w:tcPr>
            <w:tcW w:type="dxa" w:w="3175"/>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画面与操作</w:t>
            </w:r>
          </w:p>
        </w:tc>
        <w:tc>
          <w:tcPr>
            <w:tcW w:type="dxa" w:w="4932"/>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讲述重点</w:t>
            </w:r>
          </w:p>
        </w:tc>
      </w:tr>
      <w:tr>
        <w:trPr>
          <w:cantSplit/>
        </w:trPr>
        <w:tc>
          <w:tcPr>
            <w:tcW w:type="dxa" w:w="1531"/>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0:00至0:50</w:t>
            </w:r>
          </w:p>
        </w:tc>
        <w:tc>
          <w:tcPr>
            <w:tcW w:type="dxa" w:w="3175"/>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总览框架与中央空腔</w:t>
            </w:r>
          </w:p>
        </w:tc>
        <w:tc>
          <w:tcPr>
            <w:tcW w:type="dxa" w:w="4932"/>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任务变化会改变房间之间的位置需求。我们研究在共享结构内调整功能房间的位置。</w:t>
            </w:r>
          </w:p>
        </w:tc>
      </w:tr>
      <w:tr>
        <w:trPr>
          <w:cantSplit/>
        </w:trPr>
        <w:tc>
          <w:tcPr>
            <w:tcW w:type="dxa" w:w="1531"/>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0:50至1:45</w:t>
            </w:r>
          </w:p>
        </w:tc>
        <w:tc>
          <w:tcPr>
            <w:tcW w:type="dxa" w:w="3175"/>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切换立面和分层</w:t>
            </w:r>
          </w:p>
        </w:tc>
        <w:tc>
          <w:tcPr>
            <w:tcW w:type="dxa" w:w="4932"/>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5层42个节点容纳24个房间，保留18个初始空闲节点，既看清结构也给运输留出周转空间。</w:t>
            </w:r>
          </w:p>
        </w:tc>
      </w:tr>
      <w:tr>
        <w:trPr>
          <w:cantSplit/>
        </w:trPr>
        <w:tc>
          <w:tcPr>
            <w:tcW w:type="dxa" w:w="1531"/>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1:45至2:45</w:t>
            </w:r>
          </w:p>
        </w:tc>
        <w:tc>
          <w:tcPr>
            <w:tcW w:type="dxa" w:w="3175"/>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近看轨道 托架 锁定装置</w:t>
            </w:r>
          </w:p>
        </w:tc>
        <w:tc>
          <w:tcPr>
            <w:tcW w:type="dxa" w:w="4932"/>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房间沿水平轨道到达内部升降位置，接管载荷后解锁，再跨层停靠。竖向运动发生在框架内。</w:t>
            </w:r>
          </w:p>
        </w:tc>
      </w:tr>
      <w:tr>
        <w:trPr>
          <w:cantSplit/>
        </w:trPr>
        <w:tc>
          <w:tcPr>
            <w:tcW w:type="dxa" w:w="1531"/>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2:45至4:00</w:t>
            </w:r>
          </w:p>
        </w:tc>
        <w:tc>
          <w:tcPr>
            <w:tcW w:type="dxa" w:w="3175"/>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运行科研协作</w:t>
            </w:r>
          </w:p>
        </w:tc>
        <w:tc>
          <w:tcPr>
            <w:tcW w:type="dxa" w:w="4932"/>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展示目标、路径与终态，解释哪几个房间因协作关系调整位置。</w:t>
            </w:r>
          </w:p>
        </w:tc>
      </w:tr>
      <w:tr>
        <w:trPr>
          <w:cantSplit/>
        </w:trPr>
        <w:tc>
          <w:tcPr>
            <w:tcW w:type="dxa" w:w="1531"/>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4:00至5:00</w:t>
            </w:r>
          </w:p>
        </w:tc>
        <w:tc>
          <w:tcPr>
            <w:tcW w:type="dxa" w:w="3175"/>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运行维修隔离或基地扩建</w:t>
            </w:r>
          </w:p>
        </w:tc>
        <w:tc>
          <w:tcPr>
            <w:tcW w:type="dxa" w:w="4932"/>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说明任务变化为何需要空位和让位，并显示额外搬运与升降行程。</w:t>
            </w:r>
          </w:p>
        </w:tc>
      </w:tr>
      <w:tr>
        <w:trPr>
          <w:cantSplit/>
        </w:trPr>
        <w:tc>
          <w:tcPr>
            <w:tcW w:type="dxa" w:w="1531"/>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5:00至6:00</w:t>
            </w:r>
          </w:p>
        </w:tc>
        <w:tc>
          <w:tcPr>
            <w:tcW w:type="dxa" w:w="3175"/>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显示指标与测试记录</w:t>
            </w:r>
          </w:p>
        </w:tc>
        <w:tc>
          <w:tcPr>
            <w:tcW w:type="dxa" w:w="4932"/>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几何、占位、时序由软件检查；承载、制动和接口需要实物证据。展示实际记录，未测项保持待验证。</w:t>
            </w:r>
          </w:p>
        </w:tc>
      </w:tr>
      <w:tr>
        <w:trPr>
          <w:cantSplit/>
        </w:trPr>
        <w:tc>
          <w:tcPr>
            <w:tcW w:type="dxa" w:w="1531"/>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6:00至7:10</w:t>
            </w:r>
          </w:p>
        </w:tc>
        <w:tc>
          <w:tcPr>
            <w:tcW w:type="dxa" w:w="3175"/>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展示原XY样机和双层试验路线</w:t>
            </w:r>
          </w:p>
        </w:tc>
        <w:tc>
          <w:tcPr>
            <w:tcW w:type="dxa" w:w="4932"/>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原样机保留共享驱动与等待位原理，下一步验证房间真正升降及安全交接。</w:t>
            </w:r>
          </w:p>
        </w:tc>
      </w:tr>
      <w:tr>
        <w:trPr>
          <w:cantSplit/>
        </w:trPr>
        <w:tc>
          <w:tcPr>
            <w:tcW w:type="dxa" w:w="1531"/>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7:10至8:00</w:t>
            </w:r>
          </w:p>
        </w:tc>
        <w:tc>
          <w:tcPr>
            <w:tcW w:type="dxa" w:w="3175"/>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回到完成布局</w:t>
            </w:r>
          </w:p>
        </w:tc>
        <w:tc>
          <w:tcPr>
            <w:tcW w:type="dxa" w:w="4932"/>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总结任务价值与当前证据，提出机械与环境方向的具体验证需求。</w:t>
            </w:r>
          </w:p>
        </w:tc>
      </w:tr>
    </w:tbl>
    <w:p>
      <w:pPr>
        <w:spacing w:after="0"/>
      </w:pPr>
    </w:p>
    <w:p>
      <w:pPr>
        <w:pStyle w:val="Heading2"/>
      </w:pPr>
      <w:r>
        <w:rPr>
          <w:color w:val="000000"/>
        </w:rPr>
        <w:t>三个容易混淆的答辩问题</w:t>
      </w:r>
    </w:p>
    <w:p>
      <w:r>
        <w:t>为什么需要巨型框架：它提供重复使用的承载、导向与停靠基础，使功能房间能够重组；代价是结构质量、建造复杂度和固定轨道范围。是否优于独立移动平台，需比较任务收益与全系统质量、能耗、可靠性和维护。</w:t>
      </w:r>
    </w:p>
    <w:p>
      <w:r>
        <w:t>是否已经实现三维建筑搬运：软件表达房间在内部轨道上的X、Y、Z位移并检查相应约束。现有XY实物验证水平子问题；双层升降、真实承载和锁定互锁尚需新试验。</w:t>
      </w:r>
    </w:p>
    <w:p>
      <w:r>
        <w:t>能否载人移动或长期月面运行：本阶段没有这类实测证据。生命保障、应急疏散、制动冗余、结构与环境适应性均需专项论证，路演不以舱内人物模型作为载人能力证明。</w:t>
      </w:r>
    </w:p>
    <w:p>
      <w:r>
        <w:t>现场保留仿真、实物原理样机和真实样机视频三类材料，并明确标识。无可达路径时展示拒绝原因；设备故障时停止动作，转为静态图解释，不伪装成成功演示。</w:t>
      </w:r>
    </w:p>
    <w:p>
      <w:r>
        <w:br w:type="page"/>
      </w:r>
    </w:p>
    <w:p>
      <w:pPr>
        <w:pStyle w:val="Heading1"/>
      </w:pPr>
      <w:r>
        <w:rPr>
          <w:color w:val="000000"/>
        </w:rPr>
        <w:t>六 项目依据与方案改进摘要</w:t>
      </w:r>
    </w:p>
    <w:p>
      <w:pPr>
        <w:pStyle w:val="Heading2"/>
      </w:pPr>
      <w:r>
        <w:rPr>
          <w:color w:val="000000"/>
        </w:rPr>
        <w:t>保留的项目背景</w:t>
      </w:r>
    </w:p>
    <w:p>
      <w:r>
        <w:t>国家航天局2025年4月25日公开材料描述国际月球科研站具有长期自主运行、短期有人参与、可扩展和可维护等特点，并给出当时基本型及拓展型时间安排。[1] 本项目据此讨论可重构设施的研究价值；国家任务背景不构成对本方案的采用、资金或采购承诺。</w:t>
      </w:r>
    </w:p>
    <w:p>
      <w:r>
        <w:t>NASA关于Artemis月面概念设施迁移的研究评估过通过可分离移动平台搬迁中大型设施，并指出系统与架构风险仍需量化。[2] 因此创新论证集中于共享框架、标准泊位、被动功能房间及任务调度的组合与取舍，避免宣称首次提出月面建筑移动。</w:t>
      </w:r>
    </w:p>
    <w:p>
      <w:r>
        <w:t>NASA月尘缓解指南讨论避免暴露、清除和容忍月尘等策略。[3] 主框架、轨道和接口采用防尘设计是必要研究方向；结构遮蔽、封闭面板或装饰性外壳不能直接证明长期免维护。</w:t>
      </w:r>
    </w:p>
    <w:p>
      <w:pPr>
        <w:pStyle w:val="Heading2"/>
      </w:pPr>
      <w:r>
        <w:rPr>
          <w:color w:val="000000"/>
        </w:rPr>
        <w:t>相较原方案的实质改进</w:t>
      </w:r>
    </w:p>
    <w:tbl>
      <w:tblPr>
        <w:tblW w:type="auto" w:w="0"/>
        <w:jc w:val="center"/>
        <w:tblLayout w:type="fixed"/>
        <w:tblLook w:firstColumn="1" w:firstRow="1" w:lastColumn="0" w:lastRow="0" w:noHBand="0" w:noVBand="1" w:val="04A0"/>
      </w:tblPr>
      <w:tblGrid>
        <w:gridCol w:w="1956"/>
        <w:gridCol w:w="4025"/>
        <w:gridCol w:w="3657"/>
      </w:tblGrid>
      <w:tr>
        <w:trPr>
          <w:tblHeader/>
          <w:cantSplit/>
        </w:trPr>
        <w:tc>
          <w:tcPr>
            <w:tcW w:type="dxa" w:w="1956"/>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jc w:val="center"/>
            </w:pPr>
            <w:r>
              <w:rPr>
                <w:b/>
                <w:color w:val="FFFFFF"/>
                <w:sz w:val="18"/>
              </w:rPr>
              <w:t>原有基础</w:t>
            </w:r>
          </w:p>
        </w:tc>
        <w:tc>
          <w:tcPr>
            <w:tcW w:type="dxa" w:w="4025"/>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V4改进</w:t>
            </w:r>
          </w:p>
        </w:tc>
        <w:tc>
          <w:tcPr>
            <w:tcW w:type="dxa" w:w="3657"/>
            <w:vAlign w:val="center"/>
            <w:tcBorders>
              <w:top w:val="single" w:sz="4" w:color="D9D9D9"/>
              <w:bottom w:val="single" w:sz="4" w:color="D9D9D9"/>
              <w:left w:val="single" w:sz="4" w:color="D9D9D9"/>
              <w:right w:val="single" w:sz="4" w:color="D9D9D9"/>
            </w:tcBorders>
            <w:shd w:fill="263E50"/>
            <w:tcMar>
              <w:top w:w="90" w:type="dxa"/>
              <w:bottom w:w="90" w:type="dxa"/>
              <w:left w:w="90" w:type="dxa"/>
              <w:right w:w="90" w:type="dxa"/>
            </w:tcMar>
          </w:tcPr>
          <w:p>
            <w:pPr>
              <w:spacing w:after="40" w:before="40" w:line="259" w:lineRule="auto"/>
            </w:pPr>
            <w:r>
              <w:rPr>
                <w:b/>
                <w:color w:val="FFFFFF"/>
                <w:sz w:val="18"/>
              </w:rPr>
              <w:t>保留的边界</w:t>
            </w:r>
          </w:p>
        </w:tc>
      </w:tr>
      <w:tr>
        <w:trPr>
          <w:cantSplit/>
        </w:trPr>
        <w:tc>
          <w:tcPr>
            <w:tcW w:type="dxa" w:w="195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共享板下XY牵引</w:t>
            </w:r>
          </w:p>
        </w:tc>
        <w:tc>
          <w:tcPr>
            <w:tcW w:type="dxa" w:w="4025"/>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扩展为框架内水平轨道与3条竖向轨道的概念架构。</w:t>
            </w:r>
          </w:p>
        </w:tc>
        <w:tc>
          <w:tcPr>
            <w:tcW w:type="dxa" w:w="3657"/>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平面原理样机继续独立验收，不外推竖向承载能力。</w:t>
            </w:r>
          </w:p>
        </w:tc>
      </w:tr>
      <w:tr>
        <w:trPr>
          <w:cantSplit/>
        </w:trPr>
        <w:tc>
          <w:tcPr>
            <w:tcW w:type="dxa" w:w="1956"/>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等待位换位</w:t>
            </w:r>
          </w:p>
        </w:tc>
        <w:tc>
          <w:tcPr>
            <w:tcW w:type="dxa" w:w="4025"/>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利用42节点中的18个初始空闲节点组织多层周转。</w:t>
            </w:r>
          </w:p>
        </w:tc>
        <w:tc>
          <w:tcPr>
            <w:tcW w:type="dxa" w:w="3657"/>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空位多不等于一定有路径，每项任务仍需规划检查。</w:t>
            </w:r>
          </w:p>
        </w:tc>
      </w:tr>
      <w:tr>
        <w:trPr>
          <w:cantSplit/>
        </w:trPr>
        <w:tc>
          <w:tcPr>
            <w:tcW w:type="dxa" w:w="195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建筑模型与分层展示</w:t>
            </w:r>
          </w:p>
        </w:tc>
        <w:tc>
          <w:tcPr>
            <w:tcW w:type="dxa" w:w="4025"/>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以退台巨构、中央空腔和嵌入式房间统一空间组织。</w:t>
            </w:r>
          </w:p>
        </w:tc>
        <w:tc>
          <w:tcPr>
            <w:tcW w:type="dxa" w:w="3657"/>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剖切、分层和爆炸效果是观察工具，不计入真实位移。</w:t>
            </w:r>
          </w:p>
        </w:tc>
      </w:tr>
      <w:tr>
        <w:trPr>
          <w:cantSplit/>
        </w:trPr>
        <w:tc>
          <w:tcPr>
            <w:tcW w:type="dxa" w:w="1956"/>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jc w:val="center"/>
            </w:pPr>
            <w:r>
              <w:rPr>
                <w:b w:val="0"/>
                <w:color w:val="172630"/>
                <w:sz w:val="18"/>
              </w:rPr>
              <w:t>基础换位与维护调位</w:t>
            </w:r>
          </w:p>
        </w:tc>
        <w:tc>
          <w:tcPr>
            <w:tcW w:type="dxa" w:w="4025"/>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以科研协作、维修隔离和基地扩建解释迁移目的。</w:t>
            </w:r>
          </w:p>
        </w:tc>
        <w:tc>
          <w:tcPr>
            <w:tcW w:type="dxa" w:w="3657"/>
            <w:vAlign w:val="center"/>
            <w:tcBorders>
              <w:top w:val="single" w:sz="4" w:color="D9D9D9"/>
              <w:bottom w:val="single" w:sz="4" w:color="D9D9D9"/>
              <w:left w:val="single" w:sz="4" w:color="D9D9D9"/>
              <w:right w:val="single" w:sz="4" w:color="D9D9D9"/>
            </w:tcBorders>
            <w:shd w:fill="F2F5F8"/>
            <w:tcMar>
              <w:top w:w="90" w:type="dxa"/>
              <w:bottom w:w="90" w:type="dxa"/>
              <w:left w:w="90" w:type="dxa"/>
              <w:right w:w="90" w:type="dxa"/>
            </w:tcMar>
          </w:tcPr>
          <w:p>
            <w:pPr>
              <w:spacing w:after="40" w:before="40" w:line="259" w:lineRule="auto"/>
            </w:pPr>
            <w:r>
              <w:rPr>
                <w:b w:val="0"/>
                <w:color w:val="172630"/>
                <w:sz w:val="18"/>
              </w:rPr>
              <w:t>位置变化仅是任务收益的代理，实际工作效率另测。</w:t>
            </w:r>
          </w:p>
        </w:tc>
      </w:tr>
      <w:tr>
        <w:trPr>
          <w:cantSplit/>
        </w:trPr>
        <w:tc>
          <w:tcPr>
            <w:tcW w:type="dxa" w:w="195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jc w:val="center"/>
            </w:pPr>
            <w:r>
              <w:rPr>
                <w:b w:val="0"/>
                <w:color w:val="172630"/>
                <w:sz w:val="18"/>
              </w:rPr>
              <w:t>实物与仿真证据分层</w:t>
            </w:r>
          </w:p>
        </w:tc>
        <w:tc>
          <w:tcPr>
            <w:tcW w:type="dxa" w:w="4025"/>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增加双层升降、机械交接、接口与环境的分阶段验证。</w:t>
            </w:r>
          </w:p>
        </w:tc>
        <w:tc>
          <w:tcPr>
            <w:tcW w:type="dxa" w:w="3657"/>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before="40" w:line="259" w:lineRule="auto"/>
            </w:pPr>
            <w:r>
              <w:rPr>
                <w:b w:val="0"/>
                <w:color w:val="172630"/>
                <w:sz w:val="18"/>
              </w:rPr>
              <w:t>未经试验的成功率、成本优势和月面适用性不填成结论。</w:t>
            </w:r>
          </w:p>
        </w:tc>
      </w:tr>
    </w:tbl>
    <w:p>
      <w:pPr>
        <w:spacing w:after="0"/>
      </w:pPr>
    </w:p>
    <w:p>
      <w:pPr>
        <w:pStyle w:val="Heading2"/>
      </w:pPr>
      <w:r>
        <w:rPr>
          <w:color w:val="000000"/>
        </w:rPr>
        <w:t>参考资料</w:t>
      </w:r>
    </w:p>
    <w:p>
      <w:pPr>
        <w:spacing w:after="40"/>
      </w:pPr>
      <w:r>
        <w:t>[1] 国家航天局 送嫦娥架鹊桥 吴伟仁详解国际月球科研站新动态 2025年4月25日</w:t>
      </w:r>
    </w:p>
    <w:p>
      <w:pPr>
        <w:spacing w:after="140"/>
      </w:pPr>
      <w:r>
        <w:rPr>
          <w:sz w:val="16"/>
        </w:rPr>
        <w:t>https://www.cnsa.gov.cn/n6758823/n6758844/n10663475/n10663516/c10668780/content.html</w:t>
      </w:r>
    </w:p>
    <w:p>
      <w:pPr>
        <w:spacing w:after="40"/>
      </w:pPr>
      <w:r>
        <w:t>[2] NASA Assessing the Relocation of Artemis Foundational Lunar Surface Concepts 2024年IEEE会议相关论文</w:t>
      </w:r>
    </w:p>
    <w:p>
      <w:pPr>
        <w:spacing w:after="140"/>
      </w:pPr>
      <w:r>
        <w:rPr>
          <w:sz w:val="16"/>
        </w:rPr>
        <w:t>https://ntrs.nasa.gov/citations/20230013620</w:t>
      </w:r>
    </w:p>
    <w:p>
      <w:pPr>
        <w:spacing w:after="40"/>
      </w:pPr>
      <w:r>
        <w:t>[3] NASA Lunar Dust Mitigation A Guide and Reference NASA TP 20220018746</w:t>
      </w:r>
    </w:p>
    <w:p>
      <w:pPr>
        <w:spacing w:after="140"/>
      </w:pPr>
      <w:r>
        <w:rPr>
          <w:sz w:val="16"/>
        </w:rPr>
        <w:t>https://ntrs.nasa.gov/api/citations/20220018746/downloads/TP-20220018746.pdf</w:t>
      </w:r>
    </w:p>
    <w:sectPr w:rsidR="00FC693F" w:rsidRPr="0006063C" w:rsidSect="00034616">
      <w:footerReference w:type="default" r:id="rId9"/>
      <w:pgSz w:w="11906" w:h="16838"/>
      <w:pgMar w:top="992" w:right="1134" w:bottom="935" w:left="1134"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7C"/>
        <w:sz w:val="16"/>
      </w:rPr>
      <w:t xml:space="preserve">可重构月球科研站  V4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Microsoft YaHei" w:hAnsi="Microsoft YaHe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Microsoft YaHei" w:hAnsi="Microsoft YaHei" w:eastAsia="Microsoft YaHe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Microsoft YaHei" w:hAnsi="Microsoft YaHei" w:eastAsia="Microsoft YaHe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Microsoft YaHei" w:hAnsi="Microsoft YaHei" w:eastAsia="Microsoft YaHei"/>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可重构月球科研站 巨构框架方案与验证路线 V4</dc:title>
  <dc:subject>巨构空间设计 轨道搬运 任务价值 分阶段验证</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