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top w:val="nil"/>
          <w:bottom w:val="nil"/>
          <w:left w:val="nil"/>
          <w:right w:val="nil"/>
          <w:between w:val="nil"/>
        </w:pBdr>
      </w:pPr>
      <w:r>
        <w:t>可重构月球科研站</w:t>
      </w:r>
    </w:p>
    <w:p>
      <w:r>
        <w:t>项目策划与路演方案  修订版  2026年9月7日</w:t>
      </w:r>
    </w:p>
    <w:p>
      <w:pPr>
        <w:pStyle w:val="Heading2"/>
      </w:pPr>
      <w:r>
        <w:t>一 项目定位</w:t>
      </w:r>
    </w:p>
    <w:p>
      <w:r>
        <w:t>我们研究月面科研设施随任务变化进行模块换位的可能性，提出共享式板下 XY 搬运机构，使多个被动模块通过一个等待位完成平面重排。本轮交付包括八舱段原理样机、独立运行的三维仿真软件和可复查的测试记录。</w:t>
      </w:r>
    </w:p>
    <w:p>
      <w:r>
        <w:t>核心主张是把基地布局从设计时变量变成运行时变量。当前样机研究的范围为预设平台上的水平换位；垂直堆叠、载人移动和真实月面部署列入未来研究，不作为本轮已实现能力。</w:t>
      </w:r>
    </w:p>
    <w:p>
      <w:pPr>
        <w:pStyle w:val="Heading2"/>
      </w:pPr>
      <w:r>
        <w:t>二 应用背景与创新边界</w:t>
      </w:r>
    </w:p>
    <w:p>
      <w:r>
        <w:t>国家航天局2025年公开材料将国际月球科研站描述为长期自主运行、短期有人参与、可扩展、可维护的综合科研设施；当时规划为2035年前基本型、2045年前拓展型。[1] 这提供了研究背景，并不代表本项目已获得任务方需求确认、投资或采购承诺。</w:t>
      </w:r>
    </w:p>
    <w:p>
      <w:r>
        <w:t>既有研究已讨论移动栖居舱和可分离搬运平台。[2] 因此本项目不主张首次提出月面设施移动，而比较共享机构、被动模块和平台基础设施之间的成本与可靠性取舍。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3061"/>
        <w:gridCol w:w="4592"/>
      </w:tblGrid>
      <w:tr>
        <w:trPr>
          <w:tblHeader/>
        </w:trPr>
        <w:tc>
          <w:tcPr>
            <w:tcW w:type="dxa" w:w="1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设计点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潜在收益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对应代价或未决问题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共享 XY 搬运机构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减少每个舱段自带驱动的需求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串行吞吐与单点失效；须计入平台质量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驱动位于面板下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降低运动部件直接暴露风险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板缝、维护口与密封件仍需防尘设计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等待位换位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使被占用目标之间的换位可执行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增加搬运次数与预留占地</w:t>
            </w:r>
          </w:p>
        </w:tc>
      </w:tr>
      <w:tr>
        <w:tc>
          <w:tcPr>
            <w:tcW w:type="dxa" w:w="198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模块位置可配置</w:t>
            </w:r>
          </w:p>
        </w:tc>
        <w:tc>
          <w:tcPr>
            <w:tcW w:type="dxa" w:w="30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适应科研协作或维护任务</w:t>
            </w:r>
          </w:p>
        </w:tc>
        <w:tc>
          <w:tcPr>
            <w:tcW w:type="dxa" w:w="459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接口、管线、遮挡与承载尚未验证</w:t>
            </w:r>
          </w:p>
        </w:tc>
      </w:tr>
    </w:tbl>
    <w:p>
      <w:pPr>
        <w:pStyle w:val="Heading2"/>
      </w:pPr>
      <w:r>
        <w:t>三 课程约束与交付口径</w:t>
      </w:r>
    </w:p>
    <w:p>
      <w:r>
        <w:t>若课程要求建筑真正进行三维搬运或垂直堆叠，现有 XY 样机只能覆盖平面子问题；应在验收前明确这一差距，不能用三维画面或爆炸视图代替 Z 轴搬运。真实买方要求则需补充具体机构访谈、公开征集或项目需求证据。</w:t>
      </w:r>
    </w:p>
    <w:p>
      <w:r>
        <w:br w:type="page"/>
      </w:r>
    </w:p>
    <w:p>
      <w:pPr>
        <w:pStyle w:val="Heading1"/>
      </w:pPr>
      <w:r>
        <w:t>四 样机与仿真规格</w:t>
      </w:r>
    </w:p>
    <w:p>
      <w:r>
        <w:t>实物外形以原三维 HTML 为参照：800×600×100 mm 底座、4 mm 面板、八个60×40×25 mm轻质舱段。材料和厚度最终以牵引试验及加工结果确定。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rPr>
          <w:tblHeader/>
        </w:trP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部件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本轮功能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验收证据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XY 机构与升降磁头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定位、靠近、拖动、远离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实机连续动作录像与位置测量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被动舱段及底部钢片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承受隔板牵引并保持姿态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不同质量、速度下的脱耦记录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面板与等待区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支持舱段并提供换位空间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面板变形、摩擦及释放稳定性</w:t>
            </w:r>
          </w:p>
        </w:tc>
      </w:tr>
      <w:tr>
        <w:tc>
          <w:tcPr>
            <w:tcW w:type="dxa" w:w="226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控制与供电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归零、运动、停机和恢复</w:t>
            </w:r>
          </w:p>
        </w:tc>
        <w:tc>
          <w:tcPr>
            <w:tcW w:type="dxa" w:w="396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限位、断电、急停测试记录</w:t>
            </w:r>
          </w:p>
        </w:tc>
      </w:tr>
    </w:tbl>
    <w:p>
      <w:pPr>
        <w:pStyle w:val="Heading2"/>
      </w:pPr>
      <w:r>
        <w:t>软件功能</w:t>
      </w:r>
    </w:p>
    <w:p>
      <w:r>
        <w:t>软件提供基础换位、科研协作、维护调位和自定义目标布局。规划器用等待区分解置换循环；每次只移动一个舱段。路径在正交节点图上搜索，考虑舱段矩形外形和安全间距，并可绕开用户启用的中央封闭区。</w:t>
      </w:r>
    </w:p>
    <w:p>
      <w:r>
        <w:t>软件提供暂停、逐阶段播放、时间轴、急停、速度设置、透视、分层、俯视和路演模式，并导出 JSON 计划与运行事件。目标重复或无路径时显示失败原因。每次重新规划均从统一初始布局开始；不支持从搬运中途重规划。</w:t>
      </w:r>
    </w:p>
    <w:p>
      <w:r>
        <w:t>拖动段采用端点速度为零的平滑插值，转角停稳。40、80、120 mm/s为假设牵引峰值；播放倍率仅改变观看速度。预测时长含定位、吸合、分段拖动、释放和空返，不能替代实机测时。</w:t>
      </w:r>
    </w:p>
    <w:p>
      <w:pPr>
        <w:pStyle w:val="Heading2"/>
      </w:pPr>
      <w:r>
        <w:t>验证边界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928"/>
        <w:gridCol w:w="3855"/>
        <w:gridCol w:w="3855"/>
      </w:tblGrid>
      <w:tr>
        <w:trPr>
          <w:tblHeader/>
        </w:trP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本轮能给出的证据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不可据此推出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几何与时序仿真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路径、终态、等待区释放、动作顺序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磁力、实际摩擦、热真空与寿命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桌面样机试验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在所测板材、质量与速度下运行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真实尺度载荷或月面环境适用性</w:t>
            </w:r>
          </w:p>
        </w:tc>
      </w:tr>
      <w:tr>
        <w:tc>
          <w:tcPr>
            <w:tcW w:type="dxa" w:w="192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应用概念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功能舱用途和目标布局设定</w:t>
            </w:r>
          </w:p>
        </w:tc>
        <w:tc>
          <w:tcPr>
            <w:tcW w:type="dxa" w:w="385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载人安全、气密通道和自动接驳已实现</w:t>
            </w:r>
          </w:p>
        </w:tc>
      </w:tr>
    </w:tbl>
    <w:p>
      <w:r>
        <w:br w:type="page"/>
      </w:r>
    </w:p>
    <w:p>
      <w:pPr>
        <w:pStyle w:val="Heading1"/>
      </w:pPr>
      <w:r>
        <w:t>五 执行安排与验收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61"/>
        <w:gridCol w:w="4989"/>
        <w:gridCol w:w="3288"/>
      </w:tblGrid>
      <w:tr>
        <w:trPr>
          <w:tblHeader/>
        </w:trPr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工作与交付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通过条件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第1周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先完成单舱段磁吸牵引；记录板材、厚度、质量和电源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完成吸合、牵引、释放；遇失败可定位原因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第2周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完成八舱段与等待区；核对仿真和实物坐标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连续完整执行基础换位；无碰撞和手动补位</w:t>
            </w:r>
          </w:p>
        </w:tc>
      </w:tr>
      <w:tr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第3周</w:t>
            </w:r>
          </w:p>
        </w:tc>
        <w:tc>
          <w:tcPr>
            <w:tcW w:type="dxa" w:w="498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重复测试、故障演练、路演和彩排视频</w:t>
            </w:r>
          </w:p>
        </w:tc>
        <w:tc>
          <w:tcPr>
            <w:tcW w:type="dxa" w:w="328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提交全部成功与失败记录；备份素材能独立播放</w:t>
            </w:r>
          </w:p>
        </w:tc>
      </w:tr>
    </w:tbl>
    <w:p>
      <w:r>
        <w:t>负责人由团队分配为机械、电控、软件、报告与路演四类角色，可兼任。预算按材料规格、数量、单价和供应来源逐项登记；不填未经询价的总额。</w:t>
      </w:r>
    </w:p>
    <w:p>
      <w:pPr>
        <w:pStyle w:val="Heading2"/>
      </w:pPr>
      <w:r>
        <w:t>实物测试表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4139"/>
        <w:gridCol w:w="3345"/>
      </w:tblGrid>
      <w:tr>
        <w:trPr>
          <w:tblHeader/>
        </w:trPr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测量方法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本轮建议目标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完整换位成功率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连续20次，统计无需人工干预的完成次数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目标≥19/20；如未达到，报告真实结果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最终定位误差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每次测中心相对目标中心的最大偏差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目标≤5 mm，结合制作精度调整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牵引质量与速度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逐级增加质量和速度，记录脱耦、偏转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报告可重复运行区间，禁止只报最好一次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释放与空返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观察空返时已放置舱段是否再移动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20次均无明显二次牵引</w:t>
            </w:r>
          </w:p>
        </w:tc>
      </w:tr>
      <w:tr>
        <w:tc>
          <w:tcPr>
            <w:tcW w:type="dxa" w:w="215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异常恢复</w:t>
            </w:r>
          </w:p>
        </w:tc>
        <w:tc>
          <w:tcPr>
            <w:tcW w:type="dxa" w:w="4139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急停、卡滞和断电后人工确认再恢复</w:t>
            </w:r>
          </w:p>
        </w:tc>
        <w:tc>
          <w:tcPr>
            <w:tcW w:type="dxa" w:w="3345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无自行重启，明确归零与重放流程</w:t>
            </w:r>
          </w:p>
        </w:tc>
      </w:tr>
    </w:tbl>
    <w:p>
      <w:pPr>
        <w:pStyle w:val="Heading2"/>
      </w:pPr>
      <w:r>
        <w:t>现场执行</w:t>
      </w:r>
    </w:p>
    <w:p>
      <w:r>
        <w:t>机械操作者负责样机；讲解者负责叙事；软件操作者负责预设和画面。开场前确认初始位置P1—P8与R1—R8对应，等待位W为空。先播放基础换位，再展示中央通道封闭后的规划变化，最后回到完整目标布局。</w:t>
      </w:r>
    </w:p>
    <w:p>
      <w:r>
        <w:t>现场保留三个层次：实物原理样机、三维仿真、事先录制的视频与三张静态步骤图。视频必须在真实样机制作后录制；软件画面只能标为仿真，不能冒充实机。故障时暂停设备并切换说明材料。</w:t>
      </w:r>
    </w:p>
    <w:p>
      <w:pPr>
        <w:pStyle w:val="Heading2"/>
      </w:pPr>
      <w:r>
        <w:t>软件验收</w:t>
      </w:r>
    </w:p>
    <w:p>
      <w:r>
        <w:t>检查基础换位需三次搬运，结束后W为空；检查多个循环与自定义排列；检查重复编号、封闭起点与无路径的拒绝；独立采样检查路径扫掠范围与静止舱段不重叠。浏览器视觉与交互验收在路演设备上另行执行。</w:t>
      </w:r>
    </w:p>
    <w:p>
      <w:r>
        <w:br w:type="page"/>
      </w:r>
    </w:p>
    <w:p>
      <w:pPr>
        <w:pStyle w:val="Heading1"/>
        <w:spacing w:before="100" w:after="60" w:line="240" w:lineRule="auto"/>
      </w:pPr>
      <w:r>
        <w:t>六 八分钟路演脚本</w:t>
      </w:r>
    </w:p>
    <w:p>
      <w:pPr>
        <w:spacing w:before="0" w:after="60" w:line="240" w:lineRule="auto"/>
      </w:pPr>
      <w:r>
        <w:t>以下为讲解词与操作节拍；演示、停顿和切换计入八分钟。实际语速与实机时间以彩排为准。</w:t>
      </w:r>
    </w:p>
    <w:p>
      <w:pPr>
        <w:pStyle w:val="Heading2"/>
        <w:spacing w:before="100" w:after="60" w:line="240" w:lineRule="auto"/>
      </w:pPr>
      <w:r>
        <w:t>00:00至00:50 问题</w:t>
      </w:r>
    </w:p>
    <w:p>
      <w:pPr>
        <w:spacing w:before="0" w:after="60" w:line="240" w:lineRule="auto"/>
      </w:pPr>
      <w:r>
        <w:t>“科研站的任务会变化。新增实验、设备维护和舱段替换，都可能使原来的布局不再合适。我们关注的是：设施建成以后，能否利用同一套搬运设备，让已有模块调整位置？”</w:t>
      </w:r>
    </w:p>
    <w:p>
      <w:pPr>
        <w:pStyle w:val="Heading2"/>
        <w:spacing w:before="100" w:after="60" w:line="240" w:lineRule="auto"/>
      </w:pPr>
      <w:r>
        <w:t>00:50至01:40 背景与差异</w:t>
      </w:r>
    </w:p>
    <w:p>
      <w:pPr>
        <w:spacing w:before="0" w:after="60" w:line="240" w:lineRule="auto"/>
      </w:pPr>
      <w:r>
        <w:t>“已有研究讨论过移动栖居舱和搬运平台。我们的切入点是一个预设的平台：把主要驱动机构集中到面板下方，让上面的模块保持被动。这样可能减少模块自带的运动部件，但也增加了平台建设、串行搬运和维修设计的要求。”</w:t>
      </w:r>
    </w:p>
    <w:p>
      <w:pPr>
        <w:pStyle w:val="Heading2"/>
        <w:spacing w:before="100" w:after="60" w:line="240" w:lineRule="auto"/>
      </w:pPr>
      <w:r>
        <w:t>01:40至02:40 拆解原理</w:t>
      </w:r>
    </w:p>
    <w:p>
      <w:pPr>
        <w:spacing w:before="0" w:after="60" w:line="240" w:lineRule="auto"/>
      </w:pPr>
      <w:r>
        <w:t>操作：开启软件分层，展示XY横梁、滑块、升降磁头和面板。</w:t>
      </w:r>
    </w:p>
    <w:p>
      <w:pPr>
        <w:spacing w:before="0" w:after="60" w:line="240" w:lineRule="auto"/>
      </w:pPr>
      <w:r>
        <w:t>“下面是一套XY机构，上面是八个轻质模型。磁头移动到目标下面，靠近面板后拖动模块，到位后远离面板。这个升降只负责吸合和释放。画面中的分层用于看清结构，我们本轮没有做舱段垂直堆叠。”</w:t>
      </w:r>
    </w:p>
    <w:p>
      <w:pPr>
        <w:pStyle w:val="Heading2"/>
        <w:spacing w:before="100" w:after="60" w:line="240" w:lineRule="auto"/>
      </w:pPr>
      <w:r>
        <w:t>02:40至04:00 基础换位</w:t>
      </w:r>
    </w:p>
    <w:p>
      <w:pPr>
        <w:spacing w:before="0" w:after="60" w:line="240" w:lineRule="auto"/>
      </w:pPr>
      <w:r>
        <w:t>操作：关闭分层，选择基础任务，规划并播放；样机按实测节奏同步或独立演示。</w:t>
      </w:r>
    </w:p>
    <w:p>
      <w:pPr>
        <w:spacing w:before="0" w:after="60" w:line="240" w:lineRule="auto"/>
      </w:pPr>
      <w:r>
        <w:t>“R1和R2要交换，但两个目标位都已被占用。我们先将R1放入等待区，再把R2搬到P1，最后将R1搬到P2。一次只搬一个模块，其他模块保持静止。完成后等待区重新空闲，可用于下一次任务。”</w:t>
      </w:r>
    </w:p>
    <w:p>
      <w:pPr>
        <w:pStyle w:val="Heading2"/>
        <w:spacing w:before="100" w:after="60" w:line="240" w:lineRule="auto"/>
      </w:pPr>
      <w:r>
        <w:t>04:00至05:10 改变任务</w:t>
      </w:r>
    </w:p>
    <w:p>
      <w:pPr>
        <w:spacing w:before="0" w:after="60" w:line="240" w:lineRule="auto"/>
      </w:pPr>
      <w:r>
        <w:t>操作：选择科研协作或维护调位，展示目标选择和计划列表；启用中央封闭区后重新规划。</w:t>
      </w:r>
    </w:p>
    <w:p>
      <w:pPr>
        <w:spacing w:before="0" w:after="60" w:line="240" w:lineRule="auto"/>
      </w:pPr>
      <w:r>
        <w:t>“这里可以改变目标，而不仅是重复一段录像。软件会重新计算搬运顺序和路径。红色区域代表不可通过的区域。如果找不到满足尺寸约束的路径，系统应明确拒绝，而不是让模型穿过障碍。”</w:t>
      </w:r>
    </w:p>
    <w:p>
      <w:pPr>
        <w:pStyle w:val="Heading2"/>
        <w:spacing w:before="100" w:after="60" w:line="240" w:lineRule="auto"/>
      </w:pPr>
      <w:r>
        <w:t>05:10至06:20 证据</w:t>
      </w:r>
    </w:p>
    <w:p>
      <w:pPr>
        <w:spacing w:before="0" w:after="60" w:line="240" w:lineRule="auto"/>
      </w:pPr>
      <w:r>
        <w:t>“我们把证据分成两个层次。软件检查几何路径、顺序和目标状态；样机测量定位误差、成功率、牵引质量和释放效果。”展示本团队实测表；未测项目明确说“尚未测量”，不得读出建议目标作为结果。</w:t>
      </w:r>
    </w:p>
    <w:p>
      <w:pPr>
        <w:pStyle w:val="Heading2"/>
        <w:spacing w:before="100" w:after="60" w:line="240" w:lineRule="auto"/>
      </w:pPr>
      <w:r>
        <w:t>06:20至07:15 局限与后续</w:t>
      </w:r>
    </w:p>
    <w:p>
      <w:pPr>
        <w:spacing w:before="0" w:after="60" w:line="240" w:lineRule="auto"/>
      </w:pPr>
      <w:r>
        <w:t>“面板下方的布置可能减少直接暴露，但板缝和维护口仍然需要防尘。月面应用还需要解决承载、接口、温度变化和维修。我们会先验证桌面机制，再确定是否值得推进环境试验。载人移动与垂直搬运不在本轮成果范围内。”</w:t>
      </w:r>
    </w:p>
    <w:p>
      <w:pPr>
        <w:pStyle w:val="Heading2"/>
        <w:spacing w:before="100" w:after="60" w:line="240" w:lineRule="auto"/>
      </w:pPr>
      <w:r>
        <w:t>07:15至08:00 价值与请求</w:t>
      </w:r>
    </w:p>
    <w:p>
      <w:pPr>
        <w:spacing w:before="0" w:after="60" w:line="240" w:lineRule="auto"/>
      </w:pPr>
      <w:r>
        <w:t>“本项目把布局重构变成一个可以操作和测量的问题。下一步希望获得机械结构与空间环境方向的指导，评估共享平台在质量、可靠性和任务收益上是否有优势。本轮提交的是原理样机、仿真软件和测试记录。”</w:t>
      </w:r>
    </w:p>
    <w:p>
      <w:pPr>
        <w:spacing w:before="0" w:after="60" w:line="240" w:lineRule="auto"/>
      </w:pPr>
      <w:r>
        <w:br w:type="page"/>
      </w:r>
    </w:p>
    <w:p>
      <w:pPr>
        <w:pStyle w:val="Heading1"/>
      </w:pPr>
      <w:r>
        <w:t>七 答辩问题与风险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24"/>
        <w:gridCol w:w="7313"/>
      </w:tblGrid>
      <w:tr>
        <w:trPr>
          <w:tblHeader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可能的问题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E8EEE9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/>
                <w:sz w:val="18"/>
              </w:rPr>
              <w:t>建议回答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创新在哪里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既有研究已涉及舱段移动。我们研究共享板下驱动与被动模块的组合及其取舍，尚不声称首创或优于全部方案。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为何称华容道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借用等待位周转的直观类比。单机构并不在数学上必然等同于传统华容道；我们的通道图和运动规则另行定义。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十年不进尘如何保证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当前没有这项证明。板下布置是降低暴露的设计方向；接缝、维护口和密封寿命均需测试。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磁吸是否承重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样机重量由面板支撑，磁耦合提供牵引。真实舱段的水平力传递、锁定和承载机构尚未设计验证。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有人时能否移动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本轮不验证载人移动，也不据活动分级宣称安全。接口断接、应急疏散和动态载荷需要独立研究。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单机构坏了怎么办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它会阻塞后续搬运，是明确的单点失效。实际系统需可维护设计、备件或冗余，并计入质量预算。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谁会买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潜在研究需求方包括相关科研团队与任务论证单位；目前未获得真实采购或投资承诺，下一步通过访谈与公开需求核实。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为什么更省钱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目前没有成本结论。应同时比较驱动数量、整个平台、发射质量、安装与维护开销。</w:t>
            </w:r>
          </w:p>
        </w:tc>
      </w:tr>
      <w:t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如何实现防尘和供能</w:t>
            </w:r>
          </w:p>
        </w:tc>
        <w:tc>
          <w:tcPr>
            <w:tcW w:type="dxa" w:w="731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shd w:fill="FFFFFF"/>
            <w:tcMar>
              <w:top w:w="85" w:type="dxa"/>
              <w:bottom w:w="85" w:type="dxa"/>
              <w:left w:w="85" w:type="dxa"/>
              <w:right w:w="85" w:type="dxa"/>
            </w:tcMar>
          </w:tcPr>
          <w:p>
            <w:pPr>
              <w:spacing w:after="60"/>
            </w:pPr>
            <w:r>
              <w:rPr>
                <w:b w:val="0"/>
                <w:sz w:val="18"/>
              </w:rPr>
              <w:t>本轮未验证。正压吹气涉及气体消耗，太阳能铺设与搬运区可能冲突，均不能作为现成答案。</w:t>
            </w:r>
          </w:p>
        </w:tc>
      </w:tr>
    </w:tbl>
    <w:p>
      <w:pPr>
        <w:pStyle w:val="Heading2"/>
      </w:pPr>
      <w:r>
        <w:t>风险处理原则</w:t>
      </w:r>
    </w:p>
    <w:p>
      <w:r>
        <w:t>实物牵引不可靠时先降低质量或速度并重新测量；无法通过就如实报告限制。软件无路径时保留失败状态并解释原因。路演不以“对手都不可行”代替数据，不以国家任务存在代替客户证据。</w:t>
      </w:r>
    </w:p>
    <w:p>
      <w:r>
        <w:br w:type="page"/>
      </w:r>
    </w:p>
    <w:p>
      <w:pPr>
        <w:pStyle w:val="Heading1"/>
      </w:pPr>
      <w:r>
        <w:t>八 来源与交付清单</w:t>
      </w:r>
    </w:p>
    <w:p>
      <w:r>
        <w:t>以下为修订时核对的公开来源。任务安排和合作数量按各来源的发布日期引用，提交前检查有无更新。</w:t>
      </w:r>
    </w:p>
    <w:p>
      <w:pPr>
        <w:pStyle w:val="Heading2"/>
      </w:pPr>
      <w:r>
        <w:t>[1] 国家航天局 2025年 国际月球科研站新动态</w:t>
      </w:r>
    </w:p>
    <w:p>
      <w:r>
        <w:t>https://www.cnsa.gov.cn/n6758823/n6758844/n10663475/n10663516/c10668780/content.html</w:t>
      </w:r>
    </w:p>
    <w:p>
      <w:r>
        <w:t>支持2035年前基本型、2045年前拓展型及当时合作数量；不证明本项目有买方。</w:t>
      </w:r>
    </w:p>
    <w:p>
      <w:pPr>
        <w:pStyle w:val="Heading2"/>
      </w:pPr>
      <w:r>
        <w:t>[2] NASA 2024 Assessing the Relocation of Artemis Foundational Lunar Surface Concepts</w:t>
      </w:r>
    </w:p>
    <w:p>
      <w:r>
        <w:t>https://ntrs.nasa.gov/citations/20240002265</w:t>
      </w:r>
    </w:p>
    <w:p>
      <w:r>
        <w:t>支持已有月面栖居设施搬迁与可分离移动平台研究，不能宣称所有现有方案布局固定。</w:t>
      </w:r>
    </w:p>
    <w:p>
      <w:pPr>
        <w:pStyle w:val="Heading2"/>
      </w:pPr>
      <w:r>
        <w:t>[3] NASA Lunar Dust Mitigation A Guide and Reference</w:t>
      </w:r>
    </w:p>
    <w:p>
      <w:r>
        <w:t>https://ntrs.nasa.gov/citations/20220018746</w:t>
      </w:r>
    </w:p>
    <w:p>
      <w:r>
        <w:t>支持避免、清除、容忍的综合取舍；不支持单靠板下布置保证十年零尘。</w:t>
      </w:r>
    </w:p>
    <w:p>
      <w:pPr>
        <w:pStyle w:val="Heading2"/>
      </w:pPr>
      <w:r>
        <w:t>[4] NASA 2020 Game Changing Development Program 访谈</w:t>
      </w:r>
    </w:p>
    <w:p>
      <w:r>
        <w:t>https://www.nasa.gov/podcasts/small-steps-giant-leaps/small-steps-giant-leaps-episode-42-game-changing-development-program/</w:t>
      </w:r>
    </w:p>
    <w:p>
      <w:r>
        <w:t>访谈提到Schmitt靴子类似凯夫拉材料的磨损。本路演删除了容易误引的精确材料与天数叙述。</w:t>
      </w:r>
    </w:p>
    <w:p>
      <w:pPr>
        <w:pStyle w:val="Heading2"/>
      </w:pPr>
      <w:r>
        <w:t>本轮文件</w:t>
      </w:r>
    </w:p>
    <w:p>
      <w:r>
        <w:t>可重构月球科研站项目策划与路演方案_修订版.docx：策划、边界、验收、路演与答辩。</w:t>
      </w:r>
    </w:p>
    <w:p>
      <w:r>
        <w:t>月宫华容_三维仿真软件.html：内嵌三维库与规划器，双击本地打开，不依赖CDN。导出的JSON为软件运行记录。</w:t>
      </w:r>
    </w:p>
    <w:p>
      <w:r>
        <w:t>仿真软件使用说明.md：使用步骤、限制与本机验收方法。源代码及自动检查脚本随工作目录保留。</w:t>
      </w:r>
    </w:p>
    <w:p>
      <w:pPr>
        <w:pStyle w:val="Heading2"/>
      </w:pPr>
      <w:r>
        <w:t>实物完成后补交</w:t>
      </w:r>
    </w:p>
    <w:p>
      <w:r>
        <w:t>材料与成本明细、连续测试原始记录、实际性能表、实机演示视频与静态步骤图。未经测试的项保持待验证。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