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70000" w14:textId="4F946E99" w:rsidR="00145A62" w:rsidRPr="00074CA2" w:rsidRDefault="00145A62" w:rsidP="00145A62">
      <w:pPr>
        <w:jc w:val="center"/>
        <w:rPr>
          <w:rFonts w:ascii="Times New Roman" w:hAnsi="Times New Roman"/>
        </w:rPr>
      </w:pPr>
      <w:r w:rsidRPr="00074CA2">
        <w:rPr>
          <w:rFonts w:ascii="Times New Roman" w:hAnsi="Times New Roman"/>
        </w:rPr>
        <w:t xml:space="preserve">Table S3. Descriptions of the </w:t>
      </w:r>
      <w:r w:rsidR="003A5C11">
        <w:rPr>
          <w:rFonts w:ascii="Times New Roman" w:hAnsi="Times New Roman"/>
        </w:rPr>
        <w:t>3M3F that</w:t>
      </w:r>
      <w:r w:rsidRPr="00074CA2">
        <w:rPr>
          <w:rFonts w:ascii="Times New Roman" w:hAnsi="Times New Roman"/>
        </w:rPr>
        <w:t xml:space="preserve"> issued </w:t>
      </w:r>
      <w:r w:rsidR="003A5C11">
        <w:rPr>
          <w:rFonts w:ascii="Times New Roman" w:hAnsi="Times New Roman"/>
        </w:rPr>
        <w:t xml:space="preserve">by </w:t>
      </w:r>
      <w:r w:rsidR="003A5C11" w:rsidRPr="003A5C11">
        <w:rPr>
          <w:rFonts w:ascii="Times New Roman" w:hAnsi="Times New Roman"/>
        </w:rPr>
        <w:t>the National Health Commission</w:t>
      </w:r>
      <w:r w:rsidR="003A5C11">
        <w:rPr>
          <w:rFonts w:ascii="Times New Roman" w:hAnsi="Times New Roman"/>
        </w:rPr>
        <w:t xml:space="preserve"> </w:t>
      </w:r>
      <w:r w:rsidR="003A5C11" w:rsidRPr="003A5C11">
        <w:rPr>
          <w:rFonts w:ascii="Times New Roman" w:hAnsi="Times New Roman"/>
        </w:rPr>
        <w:t>of the People's Republic of China</w:t>
      </w:r>
      <w:r w:rsidR="003A5C11">
        <w:rPr>
          <w:rFonts w:ascii="Times New Roman" w:hAnsi="Times New Roman"/>
        </w:rPr>
        <w:t xml:space="preserve"> against COVI-19</w:t>
      </w:r>
    </w:p>
    <w:tbl>
      <w:tblPr>
        <w:tblStyle w:val="4-1"/>
        <w:tblpPr w:leftFromText="180" w:rightFromText="180" w:vertAnchor="page" w:horzAnchor="margin" w:tblpXSpec="center" w:tblpY="2052"/>
        <w:tblW w:w="12794" w:type="dxa"/>
        <w:tblLayout w:type="fixed"/>
        <w:tblLook w:val="04A0" w:firstRow="1" w:lastRow="0" w:firstColumn="1" w:lastColumn="0" w:noHBand="0" w:noVBand="1"/>
      </w:tblPr>
      <w:tblGrid>
        <w:gridCol w:w="1555"/>
        <w:gridCol w:w="3937"/>
        <w:gridCol w:w="1733"/>
        <w:gridCol w:w="3690"/>
        <w:gridCol w:w="1879"/>
      </w:tblGrid>
      <w:tr w:rsidR="00145A62" w:rsidRPr="00145A62" w14:paraId="422FF11C" w14:textId="77777777" w:rsidTr="00C768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2C306B8" w14:textId="77777777" w:rsidR="00145A62" w:rsidRPr="00C76833" w:rsidRDefault="00145A62" w:rsidP="00145A62">
            <w:pPr>
              <w:rPr>
                <w:rFonts w:ascii="Times New Roman" w:hAnsi="Times New Roman"/>
                <w:color w:val="FFFFFF" w:themeColor="background1"/>
              </w:rPr>
            </w:pPr>
            <w:r w:rsidRPr="00C76833">
              <w:rPr>
                <w:rFonts w:ascii="Times New Roman" w:hAnsi="Times New Roman"/>
                <w:color w:val="FFFFFF" w:themeColor="background1"/>
              </w:rPr>
              <w:t>TCM herbal formulas</w:t>
            </w:r>
          </w:p>
        </w:tc>
        <w:tc>
          <w:tcPr>
            <w:tcW w:w="3937" w:type="dxa"/>
          </w:tcPr>
          <w:p w14:paraId="3EE5BCDA" w14:textId="77777777" w:rsidR="00145A62" w:rsidRPr="00C76833" w:rsidRDefault="00145A62" w:rsidP="00145A62">
            <w:pP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rPr>
            </w:pPr>
            <w:r w:rsidRPr="00C76833">
              <w:rPr>
                <w:rFonts w:ascii="Times New Roman" w:hAnsi="Times New Roman"/>
                <w:color w:val="FFFFFF" w:themeColor="background1"/>
              </w:rPr>
              <w:t>Constituent</w:t>
            </w:r>
          </w:p>
        </w:tc>
        <w:tc>
          <w:tcPr>
            <w:tcW w:w="1733" w:type="dxa"/>
          </w:tcPr>
          <w:p w14:paraId="0E8AC25A" w14:textId="77777777" w:rsidR="00145A62" w:rsidRPr="00C76833" w:rsidRDefault="00145A62" w:rsidP="00145A62">
            <w:pP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rPr>
            </w:pPr>
            <w:r w:rsidRPr="00C76833">
              <w:rPr>
                <w:rFonts w:ascii="Times New Roman" w:hAnsi="Times New Roman"/>
                <w:color w:val="FFFFFF" w:themeColor="background1"/>
              </w:rPr>
              <w:t>Clinical Stage</w:t>
            </w:r>
          </w:p>
        </w:tc>
        <w:tc>
          <w:tcPr>
            <w:tcW w:w="3690" w:type="dxa"/>
          </w:tcPr>
          <w:p w14:paraId="7C4EB149" w14:textId="77777777" w:rsidR="00145A62" w:rsidRPr="00C76833" w:rsidRDefault="00145A62" w:rsidP="00CC18D3">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rPr>
            </w:pPr>
            <w:r w:rsidRPr="00C76833">
              <w:rPr>
                <w:rFonts w:ascii="Times New Roman" w:hAnsi="Times New Roman"/>
                <w:color w:val="FFFFFF" w:themeColor="background1"/>
              </w:rPr>
              <w:t>Therapeutic effect</w:t>
            </w:r>
          </w:p>
        </w:tc>
        <w:tc>
          <w:tcPr>
            <w:tcW w:w="1879" w:type="dxa"/>
          </w:tcPr>
          <w:p w14:paraId="71F43F5E" w14:textId="77777777" w:rsidR="00145A62" w:rsidRPr="00C76833" w:rsidRDefault="00145A62" w:rsidP="00145A62">
            <w:pP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rPr>
            </w:pPr>
            <w:r w:rsidRPr="00C76833">
              <w:rPr>
                <w:rFonts w:ascii="Times New Roman" w:hAnsi="Times New Roman"/>
                <w:color w:val="FFFFFF" w:themeColor="background1"/>
              </w:rPr>
              <w:t>Reference</w:t>
            </w:r>
          </w:p>
        </w:tc>
      </w:tr>
      <w:tr w:rsidR="00145A62" w:rsidRPr="00074CA2" w14:paraId="3C8C0CC1" w14:textId="77777777" w:rsidTr="00C76833">
        <w:trPr>
          <w:cnfStyle w:val="000000100000" w:firstRow="0" w:lastRow="0" w:firstColumn="0" w:lastColumn="0" w:oddVBand="0" w:evenVBand="0" w:oddHBand="1" w:evenHBand="0" w:firstRowFirstColumn="0" w:firstRowLastColumn="0" w:lastRowFirstColumn="0" w:lastRowLastColumn="0"/>
          <w:trHeight w:val="797"/>
        </w:trPr>
        <w:tc>
          <w:tcPr>
            <w:cnfStyle w:val="001000000000" w:firstRow="0" w:lastRow="0" w:firstColumn="1" w:lastColumn="0" w:oddVBand="0" w:evenVBand="0" w:oddHBand="0" w:evenHBand="0" w:firstRowFirstColumn="0" w:firstRowLastColumn="0" w:lastRowFirstColumn="0" w:lastRowLastColumn="0"/>
            <w:tcW w:w="1555" w:type="dxa"/>
          </w:tcPr>
          <w:p w14:paraId="444191AB" w14:textId="0B05B4AC"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Jinhua</w:t>
            </w:r>
            <w:r w:rsidR="00CC18D3" w:rsidRPr="00074CA2">
              <w:rPr>
                <w:rFonts w:ascii="Times New Roman" w:hAnsi="Times New Roman"/>
                <w:b w:val="0"/>
                <w:bCs w:val="0"/>
                <w:lang w:bidi="en-US"/>
              </w:rPr>
              <w:t>-</w:t>
            </w:r>
            <w:r w:rsidRPr="00145A62">
              <w:rPr>
                <w:rFonts w:ascii="Times New Roman" w:hAnsi="Times New Roman"/>
                <w:b w:val="0"/>
                <w:bCs w:val="0"/>
                <w:lang w:bidi="en-US"/>
              </w:rPr>
              <w:t>Qinggan Granules</w:t>
            </w:r>
          </w:p>
        </w:tc>
        <w:tc>
          <w:tcPr>
            <w:tcW w:w="3937" w:type="dxa"/>
          </w:tcPr>
          <w:p w14:paraId="227E2670"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Lonicera japonica Thunb., Gypsum</w:t>
            </w:r>
          </w:p>
          <w:p w14:paraId="5C955DF1"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Fibrosum, Ephedra sinica Stapf, Prunus</w:t>
            </w:r>
          </w:p>
          <w:p w14:paraId="6941DCC9"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amygdalus Batsch, Scutellaria baicalensis</w:t>
            </w:r>
          </w:p>
          <w:p w14:paraId="1EBFFCFD"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Georgi, Forsythia suspensa (Thunb.) Vahl,</w:t>
            </w:r>
          </w:p>
          <w:p w14:paraId="465933F3"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Fritillaria thunbergii Miq., Anemarrhena</w:t>
            </w:r>
          </w:p>
          <w:p w14:paraId="672ADA66"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asphodeloides Bunge, Arctium lappa L.,</w:t>
            </w:r>
          </w:p>
          <w:p w14:paraId="7209752F"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artemisia annua L., Mentha × piperita L.,</w:t>
            </w:r>
          </w:p>
          <w:p w14:paraId="6FE18F1F"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Glycyrrhiza glabra L</w:t>
            </w:r>
          </w:p>
        </w:tc>
        <w:tc>
          <w:tcPr>
            <w:tcW w:w="1733" w:type="dxa"/>
          </w:tcPr>
          <w:p w14:paraId="3B3C8CA0"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mild, moderate</w:t>
            </w:r>
          </w:p>
        </w:tc>
        <w:tc>
          <w:tcPr>
            <w:tcW w:w="3690" w:type="dxa"/>
          </w:tcPr>
          <w:p w14:paraId="194EA275" w14:textId="4BB19226" w:rsidR="00145A62" w:rsidRPr="00145A62" w:rsidRDefault="00CC18D3" w:rsidP="00CC18D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Clear heat and detoxifying, and diffuse the lung</w:t>
            </w:r>
            <w:r w:rsidRPr="00074CA2">
              <w:rPr>
                <w:rFonts w:ascii="Times New Roman" w:hAnsi="Times New Roman"/>
                <w:lang w:bidi="en-US"/>
              </w:rPr>
              <w:t>”</w:t>
            </w:r>
            <w:r w:rsidR="00145A62" w:rsidRPr="00145A62">
              <w:rPr>
                <w:rFonts w:ascii="Times New Roman" w:hAnsi="Times New Roman"/>
                <w:lang w:bidi="en-US"/>
              </w:rPr>
              <w:t xml:space="preserve"> according to TCM theory. Reportedly</w:t>
            </w:r>
            <w:r w:rsidRPr="00074CA2">
              <w:rPr>
                <w:rFonts w:ascii="Times New Roman" w:hAnsi="Times New Roman"/>
                <w:lang w:bidi="en-US"/>
              </w:rPr>
              <w:t xml:space="preserve"> </w:t>
            </w:r>
            <w:r w:rsidR="00145A62" w:rsidRPr="00145A62">
              <w:rPr>
                <w:rFonts w:ascii="Times New Roman" w:hAnsi="Times New Roman"/>
                <w:lang w:bidi="en-US"/>
              </w:rPr>
              <w:t>has antiviral and immune regulation effects</w:t>
            </w:r>
          </w:p>
        </w:tc>
        <w:tc>
          <w:tcPr>
            <w:tcW w:w="1879" w:type="dxa"/>
          </w:tcPr>
          <w:p w14:paraId="78BB17C6" w14:textId="3584764A" w:rsidR="00145A62" w:rsidRPr="00145A62" w:rsidRDefault="00940696"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[1]</w:t>
            </w:r>
          </w:p>
        </w:tc>
      </w:tr>
      <w:tr w:rsidR="00145A62" w:rsidRPr="00145A62" w14:paraId="0896E3A6" w14:textId="77777777" w:rsidTr="00C76833">
        <w:trPr>
          <w:trHeight w:val="528"/>
        </w:trPr>
        <w:tc>
          <w:tcPr>
            <w:cnfStyle w:val="001000000000" w:firstRow="0" w:lastRow="0" w:firstColumn="1" w:lastColumn="0" w:oddVBand="0" w:evenVBand="0" w:oddHBand="0" w:evenHBand="0" w:firstRowFirstColumn="0" w:firstRowLastColumn="0" w:lastRowFirstColumn="0" w:lastRowLastColumn="0"/>
            <w:tcW w:w="1555" w:type="dxa"/>
          </w:tcPr>
          <w:p w14:paraId="63D20B79" w14:textId="577A384C"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Lianhua</w:t>
            </w:r>
            <w:r w:rsidR="00CC18D3" w:rsidRPr="00074CA2">
              <w:rPr>
                <w:rFonts w:ascii="Times New Roman" w:hAnsi="Times New Roman"/>
                <w:b w:val="0"/>
                <w:bCs w:val="0"/>
                <w:lang w:bidi="en-US"/>
              </w:rPr>
              <w:t>-</w:t>
            </w:r>
            <w:r w:rsidRPr="00145A62">
              <w:rPr>
                <w:rFonts w:ascii="Times New Roman" w:hAnsi="Times New Roman"/>
                <w:b w:val="0"/>
                <w:bCs w:val="0"/>
                <w:lang w:bidi="en-US"/>
              </w:rPr>
              <w:t>Qingwen Capsules</w:t>
            </w:r>
          </w:p>
        </w:tc>
        <w:tc>
          <w:tcPr>
            <w:tcW w:w="3937" w:type="dxa"/>
          </w:tcPr>
          <w:p w14:paraId="0C0F061D"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Forsythia suspensa (Thunb.) Vahl, Lonicera japonica Thunb., Ephedra sinica Stapf, Isatis</w:t>
            </w:r>
          </w:p>
          <w:p w14:paraId="376A4241"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tinctoria L., Gypsum Fibrosum, Mentha ×</w:t>
            </w:r>
          </w:p>
          <w:p w14:paraId="027C888A"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piperita L., Pogostemon cablin (Blanco)</w:t>
            </w:r>
          </w:p>
          <w:p w14:paraId="7E8ED033"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Benth., Houttuynia cordata Thunb., Rheum</w:t>
            </w:r>
          </w:p>
          <w:p w14:paraId="47D62BF7"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ofﬁcinale Baill., Prunus amygdalus Batsch,</w:t>
            </w:r>
          </w:p>
          <w:p w14:paraId="7E6181D0"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Glycyrrhiza glabra L</w:t>
            </w:r>
          </w:p>
        </w:tc>
        <w:tc>
          <w:tcPr>
            <w:tcW w:w="1733" w:type="dxa"/>
          </w:tcPr>
          <w:p w14:paraId="7DBDF5A8"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mild, moderate</w:t>
            </w:r>
          </w:p>
        </w:tc>
        <w:tc>
          <w:tcPr>
            <w:tcW w:w="3690" w:type="dxa"/>
          </w:tcPr>
          <w:p w14:paraId="6C931561" w14:textId="50724913" w:rsidR="00145A62" w:rsidRPr="00145A62" w:rsidRDefault="00CC18D3" w:rsidP="00CC18D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Clear heat and diffuse the lung, and</w:t>
            </w:r>
            <w:r w:rsidRPr="00074CA2">
              <w:rPr>
                <w:rFonts w:ascii="Times New Roman" w:hAnsi="Times New Roman"/>
                <w:lang w:bidi="en-US"/>
              </w:rPr>
              <w:t xml:space="preserve"> </w:t>
            </w:r>
            <w:r w:rsidR="00145A62" w:rsidRPr="00145A62">
              <w:rPr>
                <w:rFonts w:ascii="Times New Roman" w:hAnsi="Times New Roman"/>
                <w:lang w:bidi="en-US"/>
              </w:rPr>
              <w:t>detoxifying” according to TCM theory.</w:t>
            </w:r>
            <w:r w:rsidRPr="00074CA2">
              <w:rPr>
                <w:rFonts w:ascii="Times New Roman" w:hAnsi="Times New Roman"/>
                <w:lang w:bidi="en-US"/>
              </w:rPr>
              <w:t xml:space="preserve"> </w:t>
            </w:r>
            <w:r w:rsidR="00145A62" w:rsidRPr="00145A62">
              <w:rPr>
                <w:rFonts w:ascii="Times New Roman" w:hAnsi="Times New Roman"/>
                <w:lang w:bidi="en-US"/>
              </w:rPr>
              <w:t>Reportedly has antiviral, anti-inﬂammatory</w:t>
            </w:r>
            <w:r w:rsidRPr="00074CA2">
              <w:rPr>
                <w:rFonts w:ascii="Times New Roman" w:hAnsi="Times New Roman"/>
                <w:lang w:bidi="en-US"/>
              </w:rPr>
              <w:t xml:space="preserve"> </w:t>
            </w:r>
            <w:r w:rsidR="00145A62" w:rsidRPr="00145A62">
              <w:rPr>
                <w:rFonts w:ascii="Times New Roman" w:hAnsi="Times New Roman"/>
                <w:lang w:bidi="en-US"/>
              </w:rPr>
              <w:t>and immune regulation effects</w:t>
            </w:r>
          </w:p>
        </w:tc>
        <w:tc>
          <w:tcPr>
            <w:tcW w:w="1879" w:type="dxa"/>
          </w:tcPr>
          <w:p w14:paraId="61A81768" w14:textId="1FF0E9B8" w:rsidR="00145A62" w:rsidRPr="00145A62" w:rsidRDefault="00940696"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[2]</w:t>
            </w:r>
          </w:p>
        </w:tc>
      </w:tr>
      <w:tr w:rsidR="00145A62" w:rsidRPr="00145A62" w14:paraId="14DBB55E" w14:textId="77777777" w:rsidTr="00C76833">
        <w:trPr>
          <w:cnfStyle w:val="000000100000" w:firstRow="0" w:lastRow="0" w:firstColumn="0" w:lastColumn="0" w:oddVBand="0" w:evenVBand="0" w:oddHBand="1" w:evenHBand="0" w:firstRowFirstColumn="0" w:firstRowLastColumn="0" w:lastRowFirstColumn="0" w:lastRowLastColumn="0"/>
          <w:trHeight w:val="1066"/>
        </w:trPr>
        <w:tc>
          <w:tcPr>
            <w:cnfStyle w:val="001000000000" w:firstRow="0" w:lastRow="0" w:firstColumn="1" w:lastColumn="0" w:oddVBand="0" w:evenVBand="0" w:oddHBand="0" w:evenHBand="0" w:firstRowFirstColumn="0" w:firstRowLastColumn="0" w:lastRowFirstColumn="0" w:lastRowLastColumn="0"/>
            <w:tcW w:w="1555" w:type="dxa"/>
          </w:tcPr>
          <w:p w14:paraId="1FA81C3E" w14:textId="77777777"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Xuebijing Injection</w:t>
            </w:r>
          </w:p>
        </w:tc>
        <w:tc>
          <w:tcPr>
            <w:tcW w:w="3937" w:type="dxa"/>
          </w:tcPr>
          <w:p w14:paraId="0F502E33"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Carthamus tinctorius L., Paeonia lactifloraPall., Conioselinum anthriscoides “Chuanxiong”, Salvia miltiorrhiza Bunge, Angelica sinensis (Oliv.) Diels</w:t>
            </w:r>
          </w:p>
        </w:tc>
        <w:tc>
          <w:tcPr>
            <w:tcW w:w="1733" w:type="dxa"/>
          </w:tcPr>
          <w:p w14:paraId="12090C6F"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severe, critical</w:t>
            </w:r>
          </w:p>
        </w:tc>
        <w:tc>
          <w:tcPr>
            <w:tcW w:w="3690" w:type="dxa"/>
          </w:tcPr>
          <w:p w14:paraId="002EB0C1" w14:textId="6D573302" w:rsidR="00145A62" w:rsidRPr="00145A62" w:rsidRDefault="00CC18D3" w:rsidP="00CC18D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Dissolve stasis and detoxifying.” Immune regulation</w:t>
            </w:r>
          </w:p>
        </w:tc>
        <w:tc>
          <w:tcPr>
            <w:tcW w:w="1879" w:type="dxa"/>
          </w:tcPr>
          <w:p w14:paraId="1A3F98F5" w14:textId="42361E85" w:rsidR="00145A62" w:rsidRPr="00145A62" w:rsidRDefault="00074CA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[3]</w:t>
            </w:r>
          </w:p>
        </w:tc>
      </w:tr>
      <w:tr w:rsidR="00145A62" w:rsidRPr="00145A62" w14:paraId="5B09AE8A" w14:textId="77777777" w:rsidTr="00C76833">
        <w:trPr>
          <w:trHeight w:val="509"/>
        </w:trPr>
        <w:tc>
          <w:tcPr>
            <w:cnfStyle w:val="001000000000" w:firstRow="0" w:lastRow="0" w:firstColumn="1" w:lastColumn="0" w:oddVBand="0" w:evenVBand="0" w:oddHBand="0" w:evenHBand="0" w:firstRowFirstColumn="0" w:firstRowLastColumn="0" w:lastRowFirstColumn="0" w:lastRowLastColumn="0"/>
            <w:tcW w:w="1555" w:type="dxa"/>
          </w:tcPr>
          <w:p w14:paraId="4BC98822" w14:textId="1111F2BE"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Qing</w:t>
            </w:r>
            <w:r w:rsidR="00CC18D3" w:rsidRPr="00074CA2">
              <w:rPr>
                <w:rFonts w:ascii="Times New Roman" w:hAnsi="Times New Roman"/>
                <w:b w:val="0"/>
                <w:bCs w:val="0"/>
                <w:lang w:bidi="en-US"/>
              </w:rPr>
              <w:t>f</w:t>
            </w:r>
            <w:r w:rsidRPr="00145A62">
              <w:rPr>
                <w:rFonts w:ascii="Times New Roman" w:hAnsi="Times New Roman"/>
                <w:b w:val="0"/>
                <w:bCs w:val="0"/>
                <w:lang w:bidi="en-US"/>
              </w:rPr>
              <w:t>ei</w:t>
            </w:r>
            <w:r w:rsidR="00CC18D3" w:rsidRPr="00074CA2">
              <w:rPr>
                <w:rFonts w:ascii="Times New Roman" w:hAnsi="Times New Roman"/>
                <w:b w:val="0"/>
                <w:bCs w:val="0"/>
                <w:lang w:bidi="en-US"/>
              </w:rPr>
              <w:t>-</w:t>
            </w:r>
            <w:r w:rsidRPr="00145A62">
              <w:rPr>
                <w:rFonts w:ascii="Times New Roman" w:hAnsi="Times New Roman"/>
                <w:b w:val="0"/>
                <w:bCs w:val="0"/>
                <w:lang w:bidi="en-US"/>
              </w:rPr>
              <w:t>Pai Du</w:t>
            </w:r>
            <w:r w:rsidR="00CC18D3" w:rsidRPr="00074CA2">
              <w:rPr>
                <w:rFonts w:ascii="Times New Roman" w:hAnsi="Times New Roman"/>
                <w:b w:val="0"/>
                <w:bCs w:val="0"/>
                <w:lang w:bidi="en-US"/>
              </w:rPr>
              <w:t xml:space="preserve"> </w:t>
            </w:r>
            <w:r w:rsidRPr="00145A62">
              <w:rPr>
                <w:rFonts w:ascii="Times New Roman" w:hAnsi="Times New Roman"/>
                <w:b w:val="0"/>
                <w:bCs w:val="0"/>
                <w:lang w:bidi="en-US"/>
              </w:rPr>
              <w:t>decoction</w:t>
            </w:r>
          </w:p>
        </w:tc>
        <w:tc>
          <w:tcPr>
            <w:tcW w:w="3937" w:type="dxa"/>
          </w:tcPr>
          <w:p w14:paraId="0D785A1A"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Ephedra sinica Stapf, Glycyrrhiza glabra L., Prunus amygdalus Batsch, Gypsum Fibrosum, Cinnamomum cassia (L.) J. Presl, Alisma plantago-aquaticasubsp. Orientale (Sam.) Sam., Polyporus umbellatus (Pers)Fr., Atractylodes macrocephala Koidz., Thespesia populnea (L.) Sol.exCorrea, ˆBupleurum falcatumL., Scutellaria baicalensis Georgi, Zingiber officinale Roscoe, AstertataricusL.f., Tussilago farfaraL., Iris domestica (L.) Goldblatt and Mabb., Asarum sieboldiiMiq., Dioscorea alataL., Citrus × aurantiumL., Pogostemon cablin (Blanco) Benth</w:t>
            </w:r>
          </w:p>
        </w:tc>
        <w:tc>
          <w:tcPr>
            <w:tcW w:w="1733" w:type="dxa"/>
          </w:tcPr>
          <w:p w14:paraId="5D2543A7" w14:textId="7093E702"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mild,</w:t>
            </w:r>
            <w:r w:rsidRPr="00074CA2">
              <w:rPr>
                <w:rFonts w:ascii="Times New Roman" w:hAnsi="Times New Roman"/>
                <w:lang w:bidi="en-US"/>
              </w:rPr>
              <w:t xml:space="preserve"> </w:t>
            </w:r>
            <w:r w:rsidRPr="00145A62">
              <w:rPr>
                <w:rFonts w:ascii="Times New Roman" w:hAnsi="Times New Roman"/>
                <w:lang w:bidi="en-US"/>
              </w:rPr>
              <w:t>moderate, severe, critical</w:t>
            </w:r>
          </w:p>
        </w:tc>
        <w:tc>
          <w:tcPr>
            <w:tcW w:w="3690" w:type="dxa"/>
          </w:tcPr>
          <w:p w14:paraId="79A13DF3" w14:textId="173E55F4" w:rsidR="00145A62" w:rsidRPr="00145A62" w:rsidRDefault="00CC18D3" w:rsidP="00CC18D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Clear the lung and calm panting” according to TCM theory. Reportedly has anti-inflammatory and lung injury reduction effects</w:t>
            </w:r>
          </w:p>
        </w:tc>
        <w:tc>
          <w:tcPr>
            <w:tcW w:w="1879" w:type="dxa"/>
          </w:tcPr>
          <w:p w14:paraId="39D27CC7" w14:textId="40A09085" w:rsidR="00145A62" w:rsidRPr="00145A62" w:rsidRDefault="00074CA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[4]</w:t>
            </w:r>
          </w:p>
        </w:tc>
      </w:tr>
      <w:tr w:rsidR="00145A62" w:rsidRPr="00145A62" w14:paraId="7F379809" w14:textId="77777777" w:rsidTr="00C7683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555" w:type="dxa"/>
          </w:tcPr>
          <w:p w14:paraId="1D79D294" w14:textId="5D0FCEF7"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Hua</w:t>
            </w:r>
            <w:r w:rsidR="00CC18D3" w:rsidRPr="00074CA2">
              <w:rPr>
                <w:rFonts w:ascii="Times New Roman" w:hAnsi="Times New Roman"/>
                <w:b w:val="0"/>
                <w:bCs w:val="0"/>
                <w:lang w:bidi="en-US"/>
              </w:rPr>
              <w:t>s</w:t>
            </w:r>
            <w:r w:rsidRPr="00145A62">
              <w:rPr>
                <w:rFonts w:ascii="Times New Roman" w:hAnsi="Times New Roman"/>
                <w:b w:val="0"/>
                <w:bCs w:val="0"/>
                <w:lang w:bidi="en-US"/>
              </w:rPr>
              <w:t>hi</w:t>
            </w:r>
            <w:r w:rsidR="00CC18D3" w:rsidRPr="00074CA2">
              <w:rPr>
                <w:rFonts w:ascii="Times New Roman" w:hAnsi="Times New Roman"/>
                <w:b w:val="0"/>
                <w:bCs w:val="0"/>
                <w:lang w:bidi="en-US"/>
              </w:rPr>
              <w:t>-B</w:t>
            </w:r>
            <w:r w:rsidRPr="00145A62">
              <w:rPr>
                <w:rFonts w:ascii="Times New Roman" w:hAnsi="Times New Roman"/>
                <w:b w:val="0"/>
                <w:bCs w:val="0"/>
                <w:lang w:bidi="en-US"/>
              </w:rPr>
              <w:t>ai Du Formula</w:t>
            </w:r>
          </w:p>
        </w:tc>
        <w:tc>
          <w:tcPr>
            <w:tcW w:w="3937" w:type="dxa"/>
          </w:tcPr>
          <w:p w14:paraId="65904790"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 xml:space="preserve">Ephedra sinica Stapf, Pogostemon cablin (Blanco) Benth., Gypsum Fibrosum, Prunus </w:t>
            </w:r>
          </w:p>
          <w:p w14:paraId="6B164A4F"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amygdalus Batsch, Pinellia ternata (Thunb.)</w:t>
            </w:r>
          </w:p>
          <w:p w14:paraId="512DA139"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Makino, Magnolia ofﬁcinalis Rehder and</w:t>
            </w:r>
          </w:p>
          <w:p w14:paraId="5E8EF088"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E.H.Wilson, Atractylodes lancea (Thunb.)</w:t>
            </w:r>
          </w:p>
          <w:p w14:paraId="2CAE6FAB"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DC., Lanxangia tsao-ko (Crevost and</w:t>
            </w:r>
          </w:p>
          <w:p w14:paraId="3AFEB9EE"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Lemarié) M.F.Newman and Skornick.,</w:t>
            </w:r>
          </w:p>
          <w:p w14:paraId="592FABE3"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Thespesia populnea (L.) Sol. ex Correˆ a,</w:t>
            </w:r>
          </w:p>
          <w:p w14:paraId="14E207CC"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Astragalus mongholicus Bunge, Paeonia</w:t>
            </w:r>
          </w:p>
          <w:p w14:paraId="3E51D8E7"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lactiﬂora Pall., Descurainia sophia (L.) Webb</w:t>
            </w:r>
          </w:p>
          <w:p w14:paraId="64FAEDCF"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145A62">
              <w:rPr>
                <w:rFonts w:ascii="Times New Roman" w:hAnsi="Times New Roman"/>
              </w:rPr>
              <w:t>ex Prantl, Rheum ofﬁcinale Baill., Glycyrrhiza glabra L</w:t>
            </w:r>
          </w:p>
        </w:tc>
        <w:tc>
          <w:tcPr>
            <w:tcW w:w="1733" w:type="dxa"/>
          </w:tcPr>
          <w:p w14:paraId="0981FA84" w14:textId="77777777" w:rsidR="00145A62" w:rsidRPr="00145A62" w:rsidRDefault="00145A6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mild, moderate, severe</w:t>
            </w:r>
          </w:p>
        </w:tc>
        <w:tc>
          <w:tcPr>
            <w:tcW w:w="3690" w:type="dxa"/>
          </w:tcPr>
          <w:p w14:paraId="5A744509" w14:textId="68965AF0" w:rsidR="00145A62" w:rsidRPr="00145A62" w:rsidRDefault="00CC18D3" w:rsidP="00CC18D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Clear heat and detoxifying, removing</w:t>
            </w:r>
          </w:p>
          <w:p w14:paraId="3989551E" w14:textId="7FB8D06D" w:rsidR="00145A62" w:rsidRPr="00145A62" w:rsidRDefault="00145A62" w:rsidP="00CC18D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dampness” according to TCM theory.</w:t>
            </w:r>
            <w:r w:rsidR="00CC18D3" w:rsidRPr="00074CA2">
              <w:rPr>
                <w:rFonts w:ascii="Times New Roman" w:hAnsi="Times New Roman"/>
                <w:lang w:bidi="en-US"/>
              </w:rPr>
              <w:t xml:space="preserve"> </w:t>
            </w:r>
            <w:r w:rsidRPr="00145A62">
              <w:rPr>
                <w:rFonts w:ascii="Times New Roman" w:hAnsi="Times New Roman"/>
                <w:lang w:bidi="en-US"/>
              </w:rPr>
              <w:t>Reportedly has cough symptom relief effect</w:t>
            </w:r>
            <w:r w:rsidR="00CC18D3" w:rsidRPr="00074CA2">
              <w:rPr>
                <w:rFonts w:ascii="Times New Roman" w:hAnsi="Times New Roman"/>
                <w:lang w:bidi="en-US"/>
              </w:rPr>
              <w:t>.</w:t>
            </w:r>
          </w:p>
        </w:tc>
        <w:tc>
          <w:tcPr>
            <w:tcW w:w="1879" w:type="dxa"/>
          </w:tcPr>
          <w:p w14:paraId="64933A7C" w14:textId="5252721E" w:rsidR="00145A62" w:rsidRPr="00145A62" w:rsidRDefault="00074CA2" w:rsidP="00145A62">
            <w:pPr>
              <w:cnfStyle w:val="000000100000" w:firstRow="0" w:lastRow="0" w:firstColumn="0" w:lastColumn="0" w:oddVBand="0" w:evenVBand="0" w:oddHBand="1"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[5]</w:t>
            </w:r>
          </w:p>
        </w:tc>
      </w:tr>
      <w:tr w:rsidR="00145A62" w:rsidRPr="00145A62" w14:paraId="2702511E" w14:textId="77777777" w:rsidTr="00C76833">
        <w:tc>
          <w:tcPr>
            <w:cnfStyle w:val="001000000000" w:firstRow="0" w:lastRow="0" w:firstColumn="1" w:lastColumn="0" w:oddVBand="0" w:evenVBand="0" w:oddHBand="0" w:evenHBand="0" w:firstRowFirstColumn="0" w:firstRowLastColumn="0" w:lastRowFirstColumn="0" w:lastRowLastColumn="0"/>
            <w:tcW w:w="1555" w:type="dxa"/>
          </w:tcPr>
          <w:p w14:paraId="12D08E2E" w14:textId="025C9A79" w:rsidR="00145A62" w:rsidRPr="00145A62" w:rsidRDefault="00145A62" w:rsidP="00145A62">
            <w:pPr>
              <w:rPr>
                <w:rFonts w:ascii="Times New Roman" w:hAnsi="Times New Roman"/>
                <w:b w:val="0"/>
                <w:bCs w:val="0"/>
                <w:lang w:bidi="en-US"/>
              </w:rPr>
            </w:pPr>
            <w:r w:rsidRPr="00145A62">
              <w:rPr>
                <w:rFonts w:ascii="Times New Roman" w:hAnsi="Times New Roman"/>
                <w:b w:val="0"/>
                <w:bCs w:val="0"/>
                <w:lang w:bidi="en-US"/>
              </w:rPr>
              <w:t>Xuan</w:t>
            </w:r>
            <w:r w:rsidR="0059263C" w:rsidRPr="00074CA2">
              <w:rPr>
                <w:rFonts w:ascii="Times New Roman" w:hAnsi="Times New Roman"/>
                <w:b w:val="0"/>
                <w:bCs w:val="0"/>
                <w:lang w:bidi="en-US"/>
              </w:rPr>
              <w:t>f</w:t>
            </w:r>
            <w:r w:rsidRPr="00145A62">
              <w:rPr>
                <w:rFonts w:ascii="Times New Roman" w:hAnsi="Times New Roman"/>
                <w:b w:val="0"/>
                <w:bCs w:val="0"/>
                <w:lang w:bidi="en-US"/>
              </w:rPr>
              <w:t>ei</w:t>
            </w:r>
            <w:r w:rsidR="0059263C" w:rsidRPr="00074CA2">
              <w:rPr>
                <w:rFonts w:ascii="Times New Roman" w:hAnsi="Times New Roman"/>
                <w:b w:val="0"/>
                <w:bCs w:val="0"/>
                <w:lang w:bidi="en-US"/>
              </w:rPr>
              <w:t>-</w:t>
            </w:r>
            <w:r w:rsidRPr="00145A62">
              <w:rPr>
                <w:rFonts w:ascii="Times New Roman" w:hAnsi="Times New Roman"/>
                <w:b w:val="0"/>
                <w:bCs w:val="0"/>
                <w:lang w:bidi="en-US"/>
              </w:rPr>
              <w:t>Bai Du Formula</w:t>
            </w:r>
          </w:p>
        </w:tc>
        <w:tc>
          <w:tcPr>
            <w:tcW w:w="3937" w:type="dxa"/>
          </w:tcPr>
          <w:p w14:paraId="65EB2664"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Ephedra sinica Stapf, Prunus amygdalus</w:t>
            </w:r>
          </w:p>
          <w:p w14:paraId="092CC690"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Batsch, Coix lacryma-jobi L., Atractylodes</w:t>
            </w:r>
          </w:p>
          <w:p w14:paraId="15CA3BEF"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macrocephala Koidz., Pogostemon cablin</w:t>
            </w:r>
          </w:p>
          <w:p w14:paraId="0A6A0D74"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(Blanco) Benth., artemisia annua L., Gypsum</w:t>
            </w:r>
          </w:p>
          <w:p w14:paraId="2192D583"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Fibrosum, Reynoutria japonica Houtt.,</w:t>
            </w:r>
          </w:p>
          <w:p w14:paraId="1915C92D"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Verbena ofﬁcinalis L., Phragmites australis</w:t>
            </w:r>
          </w:p>
          <w:p w14:paraId="73D37ADE"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subsp. australis, Citrus maxima (Burm.)</w:t>
            </w:r>
          </w:p>
          <w:p w14:paraId="131D8758"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Merr., Descurainia sophia (L.) Webb ex</w:t>
            </w:r>
          </w:p>
          <w:p w14:paraId="6EDDF5A3"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Prantl, Glycyrrhiza uralensis Fisch. ex DC.</w:t>
            </w:r>
          </w:p>
        </w:tc>
        <w:tc>
          <w:tcPr>
            <w:tcW w:w="1733" w:type="dxa"/>
          </w:tcPr>
          <w:p w14:paraId="542550AB"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mild, moderate</w:t>
            </w:r>
          </w:p>
        </w:tc>
        <w:tc>
          <w:tcPr>
            <w:tcW w:w="3690" w:type="dxa"/>
          </w:tcPr>
          <w:p w14:paraId="7F65C708" w14:textId="60087E9D" w:rsidR="00145A62" w:rsidRPr="00145A62" w:rsidRDefault="00CC18D3" w:rsidP="00CC18D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w:t>
            </w:r>
            <w:r w:rsidR="00145A62" w:rsidRPr="00145A62">
              <w:rPr>
                <w:rFonts w:ascii="Times New Roman" w:hAnsi="Times New Roman"/>
                <w:lang w:bidi="en-US"/>
              </w:rPr>
              <w:t>Detoxify and remove blood stasis, diffuse the</w:t>
            </w:r>
            <w:r w:rsidRPr="00074CA2">
              <w:rPr>
                <w:rFonts w:ascii="Times New Roman" w:hAnsi="Times New Roman"/>
                <w:lang w:bidi="en-US"/>
              </w:rPr>
              <w:t xml:space="preserve"> </w:t>
            </w:r>
            <w:r w:rsidR="00145A62" w:rsidRPr="00145A62">
              <w:rPr>
                <w:rFonts w:ascii="Times New Roman" w:hAnsi="Times New Roman"/>
                <w:lang w:bidi="en-US"/>
              </w:rPr>
              <w:t>lung, removing dampness, clear heat” according to TCM theory</w:t>
            </w:r>
          </w:p>
        </w:tc>
        <w:tc>
          <w:tcPr>
            <w:tcW w:w="1879" w:type="dxa"/>
          </w:tcPr>
          <w:p w14:paraId="7E916EF8" w14:textId="0758BE3B" w:rsidR="00145A62" w:rsidRPr="00145A62" w:rsidRDefault="00074CA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074CA2">
              <w:rPr>
                <w:rFonts w:ascii="Times New Roman" w:hAnsi="Times New Roman"/>
                <w:lang w:bidi="en-US"/>
              </w:rPr>
              <w:t>[5]</w:t>
            </w:r>
          </w:p>
          <w:p w14:paraId="2C5B240B"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p>
          <w:p w14:paraId="3F828EE4"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p>
          <w:p w14:paraId="0EB092F4" w14:textId="77777777" w:rsidR="00145A62" w:rsidRPr="00145A62" w:rsidRDefault="00145A62" w:rsidP="00145A62">
            <w:pPr>
              <w:cnfStyle w:val="000000000000" w:firstRow="0" w:lastRow="0" w:firstColumn="0" w:lastColumn="0" w:oddVBand="0" w:evenVBand="0" w:oddHBand="0" w:evenHBand="0" w:firstRowFirstColumn="0" w:firstRowLastColumn="0" w:lastRowFirstColumn="0" w:lastRowLastColumn="0"/>
              <w:rPr>
                <w:rFonts w:ascii="Times New Roman" w:hAnsi="Times New Roman"/>
                <w:lang w:bidi="en-US"/>
              </w:rPr>
            </w:pPr>
            <w:r w:rsidRPr="00145A62">
              <w:rPr>
                <w:rFonts w:ascii="Times New Roman" w:hAnsi="Times New Roman"/>
                <w:lang w:bidi="en-US"/>
              </w:rPr>
              <w:tab/>
            </w:r>
          </w:p>
        </w:tc>
      </w:tr>
    </w:tbl>
    <w:p w14:paraId="1EEEA166" w14:textId="77777777" w:rsidR="00145A62" w:rsidRPr="00145A62" w:rsidRDefault="00145A62" w:rsidP="00145A62">
      <w:pPr>
        <w:rPr>
          <w:rFonts w:ascii="Times New Roman" w:hAnsi="Times New Roman"/>
        </w:rPr>
      </w:pPr>
    </w:p>
    <w:p w14:paraId="43B2940E" w14:textId="77777777" w:rsidR="00145A62" w:rsidRPr="00145A62" w:rsidRDefault="00145A62" w:rsidP="00145A62">
      <w:pPr>
        <w:rPr>
          <w:rFonts w:ascii="Times New Roman" w:hAnsi="Times New Roman"/>
        </w:rPr>
      </w:pPr>
    </w:p>
    <w:p w14:paraId="34E6BA4C" w14:textId="433DF7D8" w:rsidR="00145A62" w:rsidRPr="00074CA2" w:rsidRDefault="00940696" w:rsidP="00145A62">
      <w:pPr>
        <w:rPr>
          <w:rFonts w:ascii="Times New Roman" w:hAnsi="Times New Roman"/>
          <w:b/>
          <w:bCs/>
          <w:sz w:val="24"/>
          <w:szCs w:val="24"/>
        </w:rPr>
      </w:pPr>
      <w:r w:rsidRPr="00074CA2">
        <w:rPr>
          <w:rFonts w:ascii="Times New Roman" w:hAnsi="Times New Roman"/>
          <w:b/>
          <w:bCs/>
          <w:sz w:val="24"/>
          <w:szCs w:val="24"/>
        </w:rPr>
        <w:t>References</w:t>
      </w:r>
    </w:p>
    <w:p w14:paraId="5794A2D6" w14:textId="767DB4D3" w:rsidR="00940696" w:rsidRPr="00074CA2" w:rsidRDefault="00940696" w:rsidP="00145A62">
      <w:pPr>
        <w:rPr>
          <w:rFonts w:ascii="Times New Roman" w:hAnsi="Times New Roman"/>
          <w:color w:val="222222"/>
          <w:sz w:val="24"/>
          <w:szCs w:val="24"/>
          <w:shd w:val="clear" w:color="auto" w:fill="FFFFFF"/>
        </w:rPr>
      </w:pPr>
      <w:r w:rsidRPr="00074CA2">
        <w:rPr>
          <w:rFonts w:ascii="Times New Roman" w:hAnsi="Times New Roman"/>
          <w:sz w:val="24"/>
          <w:szCs w:val="24"/>
        </w:rPr>
        <w:t>[1]</w:t>
      </w:r>
      <w:r w:rsidR="00074CA2" w:rsidRPr="00074CA2">
        <w:rPr>
          <w:rFonts w:ascii="Times New Roman" w:hAnsi="Times New Roman"/>
          <w:sz w:val="24"/>
          <w:szCs w:val="24"/>
        </w:rPr>
        <w:t xml:space="preserve">. </w:t>
      </w:r>
      <w:r w:rsidRPr="00074CA2">
        <w:rPr>
          <w:rFonts w:ascii="Times New Roman" w:hAnsi="Times New Roman"/>
          <w:color w:val="222222"/>
          <w:sz w:val="24"/>
          <w:szCs w:val="24"/>
          <w:shd w:val="clear" w:color="auto" w:fill="FFFFFF"/>
        </w:rPr>
        <w:t>Jimilihan, S., Maimaitiming, N., Ainiwaer, W., Maierdan, Y., Muhadaisi, N., Nulibiya, M. and Zhou, W., 2020. Study on the active components in the adjuvant treatment of novel coronavirus pneumonia (COVID-19) with Jinhua Qinggan granules based on network pharmacology and molecular docking. </w:t>
      </w:r>
      <w:r w:rsidRPr="00074CA2">
        <w:rPr>
          <w:rFonts w:ascii="Times New Roman" w:hAnsi="Times New Roman"/>
          <w:i/>
          <w:iCs/>
          <w:color w:val="222222"/>
          <w:sz w:val="24"/>
          <w:szCs w:val="24"/>
          <w:shd w:val="clear" w:color="auto" w:fill="FFFFFF"/>
        </w:rPr>
        <w:t>Journal of Chinese Medicinal Materials</w:t>
      </w:r>
      <w:r w:rsidRPr="00074CA2">
        <w:rPr>
          <w:rFonts w:ascii="Times New Roman" w:hAnsi="Times New Roman"/>
          <w:color w:val="222222"/>
          <w:sz w:val="24"/>
          <w:szCs w:val="24"/>
          <w:shd w:val="clear" w:color="auto" w:fill="FFFFFF"/>
        </w:rPr>
        <w:t>, </w:t>
      </w:r>
      <w:r w:rsidRPr="00074CA2">
        <w:rPr>
          <w:rFonts w:ascii="Times New Roman" w:hAnsi="Times New Roman"/>
          <w:i/>
          <w:iCs/>
          <w:color w:val="222222"/>
          <w:sz w:val="24"/>
          <w:szCs w:val="24"/>
          <w:shd w:val="clear" w:color="auto" w:fill="FFFFFF"/>
        </w:rPr>
        <w:t>43</w:t>
      </w:r>
      <w:r w:rsidRPr="00074CA2">
        <w:rPr>
          <w:rFonts w:ascii="Times New Roman" w:hAnsi="Times New Roman"/>
          <w:color w:val="222222"/>
          <w:sz w:val="24"/>
          <w:szCs w:val="24"/>
          <w:shd w:val="clear" w:color="auto" w:fill="FFFFFF"/>
        </w:rPr>
        <w:t>(5), pp.1275-1283.</w:t>
      </w:r>
    </w:p>
    <w:p w14:paraId="49316409" w14:textId="4F8EEF5F" w:rsidR="00940696" w:rsidRPr="00074CA2" w:rsidRDefault="00940696" w:rsidP="00145A62">
      <w:pPr>
        <w:rPr>
          <w:rFonts w:ascii="Times New Roman" w:hAnsi="Times New Roman"/>
          <w:color w:val="222222"/>
          <w:sz w:val="24"/>
          <w:szCs w:val="24"/>
          <w:shd w:val="clear" w:color="auto" w:fill="FFFFFF"/>
        </w:rPr>
      </w:pPr>
      <w:r w:rsidRPr="00074CA2">
        <w:rPr>
          <w:rFonts w:ascii="Times New Roman" w:hAnsi="Times New Roman"/>
          <w:color w:val="222222"/>
          <w:sz w:val="24"/>
          <w:szCs w:val="24"/>
          <w:shd w:val="clear" w:color="auto" w:fill="FFFFFF"/>
        </w:rPr>
        <w:t>[2]</w:t>
      </w:r>
      <w:r w:rsidR="00074CA2" w:rsidRPr="00074CA2">
        <w:rPr>
          <w:rFonts w:ascii="Times New Roman" w:hAnsi="Times New Roman"/>
          <w:color w:val="222222"/>
          <w:sz w:val="24"/>
          <w:szCs w:val="24"/>
          <w:shd w:val="clear" w:color="auto" w:fill="FFFFFF"/>
        </w:rPr>
        <w:t>.</w:t>
      </w:r>
      <w:r w:rsidRPr="00074CA2">
        <w:rPr>
          <w:rFonts w:ascii="Times New Roman" w:hAnsi="Times New Roman"/>
          <w:color w:val="222222"/>
          <w:sz w:val="24"/>
          <w:szCs w:val="24"/>
          <w:shd w:val="clear" w:color="auto" w:fill="FFFFFF"/>
        </w:rPr>
        <w:t xml:space="preserve"> Ye, C., Gao, M., Lin, W., Yu, K., Li, P. and Chen, G., 2020. Theoretical study of the anti-NCP molecular mechanism of traditional Chinese medicine Lianhua-Qingwen Formula (LQF).</w:t>
      </w:r>
    </w:p>
    <w:p w14:paraId="74D7400C" w14:textId="4B1DCE1F" w:rsidR="00074CA2" w:rsidRPr="00074CA2" w:rsidRDefault="00074CA2" w:rsidP="00145A62">
      <w:pPr>
        <w:rPr>
          <w:rFonts w:ascii="Times New Roman" w:hAnsi="Times New Roman"/>
          <w:color w:val="222222"/>
          <w:sz w:val="24"/>
          <w:szCs w:val="24"/>
          <w:shd w:val="clear" w:color="auto" w:fill="FFFFFF"/>
        </w:rPr>
      </w:pPr>
      <w:r w:rsidRPr="00074CA2">
        <w:rPr>
          <w:rFonts w:ascii="Times New Roman" w:hAnsi="Times New Roman"/>
          <w:color w:val="222222"/>
          <w:sz w:val="24"/>
          <w:szCs w:val="24"/>
          <w:shd w:val="clear" w:color="auto" w:fill="FFFFFF"/>
        </w:rPr>
        <w:t>[3]. Chen, X., Feng, Y., Shen, X., Pan, G., Fan, G., Gao, X., Han, J. and Zhu, Y., 2018. Anti-sepsis protection of Xuebijing injection is mediated by differential regulation of pro-and anti-inflammatory Th17 and T regulatory cells in a murine model of polymicrobial sepsis. </w:t>
      </w:r>
      <w:r w:rsidRPr="00074CA2">
        <w:rPr>
          <w:rFonts w:ascii="Times New Roman" w:hAnsi="Times New Roman"/>
          <w:i/>
          <w:iCs/>
          <w:color w:val="222222"/>
          <w:sz w:val="24"/>
          <w:szCs w:val="24"/>
          <w:shd w:val="clear" w:color="auto" w:fill="FFFFFF"/>
        </w:rPr>
        <w:t>Journal of ethnopharmacology</w:t>
      </w:r>
      <w:r w:rsidRPr="00074CA2">
        <w:rPr>
          <w:rFonts w:ascii="Times New Roman" w:hAnsi="Times New Roman"/>
          <w:color w:val="222222"/>
          <w:sz w:val="24"/>
          <w:szCs w:val="24"/>
          <w:shd w:val="clear" w:color="auto" w:fill="FFFFFF"/>
        </w:rPr>
        <w:t>, </w:t>
      </w:r>
      <w:r w:rsidRPr="00074CA2">
        <w:rPr>
          <w:rFonts w:ascii="Times New Roman" w:hAnsi="Times New Roman"/>
          <w:i/>
          <w:iCs/>
          <w:color w:val="222222"/>
          <w:sz w:val="24"/>
          <w:szCs w:val="24"/>
          <w:shd w:val="clear" w:color="auto" w:fill="FFFFFF"/>
        </w:rPr>
        <w:t>211</w:t>
      </w:r>
      <w:r w:rsidRPr="00074CA2">
        <w:rPr>
          <w:rFonts w:ascii="Times New Roman" w:hAnsi="Times New Roman"/>
          <w:color w:val="222222"/>
          <w:sz w:val="24"/>
          <w:szCs w:val="24"/>
          <w:shd w:val="clear" w:color="auto" w:fill="FFFFFF"/>
        </w:rPr>
        <w:t>, pp.358-365.</w:t>
      </w:r>
    </w:p>
    <w:p w14:paraId="5179570C" w14:textId="728683A5" w:rsidR="00074CA2" w:rsidRPr="00074CA2" w:rsidRDefault="00074CA2" w:rsidP="00145A62">
      <w:pPr>
        <w:rPr>
          <w:rFonts w:ascii="Times New Roman" w:hAnsi="Times New Roman"/>
          <w:color w:val="222222"/>
          <w:sz w:val="24"/>
          <w:szCs w:val="24"/>
          <w:shd w:val="clear" w:color="auto" w:fill="FFFFFF"/>
        </w:rPr>
      </w:pPr>
      <w:r w:rsidRPr="00074CA2">
        <w:rPr>
          <w:rFonts w:ascii="Times New Roman" w:hAnsi="Times New Roman"/>
          <w:sz w:val="24"/>
          <w:szCs w:val="24"/>
        </w:rPr>
        <w:t xml:space="preserve">[4]. </w:t>
      </w:r>
      <w:r w:rsidRPr="00074CA2">
        <w:rPr>
          <w:rFonts w:ascii="Times New Roman" w:hAnsi="Times New Roman"/>
          <w:color w:val="222222"/>
          <w:sz w:val="24"/>
          <w:szCs w:val="24"/>
          <w:shd w:val="clear" w:color="auto" w:fill="FFFFFF"/>
        </w:rPr>
        <w:t>Xu, D., Xu, Y. and Wang, Z., Mechanism of Qingfeipaidu decoction on COVID-19 based on network pharmacology. Pharmacol Clin Chin Materia Medica. 2020.</w:t>
      </w:r>
    </w:p>
    <w:p w14:paraId="2D754335" w14:textId="13DA92C9" w:rsidR="00074CA2" w:rsidRPr="00145A62" w:rsidRDefault="00074CA2" w:rsidP="00145A62">
      <w:pPr>
        <w:rPr>
          <w:rFonts w:ascii="Times New Roman" w:hAnsi="Times New Roman"/>
          <w:sz w:val="24"/>
          <w:szCs w:val="24"/>
        </w:rPr>
      </w:pPr>
      <w:r w:rsidRPr="00074CA2">
        <w:rPr>
          <w:rFonts w:ascii="Times New Roman" w:hAnsi="Times New Roman"/>
          <w:color w:val="222222"/>
          <w:sz w:val="24"/>
          <w:szCs w:val="24"/>
          <w:shd w:val="clear" w:color="auto" w:fill="FFFFFF"/>
        </w:rPr>
        <w:lastRenderedPageBreak/>
        <w:t>[5]. Huang, K., Zhang, P., Zhang, Z., Youn, J.Y., Zhang, H. and Cai, H.L., 2021. Traditional Chinese Medicine (TCM) in the treatment of viral infections: Efficacies and mechanisms. </w:t>
      </w:r>
      <w:r w:rsidRPr="00074CA2">
        <w:rPr>
          <w:rFonts w:ascii="Times New Roman" w:hAnsi="Times New Roman"/>
          <w:i/>
          <w:iCs/>
          <w:color w:val="222222"/>
          <w:sz w:val="24"/>
          <w:szCs w:val="24"/>
          <w:shd w:val="clear" w:color="auto" w:fill="FFFFFF"/>
        </w:rPr>
        <w:t>Pharmacology &amp; therapeutics</w:t>
      </w:r>
      <w:r w:rsidRPr="00074CA2">
        <w:rPr>
          <w:rFonts w:ascii="Times New Roman" w:hAnsi="Times New Roman"/>
          <w:color w:val="222222"/>
          <w:sz w:val="24"/>
          <w:szCs w:val="24"/>
          <w:shd w:val="clear" w:color="auto" w:fill="FFFFFF"/>
        </w:rPr>
        <w:t>, p.107843.</w:t>
      </w:r>
    </w:p>
    <w:p w14:paraId="39F82B65" w14:textId="77777777" w:rsidR="00145A62" w:rsidRPr="00074CA2" w:rsidRDefault="00145A62" w:rsidP="00145A62">
      <w:pPr>
        <w:rPr>
          <w:rFonts w:ascii="Times New Roman" w:hAnsi="Times New Roman"/>
        </w:rPr>
      </w:pPr>
    </w:p>
    <w:sectPr w:rsidR="00145A62" w:rsidRPr="00074CA2" w:rsidSect="007A76E4">
      <w:pgSz w:w="15840" w:h="24480" w:code="3"/>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522C0" w14:textId="77777777" w:rsidR="00E33CBB" w:rsidRDefault="00E33CBB" w:rsidP="00C6537C">
      <w:pPr>
        <w:spacing w:line="240" w:lineRule="auto"/>
      </w:pPr>
      <w:r>
        <w:separator/>
      </w:r>
    </w:p>
  </w:endnote>
  <w:endnote w:type="continuationSeparator" w:id="0">
    <w:p w14:paraId="7D398C5E" w14:textId="77777777" w:rsidR="00E33CBB" w:rsidRDefault="00E33CBB" w:rsidP="00C65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FC2A1" w14:textId="77777777" w:rsidR="00E33CBB" w:rsidRDefault="00E33CBB" w:rsidP="00C6537C">
      <w:pPr>
        <w:spacing w:line="240" w:lineRule="auto"/>
      </w:pPr>
      <w:r>
        <w:separator/>
      </w:r>
    </w:p>
  </w:footnote>
  <w:footnote w:type="continuationSeparator" w:id="0">
    <w:p w14:paraId="5BB20874" w14:textId="77777777" w:rsidR="00E33CBB" w:rsidRDefault="00E33CBB" w:rsidP="00C6537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xMLG0NDQxMjE3MzJT0lEKTi0uzszPAykwrgUANmM1ICwAAAA="/>
  </w:docVars>
  <w:rsids>
    <w:rsidRoot w:val="00303B0D"/>
    <w:rsid w:val="00074CA2"/>
    <w:rsid w:val="00145A62"/>
    <w:rsid w:val="00303B0D"/>
    <w:rsid w:val="003A5C11"/>
    <w:rsid w:val="003C4D44"/>
    <w:rsid w:val="00461FEC"/>
    <w:rsid w:val="0059263C"/>
    <w:rsid w:val="00711B0D"/>
    <w:rsid w:val="007639C4"/>
    <w:rsid w:val="007A76E4"/>
    <w:rsid w:val="009210D5"/>
    <w:rsid w:val="00940696"/>
    <w:rsid w:val="00C6537C"/>
    <w:rsid w:val="00C76833"/>
    <w:rsid w:val="00CC18D3"/>
    <w:rsid w:val="00D97990"/>
    <w:rsid w:val="00DA221C"/>
    <w:rsid w:val="00E33CBB"/>
    <w:rsid w:val="00ED4A25"/>
    <w:rsid w:val="00F168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01C64"/>
  <w15:chartTrackingRefBased/>
  <w15:docId w15:val="{BE0C905A-4A62-4F9E-A7ED-4473C4395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3B0D"/>
    <w:pPr>
      <w:spacing w:line="260" w:lineRule="atLeast"/>
      <w:jc w:val="both"/>
    </w:pPr>
    <w:rPr>
      <w:rFonts w:ascii="Palatino Linotype" w:eastAsia="宋体" w:hAnsi="Palatino Linotype" w:cs="Times New Roman"/>
      <w:color w:val="000000"/>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DPI42tablebody">
    <w:name w:val="MDPI_4.2_table_body"/>
    <w:qFormat/>
    <w:rsid w:val="00303B0D"/>
    <w:pPr>
      <w:adjustRightInd w:val="0"/>
      <w:snapToGrid w:val="0"/>
      <w:spacing w:line="260" w:lineRule="atLeast"/>
      <w:jc w:val="center"/>
    </w:pPr>
    <w:rPr>
      <w:rFonts w:ascii="Palatino Linotype" w:eastAsia="Times New Roman" w:hAnsi="Palatino Linotype" w:cs="Times New Roman"/>
      <w:snapToGrid w:val="0"/>
      <w:color w:val="000000"/>
      <w:kern w:val="0"/>
      <w:sz w:val="20"/>
      <w:szCs w:val="20"/>
      <w:lang w:eastAsia="de-DE" w:bidi="en-US"/>
    </w:rPr>
  </w:style>
  <w:style w:type="paragraph" w:styleId="a3">
    <w:name w:val="header"/>
    <w:basedOn w:val="a"/>
    <w:link w:val="a4"/>
    <w:uiPriority w:val="99"/>
    <w:unhideWhenUsed/>
    <w:rsid w:val="00C6537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C6537C"/>
    <w:rPr>
      <w:rFonts w:ascii="Palatino Linotype" w:eastAsia="宋体" w:hAnsi="Palatino Linotype" w:cs="Times New Roman"/>
      <w:color w:val="000000"/>
      <w:kern w:val="0"/>
      <w:sz w:val="18"/>
      <w:szCs w:val="18"/>
    </w:rPr>
  </w:style>
  <w:style w:type="paragraph" w:styleId="a5">
    <w:name w:val="footer"/>
    <w:basedOn w:val="a"/>
    <w:link w:val="a6"/>
    <w:uiPriority w:val="99"/>
    <w:unhideWhenUsed/>
    <w:rsid w:val="00C6537C"/>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C6537C"/>
    <w:rPr>
      <w:rFonts w:ascii="Palatino Linotype" w:eastAsia="宋体" w:hAnsi="Palatino Linotype" w:cs="Times New Roman"/>
      <w:color w:val="000000"/>
      <w:kern w:val="0"/>
      <w:sz w:val="18"/>
      <w:szCs w:val="18"/>
    </w:rPr>
  </w:style>
  <w:style w:type="table" w:styleId="4-1">
    <w:name w:val="Grid Table 4 Accent 1"/>
    <w:basedOn w:val="a1"/>
    <w:uiPriority w:val="49"/>
    <w:rsid w:val="003C4D4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B2010-FF8E-432B-9A5C-BC45250D4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675</Words>
  <Characters>3848</Characters>
  <Application>Microsoft Office Word</Application>
  <DocSecurity>0</DocSecurity>
  <Lines>32</Lines>
  <Paragraphs>9</Paragraphs>
  <ScaleCrop>false</ScaleCrop>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86176</dc:creator>
  <cp:keywords/>
  <dc:description/>
  <cp:lastModifiedBy>Yang Fan</cp:lastModifiedBy>
  <cp:revision>9</cp:revision>
  <dcterms:created xsi:type="dcterms:W3CDTF">2022-01-01T02:56:00Z</dcterms:created>
  <dcterms:modified xsi:type="dcterms:W3CDTF">2022-01-14T20:54:00Z</dcterms:modified>
</cp:coreProperties>
</file>