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D172E5">
      <w:pPr>
        <w:widowControl/>
        <w:jc w:val="left"/>
        <w:rPr>
          <w:rFonts w:ascii="Times New Roman" w:hAnsi="Times New Roman" w:eastAsia="宋体" w:cs="Times New Roman"/>
          <w:sz w:val="36"/>
          <w:szCs w:val="36"/>
        </w:rPr>
      </w:pPr>
    </w:p>
    <w:p w14:paraId="2631A6F1">
      <w:pPr>
        <w:widowControl/>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drawing>
          <wp:inline distT="0" distB="0" distL="0" distR="0">
            <wp:extent cx="4061460" cy="1066800"/>
            <wp:effectExtent l="0" t="0" r="0" b="0"/>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13" cstate="print"/>
                    <a:srcRect/>
                    <a:stretch>
                      <a:fillRect/>
                    </a:stretch>
                  </pic:blipFill>
                  <pic:spPr>
                    <a:xfrm>
                      <a:off x="0" y="0"/>
                      <a:ext cx="4061460" cy="1066800"/>
                    </a:xfrm>
                    <a:prstGeom prst="rect">
                      <a:avLst/>
                    </a:prstGeom>
                    <a:ln>
                      <a:noFill/>
                    </a:ln>
                  </pic:spPr>
                </pic:pic>
              </a:graphicData>
            </a:graphic>
          </wp:inline>
        </w:drawing>
      </w:r>
    </w:p>
    <w:p w14:paraId="59DE26AB">
      <w:pPr>
        <w:widowControl/>
        <w:jc w:val="left"/>
        <w:rPr>
          <w:rFonts w:ascii="Times New Roman" w:hAnsi="Times New Roman" w:eastAsia="宋体" w:cs="Times New Roman"/>
          <w:sz w:val="24"/>
          <w:szCs w:val="24"/>
        </w:rPr>
      </w:pPr>
    </w:p>
    <w:p w14:paraId="3A7E5406">
      <w:pPr>
        <w:widowControl/>
        <w:jc w:val="left"/>
        <w:rPr>
          <w:rFonts w:ascii="Times New Roman" w:hAnsi="Times New Roman" w:eastAsia="宋体" w:cs="Times New Roman"/>
          <w:sz w:val="24"/>
          <w:szCs w:val="24"/>
        </w:rPr>
      </w:pPr>
    </w:p>
    <w:p w14:paraId="1B6A4538">
      <w:pPr>
        <w:widowControl/>
        <w:jc w:val="left"/>
        <w:rPr>
          <w:rFonts w:ascii="Times New Roman" w:hAnsi="Times New Roman" w:eastAsia="宋体" w:cs="Times New Roman"/>
          <w:sz w:val="24"/>
          <w:szCs w:val="24"/>
        </w:rPr>
      </w:pPr>
    </w:p>
    <w:p w14:paraId="56EE436B">
      <w:pPr>
        <w:widowControl/>
        <w:jc w:val="center"/>
        <w:rPr>
          <w:rFonts w:ascii="黑体" w:hAnsi="华文楷体" w:eastAsia="黑体" w:cs="Times New Roman"/>
          <w:kern w:val="0"/>
          <w:sz w:val="90"/>
          <w:szCs w:val="90"/>
        </w:rPr>
      </w:pPr>
      <w:r>
        <w:rPr>
          <w:rFonts w:ascii="黑体" w:hAnsi="华文楷体" w:eastAsia="黑体" w:cs="Times New Roman"/>
          <w:kern w:val="0"/>
          <w:sz w:val="90"/>
          <w:szCs w:val="90"/>
        </w:rPr>
        <w:t>高频电子线路</w:t>
      </w:r>
    </w:p>
    <w:p w14:paraId="0D9D440E">
      <w:pPr>
        <w:widowControl/>
        <w:jc w:val="center"/>
        <w:rPr>
          <w:rFonts w:ascii="黑体" w:hAnsi="华文楷体" w:eastAsia="黑体" w:cs="Times New Roman"/>
          <w:kern w:val="0"/>
          <w:sz w:val="90"/>
          <w:szCs w:val="90"/>
        </w:rPr>
      </w:pPr>
      <w:r>
        <w:rPr>
          <w:rFonts w:hint="eastAsia" w:ascii="黑体" w:hAnsi="华文楷体" w:eastAsia="黑体" w:cs="Times New Roman"/>
          <w:kern w:val="0"/>
          <w:sz w:val="90"/>
          <w:szCs w:val="90"/>
        </w:rPr>
        <w:t>课程设计报告</w:t>
      </w:r>
    </w:p>
    <w:p w14:paraId="65487AF1">
      <w:pPr>
        <w:widowControl/>
        <w:jc w:val="center"/>
        <w:rPr>
          <w:rFonts w:ascii="Times New Roman" w:hAnsi="Times New Roman" w:eastAsia="宋体" w:cs="Times New Roman"/>
          <w:sz w:val="24"/>
          <w:szCs w:val="24"/>
        </w:rPr>
      </w:pPr>
    </w:p>
    <w:p w14:paraId="28A14FAF">
      <w:pPr>
        <w:widowControl/>
        <w:jc w:val="left"/>
        <w:rPr>
          <w:rFonts w:ascii="Times New Roman" w:hAnsi="Times New Roman" w:eastAsia="宋体" w:cs="Times New Roman"/>
          <w:sz w:val="24"/>
          <w:szCs w:val="24"/>
        </w:rPr>
      </w:pPr>
    </w:p>
    <w:p w14:paraId="4F7AC823">
      <w:pPr>
        <w:widowControl/>
        <w:jc w:val="left"/>
        <w:rPr>
          <w:rFonts w:ascii="Times New Roman" w:hAnsi="Times New Roman" w:eastAsia="宋体" w:cs="Times New Roman"/>
          <w:sz w:val="24"/>
          <w:szCs w:val="24"/>
        </w:rPr>
      </w:pPr>
    </w:p>
    <w:p w14:paraId="345CBF35">
      <w:pPr>
        <w:widowControl/>
        <w:jc w:val="left"/>
        <w:rPr>
          <w:rFonts w:ascii="Times New Roman" w:hAnsi="Times New Roman" w:eastAsia="宋体" w:cs="Times New Roman"/>
          <w:sz w:val="24"/>
          <w:szCs w:val="24"/>
        </w:rPr>
      </w:pPr>
    </w:p>
    <w:tbl>
      <w:tblPr>
        <w:tblStyle w:val="15"/>
        <w:tblW w:w="0" w:type="auto"/>
        <w:jc w:val="center"/>
        <w:tblLayout w:type="fixed"/>
        <w:tblCellMar>
          <w:top w:w="0" w:type="dxa"/>
          <w:left w:w="108" w:type="dxa"/>
          <w:bottom w:w="0" w:type="dxa"/>
          <w:right w:w="108" w:type="dxa"/>
        </w:tblCellMar>
      </w:tblPr>
      <w:tblGrid>
        <w:gridCol w:w="2457"/>
        <w:gridCol w:w="4151"/>
      </w:tblGrid>
      <w:tr w14:paraId="74184AB9">
        <w:tblPrEx>
          <w:tblCellMar>
            <w:top w:w="0" w:type="dxa"/>
            <w:left w:w="108" w:type="dxa"/>
            <w:bottom w:w="0" w:type="dxa"/>
            <w:right w:w="108" w:type="dxa"/>
          </w:tblCellMar>
        </w:tblPrEx>
        <w:trPr>
          <w:trHeight w:val="737" w:hRule="atLeast"/>
          <w:jc w:val="center"/>
        </w:trPr>
        <w:tc>
          <w:tcPr>
            <w:tcW w:w="2457" w:type="dxa"/>
            <w:vAlign w:val="center"/>
          </w:tcPr>
          <w:p w14:paraId="65201B95">
            <w:pPr>
              <w:widowControl/>
              <w:adjustRightInd w:val="0"/>
              <w:snapToGrid w:val="0"/>
              <w:spacing w:line="400" w:lineRule="atLeast"/>
              <w:jc w:val="center"/>
              <w:rPr>
                <w:rFonts w:ascii="黑体" w:hAnsi="Times New Roman" w:eastAsia="黑体" w:cs="Times New Roman"/>
                <w:sz w:val="36"/>
                <w:szCs w:val="36"/>
              </w:rPr>
            </w:pPr>
            <w:r>
              <w:rPr>
                <w:rFonts w:hint="eastAsia" w:ascii="黑体" w:hAnsi="Times New Roman" w:eastAsia="黑体" w:cs="Times New Roman"/>
                <w:sz w:val="36"/>
                <w:szCs w:val="36"/>
              </w:rPr>
              <w:t>课题名称：</w:t>
            </w:r>
          </w:p>
        </w:tc>
        <w:tc>
          <w:tcPr>
            <w:tcW w:w="4151" w:type="dxa"/>
            <w:tcBorders>
              <w:bottom w:val="single" w:color="auto" w:sz="4" w:space="0"/>
            </w:tcBorders>
            <w:vAlign w:val="center"/>
          </w:tcPr>
          <w:p w14:paraId="1BCF2056">
            <w:pPr>
              <w:widowControl/>
              <w:adjustRightInd w:val="0"/>
              <w:snapToGrid w:val="0"/>
              <w:spacing w:line="400" w:lineRule="atLeast"/>
              <w:jc w:val="center"/>
              <w:rPr>
                <w:rFonts w:ascii="黑体" w:hAnsi="黑体" w:eastAsia="黑体" w:cs="Times New Roman"/>
                <w:sz w:val="30"/>
                <w:szCs w:val="30"/>
              </w:rPr>
            </w:pPr>
            <w:r>
              <w:rPr>
                <w:rFonts w:hint="eastAsia" w:ascii="黑体" w:hAnsi="黑体" w:eastAsia="黑体" w:cs="Times New Roman"/>
                <w:sz w:val="30"/>
                <w:szCs w:val="30"/>
              </w:rPr>
              <w:t>调频收音机</w:t>
            </w:r>
          </w:p>
        </w:tc>
      </w:tr>
      <w:tr w14:paraId="2FA89334">
        <w:tblPrEx>
          <w:tblCellMar>
            <w:top w:w="0" w:type="dxa"/>
            <w:left w:w="108" w:type="dxa"/>
            <w:bottom w:w="0" w:type="dxa"/>
            <w:right w:w="108" w:type="dxa"/>
          </w:tblCellMar>
        </w:tblPrEx>
        <w:trPr>
          <w:trHeight w:val="737" w:hRule="atLeast"/>
          <w:jc w:val="center"/>
        </w:trPr>
        <w:tc>
          <w:tcPr>
            <w:tcW w:w="2457" w:type="dxa"/>
            <w:vAlign w:val="center"/>
          </w:tcPr>
          <w:p w14:paraId="62F77FFC">
            <w:pPr>
              <w:widowControl/>
              <w:adjustRightInd w:val="0"/>
              <w:snapToGrid w:val="0"/>
              <w:spacing w:line="400" w:lineRule="atLeast"/>
              <w:jc w:val="center"/>
              <w:rPr>
                <w:rFonts w:ascii="黑体" w:hAnsi="Times New Roman" w:eastAsia="黑体" w:cs="Times New Roman"/>
                <w:sz w:val="36"/>
                <w:szCs w:val="36"/>
              </w:rPr>
            </w:pPr>
            <w:r>
              <w:rPr>
                <w:rFonts w:hint="eastAsia" w:ascii="黑体" w:hAnsi="Times New Roman" w:eastAsia="黑体" w:cs="Times New Roman"/>
                <w:sz w:val="36"/>
                <w:szCs w:val="36"/>
              </w:rPr>
              <w:t>学生姓名：</w:t>
            </w:r>
          </w:p>
        </w:tc>
        <w:tc>
          <w:tcPr>
            <w:tcW w:w="4151" w:type="dxa"/>
            <w:tcBorders>
              <w:top w:val="single" w:color="auto" w:sz="4" w:space="0"/>
              <w:bottom w:val="single" w:color="auto" w:sz="4" w:space="0"/>
            </w:tcBorders>
            <w:vAlign w:val="center"/>
          </w:tcPr>
          <w:p w14:paraId="4BF5CC39">
            <w:pPr>
              <w:widowControl/>
              <w:adjustRightInd w:val="0"/>
              <w:snapToGrid w:val="0"/>
              <w:spacing w:line="400" w:lineRule="atLeast"/>
              <w:jc w:val="center"/>
              <w:rPr>
                <w:rFonts w:hint="default" w:ascii="黑体" w:hAnsi="黑体" w:eastAsia="黑体" w:cs="Times New Roman"/>
                <w:sz w:val="30"/>
                <w:szCs w:val="30"/>
                <w:lang w:val="en-US" w:eastAsia="zh-CN"/>
              </w:rPr>
            </w:pPr>
            <w:r>
              <w:rPr>
                <w:rFonts w:hint="eastAsia" w:ascii="黑体" w:hAnsi="黑体" w:eastAsia="黑体" w:cs="Times New Roman"/>
                <w:sz w:val="30"/>
                <w:szCs w:val="30"/>
              </w:rPr>
              <w:t>樊博文</w:t>
            </w:r>
            <w:r>
              <w:rPr>
                <w:rFonts w:hint="eastAsia" w:ascii="黑体" w:hAnsi="黑体" w:eastAsia="黑体" w:cs="Times New Roman"/>
                <w:sz w:val="30"/>
                <w:szCs w:val="30"/>
                <w:lang w:val="en-US" w:eastAsia="zh-CN"/>
              </w:rPr>
              <w:t xml:space="preserve"> 任海龙</w:t>
            </w:r>
            <w:bookmarkStart w:id="1" w:name="_GoBack"/>
            <w:bookmarkEnd w:id="1"/>
          </w:p>
        </w:tc>
      </w:tr>
      <w:tr w14:paraId="3E94CF9E">
        <w:tblPrEx>
          <w:tblCellMar>
            <w:top w:w="0" w:type="dxa"/>
            <w:left w:w="108" w:type="dxa"/>
            <w:bottom w:w="0" w:type="dxa"/>
            <w:right w:w="108" w:type="dxa"/>
          </w:tblCellMar>
        </w:tblPrEx>
        <w:trPr>
          <w:trHeight w:val="737" w:hRule="atLeast"/>
          <w:jc w:val="center"/>
        </w:trPr>
        <w:tc>
          <w:tcPr>
            <w:tcW w:w="2457" w:type="dxa"/>
            <w:vAlign w:val="center"/>
          </w:tcPr>
          <w:p w14:paraId="71240C54">
            <w:pPr>
              <w:widowControl/>
              <w:adjustRightInd w:val="0"/>
              <w:snapToGrid w:val="0"/>
              <w:spacing w:line="400" w:lineRule="atLeast"/>
              <w:jc w:val="center"/>
              <w:rPr>
                <w:rFonts w:ascii="黑体" w:hAnsi="Times New Roman" w:eastAsia="黑体" w:cs="Times New Roman"/>
                <w:sz w:val="36"/>
                <w:szCs w:val="36"/>
              </w:rPr>
            </w:pPr>
            <w:r>
              <w:rPr>
                <w:rFonts w:hint="eastAsia" w:ascii="黑体" w:hAnsi="Times New Roman" w:eastAsia="黑体" w:cs="Times New Roman"/>
                <w:sz w:val="36"/>
                <w:szCs w:val="36"/>
              </w:rPr>
              <w:t>学    号：</w:t>
            </w:r>
          </w:p>
        </w:tc>
        <w:tc>
          <w:tcPr>
            <w:tcW w:w="4151" w:type="dxa"/>
            <w:tcBorders>
              <w:top w:val="single" w:color="auto" w:sz="4" w:space="0"/>
              <w:bottom w:val="single" w:color="auto" w:sz="4" w:space="0"/>
            </w:tcBorders>
            <w:vAlign w:val="center"/>
          </w:tcPr>
          <w:p w14:paraId="0EF9D593">
            <w:pPr>
              <w:widowControl/>
              <w:adjustRightInd w:val="0"/>
              <w:snapToGrid w:val="0"/>
              <w:spacing w:line="400" w:lineRule="atLeast"/>
              <w:jc w:val="center"/>
              <w:rPr>
                <w:rFonts w:ascii="黑体" w:hAnsi="黑体" w:eastAsia="黑体" w:cs="黑体"/>
                <w:sz w:val="30"/>
                <w:szCs w:val="30"/>
              </w:rPr>
            </w:pPr>
            <w:r>
              <w:rPr>
                <w:rFonts w:hint="eastAsia" w:ascii="黑体" w:hAnsi="黑体" w:eastAsia="黑体" w:cs="黑体"/>
                <w:sz w:val="30"/>
                <w:szCs w:val="30"/>
              </w:rPr>
              <w:t>8207230322</w:t>
            </w:r>
          </w:p>
          <w:p w14:paraId="218320FA">
            <w:pPr>
              <w:widowControl/>
              <w:adjustRightInd w:val="0"/>
              <w:snapToGrid w:val="0"/>
              <w:spacing w:line="400" w:lineRule="atLeast"/>
              <w:jc w:val="center"/>
              <w:rPr>
                <w:rFonts w:ascii="黑体" w:hAnsi="黑体" w:eastAsia="黑体" w:cs="黑体"/>
                <w:sz w:val="30"/>
                <w:szCs w:val="30"/>
              </w:rPr>
            </w:pPr>
            <w:r>
              <w:rPr>
                <w:rFonts w:hint="eastAsia" w:ascii="黑体" w:hAnsi="黑体" w:eastAsia="黑体" w:cs="黑体"/>
                <w:sz w:val="30"/>
                <w:szCs w:val="30"/>
              </w:rPr>
              <w:t>8207230604</w:t>
            </w:r>
          </w:p>
        </w:tc>
      </w:tr>
      <w:tr w14:paraId="03EECD7C">
        <w:tblPrEx>
          <w:tblCellMar>
            <w:top w:w="0" w:type="dxa"/>
            <w:left w:w="108" w:type="dxa"/>
            <w:bottom w:w="0" w:type="dxa"/>
            <w:right w:w="108" w:type="dxa"/>
          </w:tblCellMar>
        </w:tblPrEx>
        <w:trPr>
          <w:trHeight w:val="866" w:hRule="atLeast"/>
          <w:jc w:val="center"/>
        </w:trPr>
        <w:tc>
          <w:tcPr>
            <w:tcW w:w="2457" w:type="dxa"/>
            <w:vAlign w:val="center"/>
          </w:tcPr>
          <w:p w14:paraId="6DEDAE19">
            <w:pPr>
              <w:widowControl/>
              <w:adjustRightInd w:val="0"/>
              <w:snapToGrid w:val="0"/>
              <w:spacing w:line="400" w:lineRule="atLeast"/>
              <w:jc w:val="center"/>
              <w:rPr>
                <w:rFonts w:ascii="黑体" w:hAnsi="Times New Roman" w:eastAsia="黑体" w:cs="Times New Roman"/>
                <w:sz w:val="36"/>
                <w:szCs w:val="36"/>
              </w:rPr>
            </w:pPr>
            <w:r>
              <w:rPr>
                <w:rFonts w:hint="eastAsia" w:ascii="黑体" w:hAnsi="Times New Roman" w:eastAsia="黑体" w:cs="Times New Roman"/>
                <w:sz w:val="36"/>
                <w:szCs w:val="36"/>
              </w:rPr>
              <w:t>专业班级：</w:t>
            </w:r>
            <w:r>
              <w:rPr>
                <w:rFonts w:ascii="黑体" w:hAnsi="Times New Roman" w:eastAsia="黑体" w:cs="Times New Roman"/>
                <w:sz w:val="36"/>
                <w:szCs w:val="36"/>
              </w:rPr>
              <w:t xml:space="preserve"> </w:t>
            </w:r>
          </w:p>
        </w:tc>
        <w:tc>
          <w:tcPr>
            <w:tcW w:w="4151" w:type="dxa"/>
            <w:tcBorders>
              <w:top w:val="single" w:color="auto" w:sz="4" w:space="0"/>
              <w:bottom w:val="single" w:color="auto" w:sz="4" w:space="0"/>
            </w:tcBorders>
            <w:vAlign w:val="center"/>
          </w:tcPr>
          <w:p w14:paraId="523CDCC8">
            <w:pPr>
              <w:widowControl/>
              <w:adjustRightInd w:val="0"/>
              <w:snapToGrid w:val="0"/>
              <w:spacing w:line="400" w:lineRule="atLeast"/>
              <w:jc w:val="center"/>
              <w:rPr>
                <w:rFonts w:ascii="黑体" w:hAnsi="黑体" w:eastAsia="黑体" w:cs="黑体"/>
                <w:sz w:val="30"/>
                <w:szCs w:val="30"/>
              </w:rPr>
            </w:pPr>
            <w:r>
              <w:rPr>
                <w:rFonts w:hint="eastAsia" w:ascii="黑体" w:hAnsi="黑体" w:eastAsia="黑体" w:cs="黑体"/>
                <w:sz w:val="30"/>
                <w:szCs w:val="30"/>
              </w:rPr>
              <w:t>电信2303</w:t>
            </w:r>
          </w:p>
        </w:tc>
      </w:tr>
      <w:tr w14:paraId="4EB18B81">
        <w:tblPrEx>
          <w:tblCellMar>
            <w:top w:w="0" w:type="dxa"/>
            <w:left w:w="108" w:type="dxa"/>
            <w:bottom w:w="0" w:type="dxa"/>
            <w:right w:w="108" w:type="dxa"/>
          </w:tblCellMar>
        </w:tblPrEx>
        <w:trPr>
          <w:trHeight w:val="737" w:hRule="atLeast"/>
          <w:jc w:val="center"/>
        </w:trPr>
        <w:tc>
          <w:tcPr>
            <w:tcW w:w="2457" w:type="dxa"/>
            <w:vAlign w:val="center"/>
          </w:tcPr>
          <w:p w14:paraId="09EE0F21">
            <w:pPr>
              <w:widowControl/>
              <w:adjustRightInd w:val="0"/>
              <w:snapToGrid w:val="0"/>
              <w:spacing w:line="400" w:lineRule="atLeast"/>
              <w:jc w:val="center"/>
              <w:rPr>
                <w:rFonts w:ascii="黑体" w:hAnsi="Times New Roman" w:eastAsia="黑体" w:cs="Times New Roman"/>
                <w:sz w:val="36"/>
                <w:szCs w:val="36"/>
              </w:rPr>
            </w:pPr>
            <w:r>
              <w:rPr>
                <w:rFonts w:hint="eastAsia" w:ascii="黑体" w:hAnsi="Times New Roman" w:eastAsia="黑体" w:cs="Times New Roman"/>
                <w:sz w:val="36"/>
                <w:szCs w:val="36"/>
              </w:rPr>
              <w:t>指导教师：</w:t>
            </w:r>
          </w:p>
        </w:tc>
        <w:tc>
          <w:tcPr>
            <w:tcW w:w="4151" w:type="dxa"/>
            <w:tcBorders>
              <w:top w:val="single" w:color="auto" w:sz="4" w:space="0"/>
              <w:bottom w:val="single" w:color="auto" w:sz="4" w:space="0"/>
            </w:tcBorders>
            <w:vAlign w:val="center"/>
          </w:tcPr>
          <w:p w14:paraId="0CC723B5">
            <w:pPr>
              <w:widowControl/>
              <w:adjustRightInd w:val="0"/>
              <w:snapToGrid w:val="0"/>
              <w:spacing w:line="400" w:lineRule="atLeast"/>
              <w:jc w:val="center"/>
              <w:rPr>
                <w:rFonts w:ascii="黑体" w:hAnsi="黑体" w:eastAsia="黑体" w:cs="黑体"/>
                <w:sz w:val="30"/>
                <w:szCs w:val="30"/>
              </w:rPr>
            </w:pPr>
            <w:r>
              <w:rPr>
                <w:rFonts w:hint="eastAsia" w:ascii="黑体" w:hAnsi="黑体" w:eastAsia="黑体" w:cs="黑体"/>
                <w:sz w:val="30"/>
                <w:szCs w:val="30"/>
              </w:rPr>
              <w:t>陈溅来</w:t>
            </w:r>
          </w:p>
        </w:tc>
      </w:tr>
    </w:tbl>
    <w:p w14:paraId="0C41A8E9">
      <w:pPr>
        <w:widowControl/>
        <w:jc w:val="left"/>
        <w:rPr>
          <w:rFonts w:ascii="Times New Roman" w:hAnsi="Times New Roman" w:eastAsia="宋体" w:cs="Times New Roman"/>
          <w:sz w:val="24"/>
          <w:szCs w:val="24"/>
        </w:rPr>
      </w:pPr>
    </w:p>
    <w:p w14:paraId="4DF9AC57">
      <w:pPr>
        <w:widowControl/>
        <w:jc w:val="left"/>
        <w:rPr>
          <w:rFonts w:ascii="Times New Roman" w:hAnsi="Times New Roman" w:eastAsia="宋体" w:cs="Times New Roman"/>
          <w:sz w:val="24"/>
          <w:szCs w:val="24"/>
        </w:rPr>
      </w:pPr>
    </w:p>
    <w:p w14:paraId="7E555A32">
      <w:pPr>
        <w:widowControl/>
        <w:jc w:val="left"/>
        <w:rPr>
          <w:rFonts w:ascii="Times New Roman" w:hAnsi="Times New Roman" w:eastAsia="宋体" w:cs="Times New Roman"/>
          <w:sz w:val="24"/>
          <w:szCs w:val="24"/>
        </w:rPr>
      </w:pPr>
    </w:p>
    <w:p w14:paraId="2B723324">
      <w:pPr>
        <w:widowControl/>
        <w:jc w:val="center"/>
        <w:rPr>
          <w:rFonts w:ascii="Times New Roman" w:hAnsi="Times New Roman" w:eastAsia="黑体" w:cs="Times New Roman"/>
          <w:sz w:val="44"/>
          <w:szCs w:val="44"/>
        </w:rPr>
      </w:pPr>
      <w:r>
        <w:rPr>
          <w:rFonts w:hint="eastAsia" w:ascii="Times New Roman" w:hAnsi="Times New Roman" w:eastAsia="黑体" w:cs="Times New Roman"/>
          <w:sz w:val="44"/>
          <w:szCs w:val="44"/>
        </w:rPr>
        <w:t>自动化</w:t>
      </w:r>
      <w:r>
        <w:rPr>
          <w:rFonts w:ascii="Times New Roman" w:hAnsi="Times New Roman" w:eastAsia="黑体" w:cs="Times New Roman"/>
          <w:sz w:val="44"/>
          <w:szCs w:val="44"/>
        </w:rPr>
        <w:t>学院</w:t>
      </w:r>
    </w:p>
    <w:p w14:paraId="5720B309">
      <w:pPr>
        <w:widowControl/>
        <w:jc w:val="center"/>
        <w:rPr>
          <w:rFonts w:ascii="黑体" w:hAnsi="Times New Roman" w:eastAsia="黑体" w:cs="Times New Roman"/>
          <w:sz w:val="36"/>
          <w:szCs w:val="36"/>
        </w:rPr>
        <w:sectPr>
          <w:headerReference r:id="rId5" w:type="first"/>
          <w:footerReference r:id="rId8" w:type="first"/>
          <w:headerReference r:id="rId3" w:type="default"/>
          <w:footerReference r:id="rId6" w:type="default"/>
          <w:headerReference r:id="rId4" w:type="even"/>
          <w:footerReference r:id="rId7" w:type="even"/>
          <w:pgSz w:w="11906" w:h="16838"/>
          <w:pgMar w:top="1418" w:right="1134" w:bottom="1418" w:left="1701" w:header="851" w:footer="992" w:gutter="0"/>
          <w:pgNumType w:fmt="upperRoman" w:start="1"/>
          <w:cols w:space="720" w:num="1"/>
          <w:titlePg/>
          <w:docGrid w:type="lines" w:linePitch="312" w:charSpace="0"/>
        </w:sectPr>
      </w:pPr>
      <w:r>
        <w:rPr>
          <w:rFonts w:hint="eastAsia" w:ascii="黑体" w:hAnsi="Times New Roman" w:eastAsia="黑体" w:cs="Times New Roman"/>
          <w:sz w:val="36"/>
          <w:szCs w:val="36"/>
        </w:rPr>
        <w:t>2025年</w:t>
      </w:r>
      <w:r>
        <w:rPr>
          <w:rFonts w:ascii="黑体" w:hAnsi="Times New Roman" w:eastAsia="黑体" w:cs="Times New Roman"/>
          <w:sz w:val="36"/>
          <w:szCs w:val="36"/>
        </w:rPr>
        <w:t>11</w:t>
      </w:r>
      <w:r>
        <w:rPr>
          <w:rFonts w:hint="eastAsia" w:ascii="黑体" w:hAnsi="Times New Roman" w:eastAsia="黑体" w:cs="Times New Roman"/>
          <w:sz w:val="36"/>
          <w:szCs w:val="36"/>
        </w:rPr>
        <w:t>月</w:t>
      </w:r>
    </w:p>
    <w:p w14:paraId="1C813AA3">
      <w:pPr>
        <w:widowControl/>
        <w:jc w:val="center"/>
        <w:rPr>
          <w:rFonts w:ascii="黑体" w:hAnsi="Times New Roman" w:eastAsia="黑体" w:cs="Times New Roman"/>
          <w:sz w:val="36"/>
          <w:szCs w:val="36"/>
        </w:rPr>
        <w:sectPr>
          <w:pgSz w:w="11906" w:h="16838"/>
          <w:pgMar w:top="1418" w:right="1134" w:bottom="1418" w:left="1701" w:header="851" w:footer="992" w:gutter="0"/>
          <w:pgNumType w:fmt="upperRoman" w:start="1"/>
          <w:cols w:space="720" w:num="1"/>
          <w:titlePg/>
          <w:docGrid w:type="lines" w:linePitch="312" w:charSpace="0"/>
        </w:sectPr>
      </w:pPr>
    </w:p>
    <w:p w14:paraId="24B334F1">
      <w:pPr>
        <w:widowControl/>
        <w:adjustRightInd w:val="0"/>
        <w:snapToGrid w:val="0"/>
        <w:spacing w:line="360" w:lineRule="auto"/>
        <w:jc w:val="left"/>
        <w:rPr>
          <w:rFonts w:ascii="宋体" w:hAnsi="宋体" w:eastAsia="宋体" w:cs="Times New Roman"/>
          <w:b/>
          <w:sz w:val="24"/>
          <w:szCs w:val="24"/>
        </w:rPr>
        <w:sectPr>
          <w:headerReference r:id="rId9" w:type="default"/>
          <w:footerReference r:id="rId10" w:type="default"/>
          <w:type w:val="continuous"/>
          <w:pgSz w:w="11906" w:h="16838"/>
          <w:pgMar w:top="1418" w:right="1134" w:bottom="1418" w:left="1701" w:header="709" w:footer="992" w:gutter="0"/>
          <w:pgNumType w:fmt="upperRoman" w:start="1"/>
          <w:cols w:space="720" w:num="1"/>
          <w:docGrid w:type="lines" w:linePitch="312" w:charSpace="0"/>
        </w:sectPr>
      </w:pPr>
    </w:p>
    <w:p w14:paraId="0A02BE19">
      <w:pPr>
        <w:widowControl/>
        <w:spacing w:line="480" w:lineRule="auto"/>
        <w:jc w:val="center"/>
        <w:rPr>
          <w:rFonts w:ascii="黑体" w:hAnsi="黑体" w:eastAsia="黑体" w:cs="宋体"/>
          <w:b/>
          <w:bCs/>
          <w:kern w:val="0"/>
          <w:sz w:val="44"/>
          <w:szCs w:val="44"/>
        </w:rPr>
      </w:pPr>
      <w:bookmarkStart w:id="0" w:name="_Toc326088767"/>
      <w:r>
        <w:rPr>
          <w:rFonts w:hint="eastAsia" w:ascii="黑体" w:hAnsi="黑体" w:eastAsia="黑体" w:cs="宋体"/>
          <w:b/>
          <w:bCs/>
          <w:kern w:val="0"/>
          <w:sz w:val="44"/>
          <w:szCs w:val="44"/>
          <w:u w:val="single"/>
        </w:rPr>
        <w:t xml:space="preserve"> 自动化 </w:t>
      </w:r>
      <w:r>
        <w:rPr>
          <w:rFonts w:hint="eastAsia" w:ascii="黑体" w:hAnsi="黑体" w:eastAsia="黑体" w:cs="宋体"/>
          <w:b/>
          <w:bCs/>
          <w:kern w:val="0"/>
          <w:sz w:val="44"/>
          <w:szCs w:val="44"/>
        </w:rPr>
        <w:t>学院</w:t>
      </w:r>
      <w:r>
        <w:rPr>
          <w:rFonts w:hint="eastAsia" w:ascii="黑体" w:hAnsi="黑体" w:eastAsia="黑体" w:cs="宋体"/>
          <w:b/>
          <w:bCs/>
          <w:kern w:val="0"/>
          <w:sz w:val="44"/>
          <w:szCs w:val="44"/>
          <w:u w:val="single"/>
        </w:rPr>
        <w:t xml:space="preserve"> </w:t>
      </w:r>
      <w:r>
        <w:rPr>
          <w:rFonts w:ascii="黑体" w:hAnsi="黑体" w:eastAsia="黑体" w:cs="宋体"/>
          <w:b/>
          <w:bCs/>
          <w:kern w:val="0"/>
          <w:sz w:val="44"/>
          <w:szCs w:val="44"/>
          <w:u w:val="single"/>
        </w:rPr>
        <w:t>高频电子线路</w:t>
      </w:r>
      <w:r>
        <w:rPr>
          <w:rFonts w:hint="eastAsia" w:ascii="黑体" w:hAnsi="黑体" w:eastAsia="黑体" w:cs="宋体"/>
          <w:b/>
          <w:bCs/>
          <w:kern w:val="0"/>
          <w:sz w:val="44"/>
          <w:szCs w:val="44"/>
          <w:u w:val="single"/>
        </w:rPr>
        <w:t xml:space="preserve"> </w:t>
      </w:r>
      <w:r>
        <w:rPr>
          <w:rFonts w:hint="eastAsia" w:ascii="黑体" w:hAnsi="黑体" w:eastAsia="黑体" w:cs="宋体"/>
          <w:b/>
          <w:bCs/>
          <w:kern w:val="0"/>
          <w:sz w:val="44"/>
          <w:szCs w:val="44"/>
        </w:rPr>
        <w:t>课程设计任务书</w:t>
      </w:r>
    </w:p>
    <w:p w14:paraId="26436F91">
      <w:pPr>
        <w:widowControl/>
        <w:spacing w:line="480" w:lineRule="auto"/>
        <w:jc w:val="center"/>
        <w:rPr>
          <w:rFonts w:ascii="黑体" w:hAnsi="黑体" w:eastAsia="黑体" w:cs="Times New Roman"/>
          <w:b/>
          <w:sz w:val="30"/>
          <w:szCs w:val="30"/>
        </w:rPr>
      </w:pPr>
    </w:p>
    <w:tbl>
      <w:tblPr>
        <w:tblStyle w:val="15"/>
        <w:tblW w:w="5498" w:type="pct"/>
        <w:tblInd w:w="-31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99"/>
        <w:gridCol w:w="1545"/>
        <w:gridCol w:w="1081"/>
        <w:gridCol w:w="2008"/>
        <w:gridCol w:w="463"/>
        <w:gridCol w:w="967"/>
        <w:gridCol w:w="424"/>
        <w:gridCol w:w="2025"/>
      </w:tblGrid>
      <w:tr w14:paraId="4ED423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1654" w:type="dxa"/>
            <w:vAlign w:val="center"/>
          </w:tcPr>
          <w:p w14:paraId="041BE725">
            <w:pPr>
              <w:widowControl/>
              <w:spacing w:line="480" w:lineRule="auto"/>
              <w:ind w:firstLine="241" w:firstLineChars="100"/>
              <w:jc w:val="center"/>
              <w:rPr>
                <w:rFonts w:ascii="新宋体" w:hAnsi="新宋体" w:eastAsia="新宋体" w:cs="Times New Roman"/>
                <w:kern w:val="0"/>
                <w:sz w:val="24"/>
                <w:szCs w:val="24"/>
              </w:rPr>
            </w:pPr>
            <w:r>
              <w:rPr>
                <w:rFonts w:hint="eastAsia" w:ascii="新宋体" w:hAnsi="新宋体" w:eastAsia="新宋体" w:cs="Times New Roman"/>
                <w:b/>
                <w:sz w:val="24"/>
                <w:szCs w:val="24"/>
              </w:rPr>
              <w:t>学生姓名</w:t>
            </w:r>
          </w:p>
        </w:tc>
        <w:tc>
          <w:tcPr>
            <w:tcW w:w="1504" w:type="dxa"/>
            <w:vAlign w:val="center"/>
          </w:tcPr>
          <w:p w14:paraId="3D7F2546">
            <w:pPr>
              <w:widowControl/>
              <w:spacing w:line="480" w:lineRule="auto"/>
              <w:jc w:val="center"/>
              <w:rPr>
                <w:rFonts w:ascii="新宋体" w:hAnsi="新宋体" w:eastAsia="新宋体" w:cs="Times New Roman"/>
                <w:kern w:val="0"/>
                <w:sz w:val="24"/>
                <w:szCs w:val="24"/>
              </w:rPr>
            </w:pPr>
            <w:r>
              <w:rPr>
                <w:rFonts w:hint="eastAsia" w:ascii="新宋体" w:hAnsi="新宋体" w:eastAsia="新宋体" w:cs="Times New Roman"/>
                <w:kern w:val="0"/>
                <w:sz w:val="24"/>
                <w:szCs w:val="24"/>
              </w:rPr>
              <w:t>樊博文</w:t>
            </w:r>
          </w:p>
        </w:tc>
        <w:tc>
          <w:tcPr>
            <w:tcW w:w="1052" w:type="dxa"/>
            <w:vAlign w:val="center"/>
          </w:tcPr>
          <w:p w14:paraId="51C5B60F">
            <w:pPr>
              <w:widowControl/>
              <w:spacing w:line="480" w:lineRule="auto"/>
              <w:jc w:val="center"/>
              <w:rPr>
                <w:rFonts w:ascii="新宋体" w:hAnsi="新宋体" w:eastAsia="新宋体" w:cs="Times New Roman"/>
                <w:b/>
                <w:kern w:val="0"/>
                <w:sz w:val="24"/>
                <w:szCs w:val="24"/>
              </w:rPr>
            </w:pPr>
            <w:r>
              <w:rPr>
                <w:rFonts w:hint="eastAsia" w:ascii="新宋体" w:hAnsi="新宋体" w:eastAsia="新宋体" w:cs="Times New Roman"/>
                <w:b/>
                <w:kern w:val="0"/>
                <w:sz w:val="24"/>
                <w:szCs w:val="24"/>
              </w:rPr>
              <w:t>班级</w:t>
            </w:r>
          </w:p>
        </w:tc>
        <w:tc>
          <w:tcPr>
            <w:tcW w:w="1955" w:type="dxa"/>
            <w:vAlign w:val="center"/>
          </w:tcPr>
          <w:p w14:paraId="28E6502B">
            <w:pPr>
              <w:widowControl/>
              <w:spacing w:line="480" w:lineRule="auto"/>
              <w:jc w:val="center"/>
              <w:rPr>
                <w:rFonts w:ascii="新宋体" w:hAnsi="新宋体" w:eastAsia="新宋体" w:cs="Times New Roman"/>
                <w:kern w:val="0"/>
                <w:sz w:val="24"/>
                <w:szCs w:val="24"/>
              </w:rPr>
            </w:pPr>
            <w:r>
              <w:rPr>
                <w:rFonts w:hint="eastAsia" w:ascii="新宋体" w:hAnsi="新宋体" w:eastAsia="新宋体" w:cs="Times New Roman"/>
                <w:kern w:val="0"/>
                <w:sz w:val="24"/>
                <w:szCs w:val="24"/>
              </w:rPr>
              <w:t>电信2303</w:t>
            </w:r>
          </w:p>
        </w:tc>
        <w:tc>
          <w:tcPr>
            <w:tcW w:w="1392" w:type="dxa"/>
            <w:gridSpan w:val="2"/>
            <w:vAlign w:val="center"/>
          </w:tcPr>
          <w:p w14:paraId="269E389F">
            <w:pPr>
              <w:widowControl/>
              <w:spacing w:line="480" w:lineRule="auto"/>
              <w:jc w:val="center"/>
              <w:rPr>
                <w:rFonts w:ascii="新宋体" w:hAnsi="新宋体" w:eastAsia="新宋体" w:cs="Times New Roman"/>
                <w:b/>
                <w:kern w:val="0"/>
                <w:sz w:val="24"/>
                <w:szCs w:val="24"/>
              </w:rPr>
            </w:pPr>
            <w:r>
              <w:rPr>
                <w:rFonts w:hint="eastAsia" w:ascii="新宋体" w:hAnsi="新宋体" w:eastAsia="新宋体" w:cs="Times New Roman"/>
                <w:b/>
                <w:kern w:val="0"/>
                <w:sz w:val="24"/>
                <w:szCs w:val="24"/>
              </w:rPr>
              <w:t>学号</w:t>
            </w:r>
          </w:p>
        </w:tc>
        <w:tc>
          <w:tcPr>
            <w:tcW w:w="2384" w:type="dxa"/>
            <w:gridSpan w:val="2"/>
            <w:vAlign w:val="center"/>
          </w:tcPr>
          <w:p w14:paraId="1EEEEBAE">
            <w:pPr>
              <w:widowControl/>
              <w:spacing w:line="480" w:lineRule="auto"/>
              <w:jc w:val="center"/>
              <w:rPr>
                <w:rFonts w:ascii="新宋体" w:hAnsi="新宋体" w:eastAsia="新宋体" w:cs="Times New Roman"/>
                <w:kern w:val="0"/>
                <w:sz w:val="24"/>
                <w:szCs w:val="24"/>
              </w:rPr>
            </w:pPr>
            <w:r>
              <w:rPr>
                <w:rFonts w:hint="eastAsia" w:ascii="新宋体" w:hAnsi="新宋体" w:eastAsia="新宋体" w:cs="Times New Roman"/>
                <w:kern w:val="0"/>
                <w:sz w:val="24"/>
                <w:szCs w:val="24"/>
              </w:rPr>
              <w:t>8207230322</w:t>
            </w:r>
          </w:p>
        </w:tc>
      </w:tr>
      <w:tr w14:paraId="2CADFE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29" w:hRule="atLeast"/>
        </w:trPr>
        <w:tc>
          <w:tcPr>
            <w:tcW w:w="1654" w:type="dxa"/>
            <w:vAlign w:val="center"/>
          </w:tcPr>
          <w:p w14:paraId="3B5D869E">
            <w:pPr>
              <w:widowControl/>
              <w:spacing w:line="480" w:lineRule="auto"/>
              <w:jc w:val="center"/>
              <w:rPr>
                <w:rFonts w:ascii="新宋体" w:hAnsi="新宋体" w:eastAsia="新宋体" w:cs="Times New Roman"/>
                <w:b/>
                <w:kern w:val="0"/>
                <w:sz w:val="28"/>
                <w:szCs w:val="28"/>
              </w:rPr>
            </w:pPr>
            <w:r>
              <w:rPr>
                <w:rFonts w:hint="eastAsia" w:ascii="新宋体" w:hAnsi="新宋体" w:eastAsia="新宋体" w:cs="Times New Roman"/>
                <w:b/>
                <w:kern w:val="0"/>
                <w:sz w:val="28"/>
                <w:szCs w:val="28"/>
              </w:rPr>
              <w:t>指导教师</w:t>
            </w:r>
          </w:p>
        </w:tc>
        <w:tc>
          <w:tcPr>
            <w:tcW w:w="4511" w:type="dxa"/>
            <w:gridSpan w:val="3"/>
            <w:vAlign w:val="center"/>
          </w:tcPr>
          <w:p w14:paraId="0E024174">
            <w:pPr>
              <w:widowControl/>
              <w:spacing w:line="480" w:lineRule="auto"/>
              <w:jc w:val="center"/>
              <w:rPr>
                <w:rFonts w:ascii="新宋体" w:hAnsi="新宋体" w:eastAsia="新宋体" w:cs="Times New Roman"/>
                <w:kern w:val="0"/>
                <w:sz w:val="24"/>
                <w:szCs w:val="24"/>
              </w:rPr>
            </w:pPr>
            <w:r>
              <w:rPr>
                <w:rFonts w:hint="eastAsia" w:ascii="新宋体" w:hAnsi="新宋体" w:eastAsia="新宋体" w:cs="Times New Roman"/>
                <w:kern w:val="0"/>
                <w:sz w:val="24"/>
                <w:szCs w:val="24"/>
              </w:rPr>
              <w:t>陈溅来</w:t>
            </w:r>
          </w:p>
        </w:tc>
        <w:tc>
          <w:tcPr>
            <w:tcW w:w="1392" w:type="dxa"/>
            <w:gridSpan w:val="2"/>
            <w:vAlign w:val="center"/>
          </w:tcPr>
          <w:p w14:paraId="0795C1C1">
            <w:pPr>
              <w:widowControl/>
              <w:spacing w:line="480" w:lineRule="auto"/>
              <w:ind w:firstLine="120" w:firstLineChars="50"/>
              <w:jc w:val="center"/>
              <w:rPr>
                <w:rFonts w:ascii="新宋体" w:hAnsi="新宋体" w:eastAsia="新宋体" w:cs="Times New Roman"/>
                <w:b/>
                <w:kern w:val="0"/>
                <w:sz w:val="24"/>
                <w:szCs w:val="24"/>
              </w:rPr>
            </w:pPr>
            <w:r>
              <w:rPr>
                <w:rFonts w:hint="eastAsia" w:ascii="新宋体" w:hAnsi="新宋体" w:eastAsia="新宋体" w:cs="Times New Roman"/>
                <w:b/>
                <w:kern w:val="0"/>
                <w:sz w:val="24"/>
                <w:szCs w:val="24"/>
              </w:rPr>
              <w:t>同组学生</w:t>
            </w:r>
          </w:p>
        </w:tc>
        <w:tc>
          <w:tcPr>
            <w:tcW w:w="2384" w:type="dxa"/>
            <w:gridSpan w:val="2"/>
            <w:vAlign w:val="center"/>
          </w:tcPr>
          <w:p w14:paraId="1736CEF3">
            <w:pPr>
              <w:widowControl/>
              <w:spacing w:line="480" w:lineRule="auto"/>
              <w:jc w:val="center"/>
              <w:rPr>
                <w:rFonts w:ascii="新宋体" w:hAnsi="新宋体" w:eastAsia="新宋体" w:cs="Times New Roman"/>
                <w:kern w:val="0"/>
                <w:sz w:val="24"/>
                <w:szCs w:val="24"/>
              </w:rPr>
            </w:pPr>
            <w:r>
              <w:rPr>
                <w:rFonts w:hint="eastAsia" w:ascii="新宋体" w:hAnsi="新宋体" w:eastAsia="新宋体" w:cs="Times New Roman"/>
                <w:kern w:val="0"/>
                <w:sz w:val="24"/>
                <w:szCs w:val="24"/>
              </w:rPr>
              <w:t>任海龙</w:t>
            </w:r>
          </w:p>
        </w:tc>
      </w:tr>
      <w:tr w14:paraId="783324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05" w:hRule="atLeast"/>
        </w:trPr>
        <w:tc>
          <w:tcPr>
            <w:tcW w:w="1654" w:type="dxa"/>
            <w:vAlign w:val="center"/>
          </w:tcPr>
          <w:p w14:paraId="2A1671A6">
            <w:pPr>
              <w:widowControl/>
              <w:spacing w:line="480" w:lineRule="auto"/>
              <w:jc w:val="center"/>
              <w:rPr>
                <w:rFonts w:ascii="新宋体" w:hAnsi="新宋体" w:eastAsia="新宋体" w:cs="Times New Roman"/>
                <w:b/>
                <w:kern w:val="0"/>
                <w:sz w:val="28"/>
                <w:szCs w:val="28"/>
              </w:rPr>
            </w:pPr>
            <w:r>
              <w:rPr>
                <w:rFonts w:hint="eastAsia" w:ascii="新宋体" w:hAnsi="新宋体" w:eastAsia="新宋体" w:cs="Times New Roman"/>
                <w:b/>
                <w:kern w:val="0"/>
                <w:sz w:val="28"/>
                <w:szCs w:val="28"/>
              </w:rPr>
              <w:t>课题名称</w:t>
            </w:r>
          </w:p>
        </w:tc>
        <w:tc>
          <w:tcPr>
            <w:tcW w:w="8287" w:type="dxa"/>
            <w:gridSpan w:val="7"/>
            <w:vAlign w:val="center"/>
          </w:tcPr>
          <w:p w14:paraId="3A12A43A">
            <w:pPr>
              <w:widowControl/>
              <w:spacing w:line="480" w:lineRule="auto"/>
              <w:ind w:firstLine="480" w:firstLineChars="200"/>
              <w:jc w:val="center"/>
              <w:rPr>
                <w:rFonts w:ascii="宋体" w:hAnsi="宋体" w:eastAsia="宋体" w:cs="Times New Roman"/>
                <w:sz w:val="24"/>
                <w:szCs w:val="24"/>
              </w:rPr>
            </w:pPr>
            <w:r>
              <w:rPr>
                <w:rFonts w:hint="eastAsia" w:ascii="宋体" w:hAnsi="宋体" w:eastAsia="宋体" w:cs="Times New Roman"/>
                <w:sz w:val="24"/>
                <w:szCs w:val="24"/>
              </w:rPr>
              <w:t>调频收音机</w:t>
            </w:r>
          </w:p>
        </w:tc>
      </w:tr>
      <w:tr w14:paraId="4F441D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33" w:hRule="atLeast"/>
        </w:trPr>
        <w:tc>
          <w:tcPr>
            <w:tcW w:w="1654" w:type="dxa"/>
            <w:vAlign w:val="center"/>
          </w:tcPr>
          <w:p w14:paraId="5D0778E0">
            <w:pPr>
              <w:widowControl/>
              <w:spacing w:line="480" w:lineRule="auto"/>
              <w:jc w:val="center"/>
              <w:rPr>
                <w:rFonts w:ascii="新宋体" w:hAnsi="新宋体" w:eastAsia="新宋体" w:cs="Times New Roman"/>
                <w:b/>
                <w:sz w:val="28"/>
                <w:szCs w:val="28"/>
              </w:rPr>
            </w:pPr>
            <w:r>
              <w:rPr>
                <w:rFonts w:hint="eastAsia" w:ascii="新宋体" w:hAnsi="新宋体" w:eastAsia="新宋体" w:cs="Times New Roman"/>
                <w:b/>
                <w:kern w:val="0"/>
                <w:sz w:val="28"/>
                <w:szCs w:val="28"/>
              </w:rPr>
              <w:t>课题的主要内</w:t>
            </w:r>
            <w:r>
              <w:rPr>
                <w:rFonts w:hint="eastAsia" w:ascii="新宋体" w:hAnsi="新宋体" w:eastAsia="新宋体" w:cs="Times New Roman"/>
                <w:b/>
                <w:sz w:val="28"/>
                <w:szCs w:val="28"/>
              </w:rPr>
              <w:t>容及设计要求</w:t>
            </w:r>
          </w:p>
          <w:p w14:paraId="02B508EA">
            <w:pPr>
              <w:widowControl/>
              <w:spacing w:line="480" w:lineRule="auto"/>
              <w:jc w:val="center"/>
              <w:rPr>
                <w:rFonts w:ascii="新宋体" w:hAnsi="新宋体" w:eastAsia="新宋体" w:cs="Times New Roman"/>
                <w:b/>
                <w:sz w:val="24"/>
                <w:szCs w:val="24"/>
              </w:rPr>
            </w:pPr>
          </w:p>
        </w:tc>
        <w:tc>
          <w:tcPr>
            <w:tcW w:w="8287" w:type="dxa"/>
            <w:gridSpan w:val="7"/>
            <w:vAlign w:val="center"/>
          </w:tcPr>
          <w:p w14:paraId="5120B089">
            <w:pPr>
              <w:widowControl/>
              <w:spacing w:line="480" w:lineRule="auto"/>
              <w:jc w:val="left"/>
              <w:rPr>
                <w:rFonts w:ascii="新宋体" w:hAnsi="新宋体" w:eastAsia="新宋体" w:cs="Arial"/>
                <w:b/>
                <w:bCs/>
                <w:sz w:val="24"/>
                <w:szCs w:val="24"/>
              </w:rPr>
            </w:pPr>
            <w:r>
              <w:rPr>
                <w:rFonts w:ascii="新宋体" w:hAnsi="新宋体" w:eastAsia="新宋体" w:cs="Arial"/>
                <w:b/>
                <w:bCs/>
                <w:sz w:val="24"/>
                <w:szCs w:val="24"/>
              </w:rPr>
              <w:t>主要内容</w:t>
            </w:r>
          </w:p>
          <w:p w14:paraId="5F66F880">
            <w:pPr>
              <w:widowControl/>
              <w:spacing w:line="480" w:lineRule="auto"/>
              <w:ind w:firstLine="480" w:firstLineChars="200"/>
              <w:jc w:val="left"/>
              <w:rPr>
                <w:rFonts w:ascii="新宋体" w:hAnsi="新宋体" w:eastAsia="新宋体" w:cs="Arial"/>
                <w:sz w:val="24"/>
                <w:szCs w:val="24"/>
              </w:rPr>
            </w:pPr>
            <w:r>
              <w:rPr>
                <w:rFonts w:ascii="新宋体" w:hAnsi="新宋体" w:eastAsia="新宋体" w:cs="Arial"/>
                <w:sz w:val="24"/>
                <w:szCs w:val="24"/>
              </w:rPr>
              <w:t>本</w:t>
            </w:r>
            <w:r>
              <w:rPr>
                <w:rFonts w:hint="eastAsia" w:ascii="新宋体" w:hAnsi="新宋体" w:eastAsia="新宋体" w:cs="Arial"/>
                <w:sz w:val="24"/>
                <w:szCs w:val="24"/>
              </w:rPr>
              <w:t>课设</w:t>
            </w:r>
            <w:r>
              <w:rPr>
                <w:rFonts w:ascii="新宋体" w:hAnsi="新宋体" w:eastAsia="新宋体" w:cs="Arial"/>
                <w:sz w:val="24"/>
                <w:szCs w:val="24"/>
              </w:rPr>
              <w:t>要求设计并制作一台调频收音机，实现对调频广播信号的接收、调谐、放大和解调，通过音频功放驱动扬声器输出清晰的声音。学生需完成方案论证、各级电路设计与参数计算、元器件选型、线路制作与整机调试，掌握调频收音机的基本工作原理和高频电路的实际应用。</w:t>
            </w:r>
          </w:p>
          <w:p w14:paraId="521C2AB9">
            <w:pPr>
              <w:widowControl/>
              <w:spacing w:line="480" w:lineRule="auto"/>
              <w:jc w:val="left"/>
              <w:rPr>
                <w:rFonts w:ascii="新宋体" w:hAnsi="新宋体" w:eastAsia="新宋体" w:cs="Arial"/>
                <w:sz w:val="24"/>
                <w:szCs w:val="24"/>
              </w:rPr>
            </w:pPr>
          </w:p>
          <w:p w14:paraId="6EB4827A">
            <w:pPr>
              <w:widowControl/>
              <w:spacing w:line="480" w:lineRule="auto"/>
              <w:jc w:val="left"/>
              <w:rPr>
                <w:rFonts w:ascii="新宋体" w:hAnsi="新宋体" w:eastAsia="新宋体" w:cs="Arial"/>
                <w:b/>
                <w:bCs/>
                <w:sz w:val="24"/>
                <w:szCs w:val="24"/>
              </w:rPr>
            </w:pPr>
            <w:r>
              <w:rPr>
                <w:rFonts w:ascii="新宋体" w:hAnsi="新宋体" w:eastAsia="新宋体" w:cs="Arial"/>
                <w:b/>
                <w:bCs/>
                <w:sz w:val="24"/>
                <w:szCs w:val="24"/>
              </w:rPr>
              <w:t>设计要求</w:t>
            </w:r>
          </w:p>
          <w:p w14:paraId="1DFE745D">
            <w:pPr>
              <w:widowControl/>
              <w:spacing w:line="480" w:lineRule="auto"/>
              <w:jc w:val="left"/>
              <w:rPr>
                <w:rFonts w:ascii="新宋体" w:hAnsi="新宋体" w:eastAsia="新宋体" w:cs="Arial"/>
                <w:sz w:val="24"/>
                <w:szCs w:val="24"/>
              </w:rPr>
            </w:pPr>
            <w:r>
              <w:rPr>
                <w:rFonts w:ascii="新宋体" w:hAnsi="新宋体" w:eastAsia="新宋体" w:cs="Arial"/>
                <w:sz w:val="24"/>
                <w:szCs w:val="24"/>
              </w:rPr>
              <w:t>（一）报告部分</w:t>
            </w:r>
          </w:p>
          <w:p w14:paraId="45C2D8F2">
            <w:pPr>
              <w:widowControl/>
              <w:numPr>
                <w:ilvl w:val="0"/>
                <w:numId w:val="1"/>
              </w:numPr>
              <w:spacing w:line="480" w:lineRule="auto"/>
              <w:jc w:val="left"/>
              <w:rPr>
                <w:rFonts w:ascii="新宋体" w:hAnsi="新宋体" w:eastAsia="新宋体" w:cs="Arial"/>
                <w:sz w:val="24"/>
                <w:szCs w:val="24"/>
              </w:rPr>
            </w:pPr>
            <w:r>
              <w:rPr>
                <w:rFonts w:ascii="新宋体" w:hAnsi="新宋体" w:eastAsia="新宋体" w:cs="Arial"/>
                <w:sz w:val="24"/>
                <w:szCs w:val="24"/>
              </w:rPr>
              <w:t>报告结构完整、逻辑清晰，内容包括：任务分析、总体方案、各级电路设计与计算、PCB 设计、制作与调试过程、测试结果与总结等，内容充实。</w:t>
            </w:r>
          </w:p>
          <w:p w14:paraId="5F09887D">
            <w:pPr>
              <w:widowControl/>
              <w:numPr>
                <w:ilvl w:val="0"/>
                <w:numId w:val="1"/>
              </w:numPr>
              <w:spacing w:line="480" w:lineRule="auto"/>
              <w:jc w:val="left"/>
              <w:rPr>
                <w:rFonts w:ascii="新宋体" w:hAnsi="新宋体" w:eastAsia="新宋体" w:cs="Arial"/>
                <w:sz w:val="24"/>
                <w:szCs w:val="24"/>
              </w:rPr>
            </w:pPr>
            <w:r>
              <w:rPr>
                <w:rFonts w:ascii="新宋体" w:hAnsi="新宋体" w:eastAsia="新宋体" w:cs="Arial"/>
                <w:sz w:val="24"/>
                <w:szCs w:val="24"/>
              </w:rPr>
              <w:t>图文并茂，关键电路原理图、波形、PCB 图、实物照片等配以必要文字说明，突出设计流程、功能实现及主要特点。</w:t>
            </w:r>
          </w:p>
          <w:p w14:paraId="0BC615AE">
            <w:pPr>
              <w:widowControl/>
              <w:numPr>
                <w:ilvl w:val="0"/>
                <w:numId w:val="1"/>
              </w:numPr>
              <w:spacing w:line="480" w:lineRule="auto"/>
              <w:jc w:val="left"/>
              <w:rPr>
                <w:rFonts w:ascii="新宋体" w:hAnsi="新宋体" w:eastAsia="新宋体" w:cs="Arial"/>
                <w:sz w:val="24"/>
                <w:szCs w:val="24"/>
              </w:rPr>
            </w:pPr>
            <w:r>
              <w:rPr>
                <w:rFonts w:ascii="新宋体" w:hAnsi="新宋体" w:eastAsia="新宋体" w:cs="Arial"/>
                <w:sz w:val="24"/>
                <w:szCs w:val="24"/>
              </w:rPr>
              <w:t>能对电路方案取舍、关键参数选择及测试结果进行简要分析与评价。</w:t>
            </w:r>
          </w:p>
          <w:p w14:paraId="493A67C3">
            <w:pPr>
              <w:widowControl/>
              <w:spacing w:line="480" w:lineRule="auto"/>
              <w:jc w:val="left"/>
              <w:rPr>
                <w:rFonts w:ascii="新宋体" w:hAnsi="新宋体" w:eastAsia="新宋体" w:cs="Arial"/>
                <w:sz w:val="24"/>
                <w:szCs w:val="24"/>
              </w:rPr>
            </w:pPr>
            <w:r>
              <w:rPr>
                <w:rFonts w:ascii="新宋体" w:hAnsi="新宋体" w:eastAsia="新宋体" w:cs="Arial"/>
                <w:sz w:val="24"/>
                <w:szCs w:val="24"/>
              </w:rPr>
              <w:t>（二）实物部分</w:t>
            </w:r>
          </w:p>
          <w:p w14:paraId="60AB7C7A">
            <w:pPr>
              <w:widowControl/>
              <w:numPr>
                <w:ilvl w:val="0"/>
                <w:numId w:val="2"/>
              </w:numPr>
              <w:spacing w:line="480" w:lineRule="auto"/>
              <w:jc w:val="left"/>
              <w:rPr>
                <w:rFonts w:ascii="新宋体" w:hAnsi="新宋体" w:eastAsia="新宋体" w:cs="Arial"/>
                <w:sz w:val="24"/>
                <w:szCs w:val="24"/>
              </w:rPr>
            </w:pPr>
            <w:r>
              <w:rPr>
                <w:rFonts w:ascii="新宋体" w:hAnsi="新宋体" w:eastAsia="新宋体" w:cs="Arial"/>
                <w:sz w:val="24"/>
                <w:szCs w:val="24"/>
              </w:rPr>
              <w:t>收音机各项基本功能正常：在规定频段内可接收电台，音量可调，声音清晰，无明显啸叫和严重杂音。</w:t>
            </w:r>
          </w:p>
          <w:p w14:paraId="2DD34FF4">
            <w:pPr>
              <w:widowControl/>
              <w:numPr>
                <w:ilvl w:val="0"/>
                <w:numId w:val="2"/>
              </w:numPr>
              <w:spacing w:line="480" w:lineRule="auto"/>
              <w:jc w:val="left"/>
              <w:rPr>
                <w:rFonts w:ascii="新宋体" w:hAnsi="新宋体" w:eastAsia="新宋体" w:cs="Arial"/>
                <w:sz w:val="24"/>
                <w:szCs w:val="24"/>
              </w:rPr>
            </w:pPr>
            <w:r>
              <w:rPr>
                <w:rFonts w:ascii="新宋体" w:hAnsi="新宋体" w:eastAsia="新宋体" w:cs="Arial"/>
                <w:sz w:val="24"/>
                <w:szCs w:val="24"/>
              </w:rPr>
              <w:t>组装合理：器件布局整齐，焊接可靠，接线清楚，整机外观美观、尺寸合适，操作方便。</w:t>
            </w:r>
          </w:p>
          <w:p w14:paraId="1EAF123E">
            <w:pPr>
              <w:widowControl/>
              <w:numPr>
                <w:ilvl w:val="0"/>
                <w:numId w:val="2"/>
              </w:numPr>
              <w:spacing w:line="480" w:lineRule="auto"/>
              <w:jc w:val="left"/>
              <w:rPr>
                <w:rFonts w:ascii="新宋体" w:hAnsi="新宋体" w:eastAsia="新宋体" w:cs="Arial"/>
                <w:sz w:val="24"/>
                <w:szCs w:val="24"/>
              </w:rPr>
            </w:pPr>
            <w:r>
              <w:rPr>
                <w:rFonts w:ascii="新宋体" w:hAnsi="新宋体" w:eastAsia="新宋体" w:cs="Arial"/>
                <w:sz w:val="24"/>
                <w:szCs w:val="24"/>
              </w:rPr>
              <w:t>如有特色或拓展功能（如数字频率显示、自动搜台、静噪、记忆电台等），可作为加分项但非必需。</w:t>
            </w:r>
          </w:p>
          <w:p w14:paraId="3D5B9CC1">
            <w:pPr>
              <w:widowControl/>
              <w:spacing w:line="480" w:lineRule="auto"/>
              <w:jc w:val="left"/>
              <w:rPr>
                <w:rFonts w:ascii="新宋体" w:hAnsi="新宋体" w:eastAsia="新宋体" w:cs="Arial"/>
                <w:sz w:val="24"/>
                <w:szCs w:val="24"/>
              </w:rPr>
            </w:pPr>
            <w:r>
              <w:rPr>
                <w:rFonts w:ascii="新宋体" w:hAnsi="新宋体" w:eastAsia="新宋体" w:cs="Arial"/>
                <w:sz w:val="24"/>
                <w:szCs w:val="24"/>
              </w:rPr>
              <w:t>（三）PCB 板部分</w:t>
            </w:r>
          </w:p>
          <w:p w14:paraId="7E9975D8">
            <w:pPr>
              <w:widowControl/>
              <w:numPr>
                <w:ilvl w:val="0"/>
                <w:numId w:val="3"/>
              </w:numPr>
              <w:spacing w:line="480" w:lineRule="auto"/>
              <w:jc w:val="left"/>
              <w:rPr>
                <w:rFonts w:ascii="新宋体" w:hAnsi="新宋体" w:eastAsia="新宋体" w:cs="Arial"/>
                <w:sz w:val="24"/>
                <w:szCs w:val="24"/>
              </w:rPr>
            </w:pPr>
            <w:r>
              <w:rPr>
                <w:rFonts w:ascii="新宋体" w:hAnsi="新宋体" w:eastAsia="新宋体" w:cs="Arial"/>
                <w:sz w:val="24"/>
                <w:szCs w:val="24"/>
              </w:rPr>
              <w:t>设计依据明确：给出与原理图对应的 PCB 设计图，包含元器件封装、参考标号、网名及连线等必要元素。</w:t>
            </w:r>
          </w:p>
          <w:p w14:paraId="604AE896">
            <w:pPr>
              <w:widowControl/>
              <w:numPr>
                <w:ilvl w:val="0"/>
                <w:numId w:val="3"/>
              </w:numPr>
              <w:spacing w:line="480" w:lineRule="auto"/>
              <w:jc w:val="left"/>
              <w:rPr>
                <w:rFonts w:ascii="新宋体" w:hAnsi="新宋体" w:eastAsia="新宋体" w:cs="Arial"/>
                <w:sz w:val="24"/>
                <w:szCs w:val="24"/>
              </w:rPr>
            </w:pPr>
            <w:r>
              <w:rPr>
                <w:rFonts w:ascii="新宋体" w:hAnsi="新宋体" w:eastAsia="新宋体" w:cs="Arial"/>
                <w:sz w:val="24"/>
                <w:szCs w:val="24"/>
              </w:rPr>
              <w:t>布局布线按信号流向或芯片引脚分布进行，功能分区清晰，高频、音频、电源等模块布置合理。</w:t>
            </w:r>
          </w:p>
          <w:p w14:paraId="34C9ABEB">
            <w:pPr>
              <w:widowControl/>
              <w:numPr>
                <w:ilvl w:val="0"/>
                <w:numId w:val="3"/>
              </w:numPr>
              <w:spacing w:line="480" w:lineRule="auto"/>
              <w:jc w:val="left"/>
              <w:rPr>
                <w:rFonts w:ascii="新宋体" w:hAnsi="新宋体" w:eastAsia="新宋体" w:cs="Arial"/>
                <w:sz w:val="24"/>
                <w:szCs w:val="24"/>
              </w:rPr>
            </w:pPr>
            <w:r>
              <w:rPr>
                <w:rFonts w:ascii="新宋体" w:hAnsi="新宋体" w:eastAsia="新宋体" w:cs="Arial"/>
                <w:sz w:val="24"/>
                <w:szCs w:val="24"/>
              </w:rPr>
              <w:t>整体设计规范、美观：无 DRC 错误；元件与走线疏密程度适中；顶层、底层以及过孔设计合理；有明确板框并进行适当铺铜与接地处理。</w:t>
            </w:r>
          </w:p>
          <w:p w14:paraId="37D51FA7">
            <w:pPr>
              <w:widowControl/>
              <w:numPr>
                <w:ilvl w:val="0"/>
                <w:numId w:val="3"/>
              </w:numPr>
              <w:spacing w:line="480" w:lineRule="auto"/>
              <w:jc w:val="left"/>
              <w:rPr>
                <w:rFonts w:ascii="新宋体" w:hAnsi="新宋体" w:eastAsia="新宋体" w:cs="Arial"/>
                <w:sz w:val="24"/>
                <w:szCs w:val="24"/>
              </w:rPr>
            </w:pPr>
            <w:r>
              <w:rPr>
                <w:rFonts w:ascii="新宋体" w:hAnsi="新宋体" w:eastAsia="新宋体" w:cs="Arial"/>
                <w:sz w:val="24"/>
                <w:szCs w:val="24"/>
              </w:rPr>
              <w:t>各接口（如电源、天线、扬声器、按键/显示等）在丝印层上标注清晰，便于识别与接线。</w:t>
            </w:r>
          </w:p>
          <w:p w14:paraId="76239CD2">
            <w:pPr>
              <w:widowControl/>
              <w:spacing w:line="480" w:lineRule="auto"/>
              <w:jc w:val="left"/>
              <w:rPr>
                <w:rFonts w:ascii="新宋体" w:hAnsi="新宋体" w:eastAsia="新宋体" w:cs="Arial"/>
                <w:sz w:val="24"/>
                <w:szCs w:val="24"/>
              </w:rPr>
            </w:pPr>
          </w:p>
        </w:tc>
      </w:tr>
      <w:tr w14:paraId="18437EA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1654" w:type="dxa"/>
            <w:vAlign w:val="center"/>
          </w:tcPr>
          <w:p w14:paraId="03362A17">
            <w:pPr>
              <w:widowControl/>
              <w:spacing w:line="480" w:lineRule="auto"/>
              <w:jc w:val="center"/>
              <w:rPr>
                <w:rFonts w:ascii="新宋体" w:hAnsi="新宋体" w:eastAsia="新宋体" w:cs="Times New Roman"/>
                <w:b/>
                <w:kern w:val="0"/>
                <w:sz w:val="24"/>
                <w:szCs w:val="24"/>
              </w:rPr>
            </w:pPr>
            <w:r>
              <w:rPr>
                <w:rFonts w:hint="eastAsia" w:ascii="新宋体" w:hAnsi="新宋体" w:eastAsia="新宋体" w:cs="Times New Roman"/>
                <w:b/>
                <w:kern w:val="0"/>
                <w:sz w:val="24"/>
                <w:szCs w:val="24"/>
              </w:rPr>
              <w:t>实践时间</w:t>
            </w:r>
          </w:p>
        </w:tc>
        <w:tc>
          <w:tcPr>
            <w:tcW w:w="4962" w:type="dxa"/>
            <w:gridSpan w:val="4"/>
            <w:vAlign w:val="center"/>
          </w:tcPr>
          <w:p w14:paraId="4FF977F1">
            <w:pPr>
              <w:widowControl/>
              <w:spacing w:line="480" w:lineRule="auto"/>
              <w:jc w:val="center"/>
              <w:rPr>
                <w:rFonts w:ascii="新宋体" w:hAnsi="新宋体" w:eastAsia="新宋体" w:cs="Times New Roman"/>
                <w:b/>
                <w:kern w:val="0"/>
                <w:sz w:val="24"/>
                <w:szCs w:val="24"/>
              </w:rPr>
            </w:pPr>
            <w:r>
              <w:rPr>
                <w:rFonts w:hint="eastAsia" w:ascii="新宋体" w:hAnsi="新宋体" w:eastAsia="新宋体" w:cs="宋体"/>
                <w:b/>
                <w:kern w:val="0"/>
                <w:sz w:val="24"/>
                <w:szCs w:val="24"/>
              </w:rPr>
              <w:t>从11月10日至11月</w:t>
            </w:r>
            <w:r>
              <w:rPr>
                <w:rFonts w:ascii="新宋体" w:hAnsi="新宋体" w:eastAsia="新宋体" w:cs="宋体"/>
                <w:b/>
                <w:kern w:val="0"/>
                <w:sz w:val="24"/>
                <w:szCs w:val="24"/>
              </w:rPr>
              <w:t xml:space="preserve"> </w:t>
            </w:r>
            <w:r>
              <w:rPr>
                <w:rFonts w:hint="eastAsia" w:ascii="新宋体" w:hAnsi="新宋体" w:eastAsia="新宋体" w:cs="宋体"/>
                <w:b/>
                <w:kern w:val="0"/>
                <w:sz w:val="24"/>
                <w:szCs w:val="24"/>
              </w:rPr>
              <w:t>30日，小计：20天</w:t>
            </w:r>
          </w:p>
        </w:tc>
        <w:tc>
          <w:tcPr>
            <w:tcW w:w="1354" w:type="dxa"/>
            <w:gridSpan w:val="2"/>
            <w:vAlign w:val="center"/>
          </w:tcPr>
          <w:p w14:paraId="307B2C40">
            <w:pPr>
              <w:widowControl/>
              <w:spacing w:line="480" w:lineRule="auto"/>
              <w:jc w:val="center"/>
              <w:rPr>
                <w:rFonts w:ascii="新宋体" w:hAnsi="新宋体" w:eastAsia="新宋体" w:cs="Times New Roman"/>
                <w:b/>
                <w:kern w:val="0"/>
                <w:sz w:val="24"/>
                <w:szCs w:val="24"/>
              </w:rPr>
            </w:pPr>
            <w:r>
              <w:rPr>
                <w:rFonts w:hint="eastAsia" w:ascii="新宋体" w:hAnsi="新宋体" w:eastAsia="新宋体" w:cs="Times New Roman"/>
                <w:b/>
                <w:kern w:val="0"/>
                <w:sz w:val="24"/>
                <w:szCs w:val="24"/>
              </w:rPr>
              <w:t>实践地点</w:t>
            </w:r>
          </w:p>
        </w:tc>
        <w:tc>
          <w:tcPr>
            <w:tcW w:w="1971" w:type="dxa"/>
            <w:vAlign w:val="center"/>
          </w:tcPr>
          <w:p w14:paraId="005D599D">
            <w:pPr>
              <w:widowControl/>
              <w:spacing w:line="480" w:lineRule="auto"/>
              <w:jc w:val="center"/>
              <w:rPr>
                <w:rFonts w:ascii="新宋体" w:hAnsi="新宋体" w:eastAsia="新宋体" w:cs="Times New Roman"/>
                <w:kern w:val="0"/>
                <w:sz w:val="24"/>
                <w:szCs w:val="24"/>
              </w:rPr>
            </w:pPr>
            <w:r>
              <w:rPr>
                <w:rFonts w:hint="eastAsia" w:ascii="新宋体" w:hAnsi="新宋体" w:eastAsia="新宋体" w:cs="Times New Roman"/>
                <w:kern w:val="0"/>
                <w:sz w:val="24"/>
                <w:szCs w:val="24"/>
              </w:rPr>
              <w:t>综合实验楼319</w:t>
            </w:r>
          </w:p>
        </w:tc>
      </w:tr>
    </w:tbl>
    <w:p w14:paraId="705EA35C">
      <w:pPr>
        <w:widowControl/>
        <w:spacing w:line="480" w:lineRule="auto"/>
        <w:jc w:val="left"/>
        <w:rPr>
          <w:rFonts w:ascii="宋体" w:hAnsi="宋体" w:eastAsia="宋体" w:cs="宋体"/>
          <w:kern w:val="0"/>
          <w:sz w:val="24"/>
          <w:szCs w:val="24"/>
        </w:rPr>
        <w:sectPr>
          <w:footerReference r:id="rId11" w:type="default"/>
          <w:type w:val="continuous"/>
          <w:pgSz w:w="11906" w:h="16838"/>
          <w:pgMar w:top="172" w:right="1134" w:bottom="1418" w:left="1701" w:header="570" w:footer="992" w:gutter="0"/>
          <w:pgNumType w:start="1"/>
          <w:cols w:space="720" w:num="1"/>
          <w:docGrid w:type="lines" w:linePitch="312" w:charSpace="0"/>
        </w:sectPr>
      </w:pPr>
    </w:p>
    <w:bookmarkEnd w:id="0"/>
    <w:p w14:paraId="18363D41">
      <w:pPr>
        <w:spacing w:line="360" w:lineRule="auto"/>
        <w:ind w:firstLine="480" w:firstLineChars="200"/>
        <w:jc w:val="left"/>
        <w:rPr>
          <w:sz w:val="24"/>
          <w:szCs w:val="24"/>
        </w:rPr>
      </w:pPr>
      <w:r>
        <w:rPr>
          <w:sz w:val="24"/>
          <w:szCs w:val="24"/>
        </w:rPr>
        <w:t>收音机的FM频率范围通常在8</w:t>
      </w:r>
      <w:r>
        <w:rPr>
          <w:rFonts w:hint="eastAsia"/>
          <w:sz w:val="24"/>
          <w:szCs w:val="24"/>
        </w:rPr>
        <w:t>7</w:t>
      </w:r>
      <w:r>
        <w:rPr>
          <w:sz w:val="24"/>
          <w:szCs w:val="24"/>
        </w:rPr>
        <w:t>MHz至108MHz之间。这个范围被划分为多个频道，每个频道的宽度为200kHz，覆盖不同的地理区域，以确保信号能够覆盖到目标听众。常见的FM电台频率包括88.1MHz（主打音乐）、92.5MHz（新闻和时事）、98.7MHz（娱乐节目）等。</w:t>
      </w:r>
    </w:p>
    <w:p w14:paraId="1BE76A54">
      <w:pPr>
        <w:spacing w:line="360" w:lineRule="auto"/>
        <w:ind w:firstLine="480" w:firstLineChars="200"/>
        <w:jc w:val="center"/>
        <w:rPr>
          <w:sz w:val="24"/>
          <w:szCs w:val="24"/>
        </w:rPr>
      </w:pPr>
      <w:r>
        <w:rPr>
          <w:rFonts w:hint="eastAsia"/>
          <w:sz w:val="24"/>
          <w:szCs w:val="24"/>
        </w:rPr>
        <w:drawing>
          <wp:inline distT="0" distB="0" distL="0" distR="0">
            <wp:extent cx="4511040" cy="5676900"/>
            <wp:effectExtent l="0" t="0" r="3810" b="0"/>
            <wp:docPr id="1739688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88079" name="图片 1"/>
                    <pic:cNvPicPr>
                      <a:picLocks noChangeAspect="1"/>
                    </pic:cNvPicPr>
                  </pic:nvPicPr>
                  <pic:blipFill>
                    <a:blip r:embed="rId14" cstate="print">
                      <a:extLst>
                        <a:ext uri="{28A0092B-C50C-407E-A947-70E740481C1C}">
                          <a14:useLocalDpi xmlns:a14="http://schemas.microsoft.com/office/drawing/2010/main" val="0"/>
                        </a:ext>
                      </a:extLst>
                    </a:blip>
                    <a:srcRect l="3901" t="7366" r="10571" b="11926"/>
                    <a:stretch>
                      <a:fillRect/>
                    </a:stretch>
                  </pic:blipFill>
                  <pic:spPr>
                    <a:xfrm>
                      <a:off x="0" y="0"/>
                      <a:ext cx="4511040" cy="5676900"/>
                    </a:xfrm>
                    <a:prstGeom prst="rect">
                      <a:avLst/>
                    </a:prstGeom>
                    <a:ln>
                      <a:noFill/>
                    </a:ln>
                  </pic:spPr>
                </pic:pic>
              </a:graphicData>
            </a:graphic>
          </wp:inline>
        </w:drawing>
      </w:r>
    </w:p>
    <w:p w14:paraId="153E7415">
      <w:pPr>
        <w:spacing w:line="360" w:lineRule="auto"/>
        <w:ind w:firstLine="480" w:firstLineChars="200"/>
        <w:jc w:val="center"/>
        <w:rPr>
          <w:sz w:val="24"/>
          <w:szCs w:val="24"/>
        </w:rPr>
      </w:pPr>
      <w:r>
        <w:rPr>
          <w:rFonts w:hint="eastAsia"/>
          <w:sz w:val="24"/>
          <w:szCs w:val="24"/>
        </w:rPr>
        <w:t>实物图</w:t>
      </w:r>
    </w:p>
    <w:p w14:paraId="00CD2659">
      <w:pPr>
        <w:widowControl/>
        <w:jc w:val="left"/>
        <w:rPr>
          <w:sz w:val="24"/>
          <w:szCs w:val="24"/>
        </w:rPr>
      </w:pPr>
      <w:r>
        <w:rPr>
          <w:sz w:val="24"/>
          <w:szCs w:val="24"/>
        </w:rPr>
        <w:br w:type="page"/>
      </w:r>
    </w:p>
    <w:p w14:paraId="7B7D6AE1">
      <w:pPr>
        <w:pStyle w:val="2"/>
      </w:pPr>
      <w:r>
        <w:t>系统总体方案</w:t>
      </w:r>
    </w:p>
    <w:p w14:paraId="3AE947DD">
      <w:pPr>
        <w:spacing w:line="360" w:lineRule="auto"/>
        <w:ind w:firstLine="480" w:firstLineChars="200"/>
        <w:jc w:val="left"/>
        <w:rPr>
          <w:sz w:val="24"/>
          <w:szCs w:val="24"/>
        </w:rPr>
      </w:pPr>
      <w:r>
        <w:rPr>
          <w:sz w:val="24"/>
          <w:szCs w:val="24"/>
        </w:rPr>
        <w:t>本</w:t>
      </w:r>
      <w:r>
        <w:rPr>
          <w:rFonts w:hint="eastAsia"/>
          <w:sz w:val="24"/>
          <w:szCs w:val="24"/>
        </w:rPr>
        <w:t>课设</w:t>
      </w:r>
      <w:r>
        <w:rPr>
          <w:sz w:val="24"/>
          <w:szCs w:val="24"/>
        </w:rPr>
        <w:t>实现一台能够在 87～108 MHz 范围内接收多路调频广播、支持预设频率切换和 0～15 级音量调节的收音机系统。综合课程要求、器件条件和调试难度，本设计采用集成 FM 接收模块</w:t>
      </w:r>
      <w:r>
        <w:rPr>
          <w:rFonts w:hint="eastAsia"/>
          <w:sz w:val="24"/>
          <w:szCs w:val="24"/>
        </w:rPr>
        <w:t>，</w:t>
      </w:r>
      <w:r>
        <w:rPr>
          <w:sz w:val="24"/>
          <w:szCs w:val="24"/>
        </w:rPr>
        <w:t>单片机数字控制</w:t>
      </w:r>
      <w:r>
        <w:rPr>
          <w:rFonts w:hint="eastAsia"/>
          <w:sz w:val="24"/>
          <w:szCs w:val="24"/>
        </w:rPr>
        <w:t>，</w:t>
      </w:r>
      <w:r>
        <w:rPr>
          <w:sz w:val="24"/>
          <w:szCs w:val="24"/>
        </w:rPr>
        <w:t>模拟音频功放的总体方案，从硬件和软件两方面共同完成系统功能。</w:t>
      </w:r>
    </w:p>
    <w:p w14:paraId="2053A7CC">
      <w:pPr>
        <w:pStyle w:val="3"/>
      </w:pPr>
      <w:r>
        <w:t>设计目标与功能需求概述</w:t>
      </w:r>
    </w:p>
    <w:p w14:paraId="3EC2AB63">
      <w:pPr>
        <w:spacing w:line="360" w:lineRule="auto"/>
        <w:jc w:val="left"/>
        <w:rPr>
          <w:sz w:val="24"/>
          <w:szCs w:val="24"/>
        </w:rPr>
      </w:pPr>
      <w:r>
        <w:rPr>
          <w:sz w:val="24"/>
          <w:szCs w:val="24"/>
        </w:rPr>
        <w:t>（1）在 87～108 MHz 调频频段内稳定接收本地区多个电台，重点支持 95.5、93.8、91.8、90.5、89.3、105.0、101.7 MHz 七个常用频点的快速切换；（2）实现 0～15 共 16 级音量调节，满足从静音到较大音量的连续控制；（3）通过按键完成频率加/减和音量加/减的</w:t>
      </w:r>
      <w:r>
        <w:rPr>
          <w:rFonts w:hint="eastAsia"/>
          <w:sz w:val="24"/>
          <w:szCs w:val="24"/>
        </w:rPr>
        <w:t>数码管显示</w:t>
      </w:r>
      <w:r>
        <w:rPr>
          <w:sz w:val="24"/>
          <w:szCs w:val="24"/>
        </w:rPr>
        <w:t>，操作简单直观；</w:t>
      </w:r>
    </w:p>
    <w:p w14:paraId="4DAA98C7">
      <w:pPr>
        <w:spacing w:line="360" w:lineRule="auto"/>
        <w:jc w:val="left"/>
        <w:rPr>
          <w:sz w:val="24"/>
          <w:szCs w:val="24"/>
        </w:rPr>
      </w:pPr>
      <w:r>
        <w:rPr>
          <w:sz w:val="24"/>
          <w:szCs w:val="24"/>
        </w:rPr>
        <w:t>（4）具备数码管频率显示、电源指示等基本界面，便于观察当前工作状态；</w:t>
      </w:r>
    </w:p>
    <w:p w14:paraId="4458F30F">
      <w:pPr>
        <w:spacing w:line="360" w:lineRule="auto"/>
        <w:jc w:val="left"/>
        <w:rPr>
          <w:sz w:val="24"/>
          <w:szCs w:val="24"/>
        </w:rPr>
      </w:pPr>
      <w:r>
        <w:rPr>
          <w:sz w:val="24"/>
          <w:szCs w:val="24"/>
        </w:rPr>
        <w:t>（5）整机工作稳定、噪声较小，能够连续运行且无明显自激和异常复位现象。</w:t>
      </w:r>
    </w:p>
    <w:p w14:paraId="237157E6">
      <w:pPr>
        <w:pStyle w:val="3"/>
      </w:pPr>
      <w:r>
        <w:t>系统总体结构与信号流程</w:t>
      </w:r>
    </w:p>
    <w:p w14:paraId="4E45D70A">
      <w:pPr>
        <w:spacing w:line="360" w:lineRule="auto"/>
        <w:ind w:firstLine="480" w:firstLineChars="200"/>
        <w:jc w:val="left"/>
        <w:rPr>
          <w:sz w:val="24"/>
          <w:szCs w:val="24"/>
        </w:rPr>
      </w:pPr>
      <w:r>
        <w:rPr>
          <w:sz w:val="24"/>
          <w:szCs w:val="24"/>
        </w:rPr>
        <w:t>从功能上看，系统可以划分为电源模块、FM 接收模块、单片机控制与显示模块、音频功放模块以及按键人机交互模块五大部分，各模块之间的连接关系如下：</w:t>
      </w:r>
    </w:p>
    <w:p w14:paraId="68577538">
      <w:pPr>
        <w:spacing w:line="360" w:lineRule="auto"/>
        <w:ind w:firstLine="480" w:firstLineChars="200"/>
        <w:jc w:val="left"/>
        <w:rPr>
          <w:sz w:val="24"/>
          <w:szCs w:val="24"/>
        </w:rPr>
      </w:pPr>
      <w:r>
        <w:rPr>
          <w:sz w:val="24"/>
          <w:szCs w:val="24"/>
        </w:rPr>
        <w:t>电源模块负责将 USB 5V 转换为稳定的 3.3V 直流电压，为 FM 接收模块、单片机及部分外围电路供电，同时为音频功放提供适当的工作电源；</w:t>
      </w:r>
    </w:p>
    <w:p w14:paraId="7E38D655">
      <w:pPr>
        <w:spacing w:line="360" w:lineRule="auto"/>
        <w:ind w:firstLine="480" w:firstLineChars="200"/>
        <w:jc w:val="left"/>
        <w:rPr>
          <w:sz w:val="24"/>
          <w:szCs w:val="24"/>
        </w:rPr>
      </w:pPr>
      <w:r>
        <w:rPr>
          <w:sz w:val="24"/>
          <w:szCs w:val="24"/>
        </w:rPr>
        <w:t>FM 接收模块以天线为输入，完成调频信号的选频、放大与解调，输出低频音频信号；</w:t>
      </w:r>
    </w:p>
    <w:p w14:paraId="658377C8">
      <w:pPr>
        <w:spacing w:line="360" w:lineRule="auto"/>
        <w:ind w:firstLine="480" w:firstLineChars="200"/>
        <w:jc w:val="left"/>
        <w:rPr>
          <w:sz w:val="24"/>
          <w:szCs w:val="24"/>
        </w:rPr>
      </w:pPr>
      <w:r>
        <w:rPr>
          <w:sz w:val="24"/>
          <w:szCs w:val="24"/>
        </w:rPr>
        <w:t>单片机控制与显示模块通过 I²C 总线对 FM 接收芯片进行频率和音量配置，并驱动数码管显示当前频率等信息；</w:t>
      </w:r>
    </w:p>
    <w:p w14:paraId="7F972C10">
      <w:pPr>
        <w:spacing w:line="360" w:lineRule="auto"/>
        <w:ind w:firstLine="480" w:firstLineChars="200"/>
        <w:jc w:val="left"/>
        <w:rPr>
          <w:sz w:val="24"/>
          <w:szCs w:val="24"/>
        </w:rPr>
      </w:pPr>
      <w:r>
        <w:rPr>
          <w:sz w:val="24"/>
          <w:szCs w:val="24"/>
        </w:rPr>
        <w:t>音频功放模块对 FM 接收模块输出的音频信号进行功率放大，驱动扬声器发声；</w:t>
      </w:r>
    </w:p>
    <w:p w14:paraId="65825E0B">
      <w:pPr>
        <w:spacing w:line="360" w:lineRule="auto"/>
        <w:ind w:firstLine="480" w:firstLineChars="200"/>
        <w:jc w:val="left"/>
        <w:rPr>
          <w:sz w:val="24"/>
          <w:szCs w:val="24"/>
        </w:rPr>
      </w:pPr>
      <w:r>
        <w:rPr>
          <w:sz w:val="24"/>
          <w:szCs w:val="24"/>
        </w:rPr>
        <w:t>按键模块将用户的按键动作转换为电平信号，经单片机的按键扫描程序识别后，映射为频率切换和音量调节命令，驱动 FM 接收模块工作状态的改变。</w:t>
      </w:r>
    </w:p>
    <w:p w14:paraId="555EAC21">
      <w:pPr>
        <w:spacing w:line="360" w:lineRule="auto"/>
        <w:ind w:firstLine="480" w:firstLineChars="200"/>
        <w:jc w:val="left"/>
        <w:rPr>
          <w:sz w:val="24"/>
          <w:szCs w:val="24"/>
        </w:rPr>
      </w:pPr>
      <w:r>
        <w:rPr>
          <w:sz w:val="24"/>
          <w:szCs w:val="24"/>
        </w:rPr>
        <w:t>整体信号流程为：天线接收 → FM 模块高频处理与解调 → 音频信号 → 功放放大 → 扬声器输出；控制流程为：按键输入 → 单片机判断 → I²C 配置 RDA5807 → 更新频率和音量寄存器 → 声音输出变化，并同步更新显示。</w:t>
      </w:r>
    </w:p>
    <w:p w14:paraId="5C9E4138">
      <w:pPr>
        <w:spacing w:line="360" w:lineRule="auto"/>
        <w:jc w:val="left"/>
        <w:rPr>
          <w:sz w:val="24"/>
          <w:szCs w:val="24"/>
        </w:rPr>
      </w:pPr>
    </w:p>
    <w:p w14:paraId="2BFE498D">
      <w:pPr>
        <w:pStyle w:val="3"/>
      </w:pPr>
      <w:r>
        <w:t>硬件总体方案设计</w:t>
      </w:r>
    </w:p>
    <w:p w14:paraId="13DF9275">
      <w:pPr>
        <w:pStyle w:val="31"/>
        <w:numPr>
          <w:ilvl w:val="0"/>
          <w:numId w:val="4"/>
        </w:numPr>
        <w:spacing w:line="360" w:lineRule="auto"/>
        <w:jc w:val="left"/>
        <w:rPr>
          <w:sz w:val="24"/>
          <w:szCs w:val="24"/>
        </w:rPr>
      </w:pPr>
      <w:r>
        <w:rPr>
          <w:sz w:val="24"/>
          <w:szCs w:val="24"/>
        </w:rPr>
        <w:t>电源模块</w:t>
      </w:r>
    </w:p>
    <w:p w14:paraId="55587EB6">
      <w:pPr>
        <w:spacing w:line="360" w:lineRule="auto"/>
        <w:jc w:val="left"/>
        <w:rPr>
          <w:sz w:val="24"/>
          <w:szCs w:val="24"/>
        </w:rPr>
      </w:pPr>
      <w:r>
        <w:rPr>
          <w:sz w:val="24"/>
          <w:szCs w:val="24"/>
        </w:rPr>
        <w:t>系统以常见的 USB 5V 作为输入电源，通过 AMS1117-3.3 线性稳压芯片产生 3.3V 为 RDA5807 模块、单片机以及数码管等数字/模拟低压电路供电，稳压前后配合滤波电容及退耦电容抑制纹波和高频干扰，保证 FM 接收和单片机工作的稳定性。音频功放部分根据功率需求选择合适的供电方式，在保证输出能力的前提下尽量减少对前级电路的干扰。</w:t>
      </w:r>
    </w:p>
    <w:p w14:paraId="6D08757C">
      <w:pPr>
        <w:pStyle w:val="31"/>
        <w:numPr>
          <w:ilvl w:val="0"/>
          <w:numId w:val="5"/>
        </w:numPr>
        <w:spacing w:line="360" w:lineRule="auto"/>
        <w:jc w:val="left"/>
        <w:rPr>
          <w:sz w:val="24"/>
          <w:szCs w:val="24"/>
        </w:rPr>
      </w:pPr>
      <w:r>
        <w:rPr>
          <w:sz w:val="24"/>
          <w:szCs w:val="24"/>
        </w:rPr>
        <w:t>FM 接收模块</w:t>
      </w:r>
    </w:p>
    <w:p w14:paraId="3F01F9D0">
      <w:pPr>
        <w:spacing w:line="360" w:lineRule="auto"/>
        <w:jc w:val="left"/>
        <w:rPr>
          <w:sz w:val="24"/>
          <w:szCs w:val="24"/>
        </w:rPr>
      </w:pPr>
      <w:r>
        <w:rPr>
          <w:sz w:val="24"/>
          <w:szCs w:val="24"/>
        </w:rPr>
        <w:t>射频接收部分采用集成 RDA5807 芯片的 FM 收音模块，其内部集成了低噪声放大、混频、中频滤波、解调等电路，只需少量外围元件即可完成频率合成与信号处理。单片机通过 I²C 接口向 RDA5807 写入频率、音量等寄存器值，从而控制七个预设电台的切换和音量等级。这样既简化了高频电路设计，又提高了接收性能和可靠性。</w:t>
      </w:r>
    </w:p>
    <w:p w14:paraId="77DEE3D5">
      <w:pPr>
        <w:pStyle w:val="31"/>
        <w:numPr>
          <w:ilvl w:val="0"/>
          <w:numId w:val="5"/>
        </w:numPr>
        <w:spacing w:line="360" w:lineRule="auto"/>
        <w:jc w:val="left"/>
        <w:rPr>
          <w:sz w:val="24"/>
          <w:szCs w:val="24"/>
        </w:rPr>
      </w:pPr>
      <w:r>
        <w:rPr>
          <w:sz w:val="24"/>
          <w:szCs w:val="24"/>
        </w:rPr>
        <w:t>单片机控制与显示模块</w:t>
      </w:r>
    </w:p>
    <w:p w14:paraId="49D97767">
      <w:pPr>
        <w:spacing w:line="360" w:lineRule="auto"/>
        <w:jc w:val="left"/>
        <w:rPr>
          <w:sz w:val="24"/>
          <w:szCs w:val="24"/>
        </w:rPr>
      </w:pPr>
      <w:r>
        <w:rPr>
          <w:sz w:val="24"/>
          <w:szCs w:val="24"/>
        </w:rPr>
        <w:t>控制核心选用 STC8 系列单片机，利用其丰富的 I/O 资源和片上外围接口实现以下功能：</w:t>
      </w:r>
    </w:p>
    <w:p w14:paraId="36C69844">
      <w:pPr>
        <w:spacing w:line="360" w:lineRule="auto"/>
        <w:ind w:firstLine="480" w:firstLineChars="200"/>
        <w:jc w:val="left"/>
        <w:rPr>
          <w:sz w:val="24"/>
          <w:szCs w:val="24"/>
        </w:rPr>
      </w:pPr>
      <w:r>
        <w:rPr>
          <w:sz w:val="24"/>
          <w:szCs w:val="24"/>
        </w:rPr>
        <w:t>通过 I²C 总线与 RDA5807 通信，完成初始化、频率设置和音量控制；</w:t>
      </w:r>
    </w:p>
    <w:p w14:paraId="7BCC271D">
      <w:pPr>
        <w:spacing w:line="360" w:lineRule="auto"/>
        <w:ind w:firstLine="480" w:firstLineChars="200"/>
        <w:jc w:val="left"/>
        <w:rPr>
          <w:sz w:val="24"/>
          <w:szCs w:val="24"/>
        </w:rPr>
      </w:pPr>
      <w:r>
        <w:rPr>
          <w:sz w:val="24"/>
          <w:szCs w:val="24"/>
        </w:rPr>
        <w:t>对 P3 口的 4 个按键进行轮询扫描和软件消抖，识别频率加/减和音量加/减指令；</w:t>
      </w:r>
    </w:p>
    <w:p w14:paraId="62058F80">
      <w:pPr>
        <w:spacing w:line="360" w:lineRule="auto"/>
        <w:ind w:firstLine="480" w:firstLineChars="200"/>
        <w:jc w:val="left"/>
        <w:rPr>
          <w:sz w:val="24"/>
          <w:szCs w:val="24"/>
        </w:rPr>
      </w:pPr>
      <w:r>
        <w:rPr>
          <w:sz w:val="24"/>
          <w:szCs w:val="24"/>
        </w:rPr>
        <w:t>驱动多位数码管进行动态扫描显示，将当前频率等信息以数字形式呈现，便于用户查看。</w:t>
      </w:r>
    </w:p>
    <w:p w14:paraId="0A5F0708">
      <w:pPr>
        <w:spacing w:line="360" w:lineRule="auto"/>
        <w:ind w:firstLine="480" w:firstLineChars="200"/>
        <w:jc w:val="left"/>
        <w:rPr>
          <w:sz w:val="24"/>
          <w:szCs w:val="24"/>
        </w:rPr>
      </w:pPr>
      <w:r>
        <w:rPr>
          <w:sz w:val="24"/>
          <w:szCs w:val="24"/>
        </w:rPr>
        <w:t>单片机在系统中起到“中枢”的作用，将用户操作、FM 芯片控制和显示刷新统一调度。</w:t>
      </w:r>
    </w:p>
    <w:p w14:paraId="4111598A">
      <w:pPr>
        <w:pStyle w:val="31"/>
        <w:numPr>
          <w:ilvl w:val="0"/>
          <w:numId w:val="5"/>
        </w:numPr>
        <w:spacing w:line="360" w:lineRule="auto"/>
        <w:jc w:val="left"/>
        <w:rPr>
          <w:sz w:val="24"/>
          <w:szCs w:val="24"/>
        </w:rPr>
      </w:pPr>
      <w:r>
        <w:rPr>
          <w:sz w:val="24"/>
          <w:szCs w:val="24"/>
        </w:rPr>
        <w:t>音频功放模块</w:t>
      </w:r>
    </w:p>
    <w:p w14:paraId="7A9D7619">
      <w:pPr>
        <w:spacing w:line="360" w:lineRule="auto"/>
        <w:jc w:val="left"/>
        <w:rPr>
          <w:sz w:val="24"/>
          <w:szCs w:val="24"/>
        </w:rPr>
      </w:pPr>
      <w:r>
        <w:rPr>
          <w:sz w:val="24"/>
          <w:szCs w:val="24"/>
        </w:rPr>
        <w:t>音频功放部分选用 TDA2822D 双声道功率放大芯片，将 RDA5807 模块输出的低电平音频信号放大后驱动左右声道扬声器。功放电路通过输入耦合、电源去耦和合适的反馈与负载配置，在保证输出功率的同时尽量减小失真和噪声，为听感提供硬件基础。</w:t>
      </w:r>
    </w:p>
    <w:p w14:paraId="774D9B1B">
      <w:pPr>
        <w:pStyle w:val="31"/>
        <w:numPr>
          <w:ilvl w:val="0"/>
          <w:numId w:val="5"/>
        </w:numPr>
        <w:spacing w:line="360" w:lineRule="auto"/>
        <w:jc w:val="left"/>
        <w:rPr>
          <w:sz w:val="24"/>
          <w:szCs w:val="24"/>
        </w:rPr>
      </w:pPr>
      <w:r>
        <w:rPr>
          <w:sz w:val="24"/>
          <w:szCs w:val="24"/>
        </w:rPr>
        <w:t>按键人机交互模块</w:t>
      </w:r>
    </w:p>
    <w:p w14:paraId="05C8A621">
      <w:pPr>
        <w:spacing w:line="360" w:lineRule="auto"/>
        <w:jc w:val="left"/>
        <w:rPr>
          <w:sz w:val="24"/>
          <w:szCs w:val="24"/>
        </w:rPr>
      </w:pPr>
      <w:r>
        <w:rPr>
          <w:sz w:val="24"/>
          <w:szCs w:val="24"/>
        </w:rPr>
        <w:t>按键模块由 4 个按键及限流电阻构成，与单片机 P32、P33、P34、P35 等引脚相连。通过软件约定四个按键分别对应音量加、音量减、频率加、频率减功能，用户只需简单按键操作即可在七个预设电台间切换，并在 0～15 级音量范围内调整音量，实现友好的交互体验。</w:t>
      </w:r>
    </w:p>
    <w:p w14:paraId="55951F1B">
      <w:pPr>
        <w:spacing w:line="360" w:lineRule="auto"/>
        <w:jc w:val="left"/>
        <w:rPr>
          <w:sz w:val="24"/>
          <w:szCs w:val="24"/>
        </w:rPr>
      </w:pPr>
    </w:p>
    <w:p w14:paraId="7D99FC01">
      <w:pPr>
        <w:pStyle w:val="3"/>
      </w:pPr>
      <w:r>
        <w:t>软件总体方案设计</w:t>
      </w:r>
    </w:p>
    <w:p w14:paraId="17659F29">
      <w:pPr>
        <w:spacing w:line="360" w:lineRule="auto"/>
        <w:ind w:firstLine="480" w:firstLineChars="200"/>
        <w:jc w:val="left"/>
        <w:rPr>
          <w:sz w:val="24"/>
          <w:szCs w:val="24"/>
        </w:rPr>
      </w:pPr>
      <w:r>
        <w:rPr>
          <w:sz w:val="24"/>
          <w:szCs w:val="24"/>
        </w:rPr>
        <w:t>在软件结构上，系统采用主循环</w:t>
      </w:r>
      <w:r>
        <w:rPr>
          <w:rFonts w:hint="eastAsia"/>
          <w:sz w:val="24"/>
          <w:szCs w:val="24"/>
        </w:rPr>
        <w:t>，</w:t>
      </w:r>
      <w:r>
        <w:rPr>
          <w:sz w:val="24"/>
          <w:szCs w:val="24"/>
        </w:rPr>
        <w:t>模块化函数的方式组织程序。初始化阶段完成单片机时钟、I/O 方向、电源指示以及 RDA5807 上电复位与默认频率、音量的配置；随后主程序进入循环，周期性调用按键扫描函数、FM 参数更新函数以及显示刷新函数。</w:t>
      </w:r>
    </w:p>
    <w:p w14:paraId="3097B7D8">
      <w:pPr>
        <w:spacing w:line="360" w:lineRule="auto"/>
        <w:ind w:firstLine="480" w:firstLineChars="200"/>
        <w:jc w:val="left"/>
        <w:rPr>
          <w:sz w:val="24"/>
          <w:szCs w:val="24"/>
        </w:rPr>
      </w:pPr>
      <w:r>
        <w:rPr>
          <w:sz w:val="24"/>
          <w:szCs w:val="24"/>
        </w:rPr>
        <w:t>按键扫描模块负责检测四个按键的状态，并进行简单的延时消抖；当检测到有效按键事件时，调用</w:t>
      </w:r>
      <w:r>
        <w:rPr>
          <w:rFonts w:hint="eastAsia"/>
          <w:sz w:val="24"/>
          <w:szCs w:val="24"/>
        </w:rPr>
        <w:t>按键函数。</w:t>
      </w:r>
    </w:p>
    <w:p w14:paraId="4774AC0A">
      <w:pPr>
        <w:spacing w:line="360" w:lineRule="auto"/>
        <w:ind w:firstLine="480" w:firstLineChars="200"/>
        <w:jc w:val="left"/>
        <w:rPr>
          <w:sz w:val="24"/>
          <w:szCs w:val="24"/>
        </w:rPr>
      </w:pPr>
      <w:r>
        <w:rPr>
          <w:sz w:val="24"/>
          <w:szCs w:val="24"/>
        </w:rPr>
        <w:t>RDA5807 应用层模块内部维护一个预设频率表和一个音量变量，将来自按键模块的操作转换为具体的频率和音量数值，并通过底层驱动函数向 RDA5807 寄存器写入数据；</w:t>
      </w:r>
    </w:p>
    <w:p w14:paraId="61F8DBEA">
      <w:pPr>
        <w:spacing w:line="360" w:lineRule="auto"/>
        <w:ind w:firstLine="480" w:firstLineChars="200"/>
        <w:jc w:val="left"/>
        <w:rPr>
          <w:sz w:val="24"/>
          <w:szCs w:val="24"/>
        </w:rPr>
      </w:pPr>
      <w:r>
        <w:rPr>
          <w:sz w:val="24"/>
          <w:szCs w:val="24"/>
        </w:rPr>
        <w:t>显示模块根据当前工作频率和音量，生成对应数码管显示码，采用动态扫描方式进行刷新，使显示内容与实际工作状态保持一致。</w:t>
      </w:r>
    </w:p>
    <w:p w14:paraId="25268553">
      <w:pPr>
        <w:spacing w:line="360" w:lineRule="auto"/>
        <w:ind w:firstLine="480" w:firstLineChars="200"/>
        <w:jc w:val="left"/>
        <w:rPr>
          <w:sz w:val="24"/>
          <w:szCs w:val="24"/>
        </w:rPr>
      </w:pPr>
      <w:r>
        <w:rPr>
          <w:sz w:val="24"/>
          <w:szCs w:val="24"/>
        </w:rPr>
        <w:t>这种软硬件分层、模块清晰的总体方案，使得系统功能实现过程更加直观，便于调试和后期扩展。</w:t>
      </w:r>
    </w:p>
    <w:p w14:paraId="5206C31F">
      <w:pPr>
        <w:widowControl/>
        <w:jc w:val="left"/>
      </w:pPr>
      <w:r>
        <w:br w:type="page"/>
      </w:r>
    </w:p>
    <w:p w14:paraId="5C74BB51">
      <w:pPr>
        <w:pStyle w:val="2"/>
      </w:pPr>
      <w:r>
        <w:rPr>
          <w:rFonts w:hint="eastAsia"/>
        </w:rPr>
        <w:t>硬件</w:t>
      </w:r>
    </w:p>
    <w:p w14:paraId="502830DB">
      <w:pPr>
        <w:jc w:val="center"/>
      </w:pPr>
      <w:r>
        <w:rPr>
          <w:rFonts w:hint="eastAsia"/>
        </w:rPr>
        <w:drawing>
          <wp:inline distT="0" distB="0" distL="0" distR="0">
            <wp:extent cx="5311140" cy="3239770"/>
            <wp:effectExtent l="0" t="0" r="3810" b="0"/>
            <wp:docPr id="51702300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23000" name="图片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311757" cy="3240000"/>
                    </a:xfrm>
                    <a:prstGeom prst="rect">
                      <a:avLst/>
                    </a:prstGeom>
                    <a:noFill/>
                    <a:ln>
                      <a:noFill/>
                    </a:ln>
                  </pic:spPr>
                </pic:pic>
              </a:graphicData>
            </a:graphic>
          </wp:inline>
        </w:drawing>
      </w:r>
    </w:p>
    <w:p w14:paraId="55CE1B9D">
      <w:pPr>
        <w:jc w:val="center"/>
        <w:rPr>
          <w:sz w:val="24"/>
          <w:szCs w:val="24"/>
        </w:rPr>
      </w:pPr>
      <w:r>
        <w:rPr>
          <w:rFonts w:hint="eastAsia"/>
          <w:sz w:val="24"/>
          <w:szCs w:val="24"/>
        </w:rPr>
        <w:t>PCB正面</w:t>
      </w:r>
    </w:p>
    <w:p w14:paraId="3E857BA3">
      <w:pPr>
        <w:jc w:val="center"/>
      </w:pPr>
      <w:r>
        <w:rPr>
          <w:rFonts w:hint="eastAsia"/>
        </w:rPr>
        <w:drawing>
          <wp:inline distT="0" distB="0" distL="0" distR="0">
            <wp:extent cx="5348605" cy="3239770"/>
            <wp:effectExtent l="0" t="0" r="4445" b="0"/>
            <wp:docPr id="3250056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05668" name="图片 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349123" cy="3240000"/>
                    </a:xfrm>
                    <a:prstGeom prst="rect">
                      <a:avLst/>
                    </a:prstGeom>
                  </pic:spPr>
                </pic:pic>
              </a:graphicData>
            </a:graphic>
          </wp:inline>
        </w:drawing>
      </w:r>
    </w:p>
    <w:p w14:paraId="057083BB">
      <w:pPr>
        <w:jc w:val="center"/>
        <w:rPr>
          <w:sz w:val="24"/>
          <w:szCs w:val="24"/>
        </w:rPr>
      </w:pPr>
      <w:r>
        <w:rPr>
          <w:rFonts w:hint="eastAsia"/>
          <w:sz w:val="24"/>
          <w:szCs w:val="24"/>
        </w:rPr>
        <w:t>PCB反面</w:t>
      </w:r>
    </w:p>
    <w:p w14:paraId="1D2E6DC4">
      <w:pPr>
        <w:jc w:val="center"/>
      </w:pPr>
      <w:r>
        <w:rPr>
          <w:rFonts w:hint="eastAsia"/>
        </w:rPr>
        <w:drawing>
          <wp:inline distT="0" distB="0" distL="0" distR="0">
            <wp:extent cx="5236210" cy="3239770"/>
            <wp:effectExtent l="0" t="0" r="2540" b="0"/>
            <wp:docPr id="819266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66404" name="图片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36708" cy="3240000"/>
                    </a:xfrm>
                    <a:prstGeom prst="rect">
                      <a:avLst/>
                    </a:prstGeom>
                  </pic:spPr>
                </pic:pic>
              </a:graphicData>
            </a:graphic>
          </wp:inline>
        </w:drawing>
      </w:r>
    </w:p>
    <w:p w14:paraId="0260E812">
      <w:pPr>
        <w:jc w:val="center"/>
        <w:rPr>
          <w:sz w:val="24"/>
          <w:szCs w:val="24"/>
        </w:rPr>
      </w:pPr>
      <w:r>
        <w:rPr>
          <w:rFonts w:hint="eastAsia"/>
          <w:sz w:val="24"/>
          <w:szCs w:val="24"/>
        </w:rPr>
        <w:t>PCB 3D图</w:t>
      </w:r>
    </w:p>
    <w:p w14:paraId="0A6F05A1">
      <w:pPr>
        <w:pStyle w:val="3"/>
      </w:pPr>
      <w:r>
        <w:rPr>
          <w:rFonts w:hint="eastAsia"/>
        </w:rPr>
        <w:t xml:space="preserve">电源 </w:t>
      </w:r>
    </w:p>
    <w:p w14:paraId="128DD49B">
      <w:pPr>
        <w:jc w:val="center"/>
        <w:rPr>
          <w:b/>
          <w:bCs/>
        </w:rPr>
      </w:pPr>
      <w:r>
        <w:drawing>
          <wp:inline distT="0" distB="0" distL="0" distR="0">
            <wp:extent cx="5264785" cy="2410460"/>
            <wp:effectExtent l="0" t="0" r="0" b="8890"/>
            <wp:docPr id="563738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38179"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264785" cy="2410460"/>
                    </a:xfrm>
                    <a:prstGeom prst="rect">
                      <a:avLst/>
                    </a:prstGeom>
                    <a:noFill/>
                    <a:ln>
                      <a:noFill/>
                    </a:ln>
                  </pic:spPr>
                </pic:pic>
              </a:graphicData>
            </a:graphic>
          </wp:inline>
        </w:drawing>
      </w:r>
    </w:p>
    <w:p w14:paraId="622B32F7">
      <w:pPr>
        <w:spacing w:line="360" w:lineRule="auto"/>
        <w:ind w:firstLine="480" w:firstLineChars="200"/>
        <w:jc w:val="left"/>
        <w:rPr>
          <w:sz w:val="24"/>
          <w:szCs w:val="24"/>
        </w:rPr>
      </w:pPr>
      <w:r>
        <w:rPr>
          <w:sz w:val="24"/>
          <w:szCs w:val="24"/>
        </w:rPr>
        <w:t>采用 USB 接口作为主要供电方式。USB 端口通常提供 5V 直流电压（VCC），通过板载电源开关实现对整机电源的接通与断开，既便于用户操作，也便于在调试、测量时独立控制电源。</w:t>
      </w:r>
    </w:p>
    <w:p w14:paraId="2E4F131C">
      <w:pPr>
        <w:spacing w:line="360" w:lineRule="auto"/>
        <w:ind w:firstLine="480" w:firstLineChars="200"/>
        <w:jc w:val="left"/>
        <w:rPr>
          <w:sz w:val="24"/>
          <w:szCs w:val="24"/>
        </w:rPr>
      </w:pPr>
      <w:r>
        <w:rPr>
          <w:sz w:val="24"/>
          <w:szCs w:val="24"/>
        </w:rPr>
        <w:t>为便于观察电源工作状态，电路中设计了一只指示 LED 串联限流电阻接在电源线上。当 USB 供电正常且开关接通时，LED 点亮，直观地表明电源电压已建立且系统处于上电状态；当电源异常或开关断开时，LED 熄灭，便于快速判断故障是否来自供电部分。</w:t>
      </w:r>
    </w:p>
    <w:p w14:paraId="381B744B">
      <w:pPr>
        <w:pStyle w:val="4"/>
      </w:pPr>
      <w:r>
        <w:t>稳压与滤波设计</w:t>
      </w:r>
    </w:p>
    <w:p w14:paraId="3539A80E">
      <w:pPr>
        <w:spacing w:line="360" w:lineRule="auto"/>
        <w:ind w:firstLine="480" w:firstLineChars="200"/>
        <w:jc w:val="left"/>
        <w:rPr>
          <w:sz w:val="24"/>
          <w:szCs w:val="24"/>
        </w:rPr>
      </w:pPr>
      <w:r>
        <w:rPr>
          <w:sz w:val="24"/>
          <w:szCs w:val="24"/>
        </w:rPr>
        <w:t>由于系统中的 RDA5807 等芯片工作在 3.3V 供电电压下，而 USB 提供的是 5V，因此在电源部分选用 AMS1117-3.3 线性稳压芯片，将 5V 输入稳定降为 3.3V，为射频和音频相关电路提供稳定的低压电源。线性稳压器结构简单、噪声较小，特别适合本类对噪声敏感的射频应用。</w:t>
      </w:r>
    </w:p>
    <w:p w14:paraId="564E9B31">
      <w:pPr>
        <w:spacing w:line="360" w:lineRule="auto"/>
        <w:ind w:firstLine="480" w:firstLineChars="200"/>
        <w:jc w:val="left"/>
        <w:rPr>
          <w:sz w:val="24"/>
          <w:szCs w:val="24"/>
        </w:rPr>
      </w:pPr>
    </w:p>
    <w:p w14:paraId="7FF0E079">
      <w:pPr>
        <w:spacing w:line="360" w:lineRule="auto"/>
        <w:ind w:firstLine="480" w:firstLineChars="200"/>
        <w:jc w:val="left"/>
        <w:rPr>
          <w:sz w:val="24"/>
          <w:szCs w:val="24"/>
        </w:rPr>
      </w:pPr>
      <w:r>
        <w:rPr>
          <w:sz w:val="24"/>
          <w:szCs w:val="24"/>
        </w:rPr>
        <w:t>在 AMS1117 的输入与输出端分别布置了去耦及滤波电容，以进一步提升电源质量：</w:t>
      </w:r>
    </w:p>
    <w:p w14:paraId="5F06554A">
      <w:pPr>
        <w:pStyle w:val="31"/>
        <w:numPr>
          <w:ilvl w:val="0"/>
          <w:numId w:val="6"/>
        </w:numPr>
        <w:spacing w:line="360" w:lineRule="auto"/>
        <w:jc w:val="left"/>
        <w:rPr>
          <w:sz w:val="24"/>
          <w:szCs w:val="24"/>
        </w:rPr>
      </w:pPr>
      <w:r>
        <w:rPr>
          <w:sz w:val="24"/>
          <w:szCs w:val="24"/>
        </w:rPr>
        <w:t>C1、C2（100nF）：</w:t>
      </w:r>
    </w:p>
    <w:p w14:paraId="56E0756C">
      <w:pPr>
        <w:spacing w:line="360" w:lineRule="auto"/>
        <w:ind w:firstLine="480" w:firstLineChars="200"/>
        <w:jc w:val="left"/>
        <w:rPr>
          <w:sz w:val="24"/>
          <w:szCs w:val="24"/>
        </w:rPr>
      </w:pPr>
      <w:r>
        <w:rPr>
          <w:sz w:val="24"/>
          <w:szCs w:val="24"/>
        </w:rPr>
        <w:t>小容量旁路电容主要用于抑制高频噪声。输入端的 100nF 电容可以滤除 USB 电源线上叠加的高频干扰，避免其直接进入稳压芯片；输出端的 100nF 电容则用来吸收稳压芯片本身在调节过程中产生的高频纹波，使 3.3V 电压更加平滑、干净。</w:t>
      </w:r>
    </w:p>
    <w:p w14:paraId="12DC556A">
      <w:pPr>
        <w:pStyle w:val="31"/>
        <w:numPr>
          <w:ilvl w:val="0"/>
          <w:numId w:val="7"/>
        </w:numPr>
        <w:spacing w:line="360" w:lineRule="auto"/>
        <w:jc w:val="left"/>
        <w:rPr>
          <w:sz w:val="24"/>
          <w:szCs w:val="24"/>
        </w:rPr>
      </w:pPr>
      <w:r>
        <w:rPr>
          <w:sz w:val="24"/>
          <w:szCs w:val="24"/>
        </w:rPr>
        <w:t>C3（100µF）：</w:t>
      </w:r>
    </w:p>
    <w:p w14:paraId="7C0586A0">
      <w:pPr>
        <w:spacing w:line="360" w:lineRule="auto"/>
        <w:ind w:firstLine="480" w:firstLineChars="200"/>
        <w:jc w:val="left"/>
        <w:rPr>
          <w:sz w:val="24"/>
          <w:szCs w:val="24"/>
        </w:rPr>
      </w:pPr>
      <w:r>
        <w:rPr>
          <w:sz w:val="24"/>
          <w:szCs w:val="24"/>
        </w:rPr>
        <w:t>大容量电解电容主要用于低频纹波与负载突变时的电压稳定。其并联在 3.3V 电源线上，相当于一个能量缓冲，当负载电流瞬间增加时，可由电容瞬时释放电荷，减小输出电压下跌；负载电流减小时又能吸收多余电荷，减小电压上冲，从而保持供电电压的相对稳定。</w:t>
      </w:r>
    </w:p>
    <w:p w14:paraId="2A63A6AF">
      <w:pPr>
        <w:spacing w:line="360" w:lineRule="auto"/>
        <w:ind w:firstLine="480" w:firstLineChars="200"/>
        <w:jc w:val="left"/>
        <w:rPr>
          <w:sz w:val="24"/>
          <w:szCs w:val="24"/>
        </w:rPr>
      </w:pPr>
      <w:r>
        <w:rPr>
          <w:sz w:val="24"/>
          <w:szCs w:val="24"/>
        </w:rPr>
        <w:t>通过 AMS1117 以及 C1、C2、C3 共同作用，可有效削弱电源中的纹波和高频噪声，为后级的高频接收电路和音频放大电路提供一个低噪声、低纹波的电源环境。需要强调的是，电源部分本身并不产生高频信号，但如果电源噪声控制不好，会直接反映到高频与音频电路中，表现为接收不稳定或底噪增大。</w:t>
      </w:r>
    </w:p>
    <w:p w14:paraId="74A1E294">
      <w:pPr>
        <w:pStyle w:val="4"/>
      </w:pPr>
      <w:r>
        <w:t>电源噪声及其对 RDA5807 的影响</w:t>
      </w:r>
    </w:p>
    <w:p w14:paraId="3C19A3F0">
      <w:pPr>
        <w:spacing w:line="360" w:lineRule="auto"/>
        <w:ind w:firstLine="480" w:firstLineChars="200"/>
        <w:jc w:val="left"/>
        <w:rPr>
          <w:sz w:val="24"/>
          <w:szCs w:val="24"/>
        </w:rPr>
      </w:pPr>
      <w:r>
        <w:rPr>
          <w:sz w:val="24"/>
          <w:szCs w:val="24"/>
        </w:rPr>
        <w:t>RDA5807 等 FM 接收芯片对电源品质较为敏感，尤其是对供电纹波和瞬态电压变化较为敏感。如果电源纹波过大或瞬态噪声严重，可能会造成以下问题：</w:t>
      </w:r>
    </w:p>
    <w:p w14:paraId="3EB30D92">
      <w:pPr>
        <w:pStyle w:val="31"/>
        <w:numPr>
          <w:ilvl w:val="0"/>
          <w:numId w:val="7"/>
        </w:numPr>
        <w:spacing w:line="360" w:lineRule="auto"/>
        <w:jc w:val="left"/>
        <w:rPr>
          <w:sz w:val="24"/>
          <w:szCs w:val="24"/>
        </w:rPr>
      </w:pPr>
      <w:r>
        <w:rPr>
          <w:sz w:val="24"/>
          <w:szCs w:val="24"/>
        </w:rPr>
        <w:t>接收灵敏度下降、噪声底升高；</w:t>
      </w:r>
    </w:p>
    <w:p w14:paraId="761C7CA4">
      <w:pPr>
        <w:pStyle w:val="31"/>
        <w:numPr>
          <w:ilvl w:val="0"/>
          <w:numId w:val="7"/>
        </w:numPr>
        <w:spacing w:line="360" w:lineRule="auto"/>
        <w:jc w:val="left"/>
        <w:rPr>
          <w:sz w:val="24"/>
          <w:szCs w:val="24"/>
        </w:rPr>
      </w:pPr>
      <w:r>
        <w:rPr>
          <w:sz w:val="24"/>
          <w:szCs w:val="24"/>
        </w:rPr>
        <w:t>解调信号中引入哼声或杂音，影响音质；</w:t>
      </w:r>
    </w:p>
    <w:p w14:paraId="3DE6A148">
      <w:pPr>
        <w:pStyle w:val="31"/>
        <w:numPr>
          <w:ilvl w:val="0"/>
          <w:numId w:val="7"/>
        </w:numPr>
        <w:spacing w:line="360" w:lineRule="auto"/>
        <w:jc w:val="left"/>
        <w:rPr>
          <w:sz w:val="24"/>
          <w:szCs w:val="24"/>
        </w:rPr>
      </w:pPr>
      <w:r>
        <w:rPr>
          <w:sz w:val="24"/>
          <w:szCs w:val="24"/>
        </w:rPr>
        <w:t>严重时可能导致芯片工作异常、死机或自动复位。</w:t>
      </w:r>
    </w:p>
    <w:p w14:paraId="0B373731">
      <w:pPr>
        <w:spacing w:line="360" w:lineRule="auto"/>
        <w:ind w:firstLine="480" w:firstLineChars="200"/>
        <w:jc w:val="left"/>
        <w:rPr>
          <w:sz w:val="24"/>
          <w:szCs w:val="24"/>
        </w:rPr>
      </w:pPr>
    </w:p>
    <w:p w14:paraId="53C60AD1">
      <w:pPr>
        <w:spacing w:line="360" w:lineRule="auto"/>
        <w:ind w:firstLine="480" w:firstLineChars="200"/>
        <w:jc w:val="left"/>
        <w:rPr>
          <w:sz w:val="24"/>
          <w:szCs w:val="24"/>
        </w:rPr>
      </w:pPr>
      <w:r>
        <w:rPr>
          <w:sz w:val="24"/>
          <w:szCs w:val="24"/>
        </w:rPr>
        <w:t>电源噪声主要包括两类：</w:t>
      </w:r>
    </w:p>
    <w:p w14:paraId="06A76F26">
      <w:pPr>
        <w:pStyle w:val="31"/>
        <w:numPr>
          <w:ilvl w:val="0"/>
          <w:numId w:val="8"/>
        </w:numPr>
        <w:spacing w:line="360" w:lineRule="auto"/>
        <w:jc w:val="left"/>
        <w:rPr>
          <w:sz w:val="24"/>
          <w:szCs w:val="24"/>
        </w:rPr>
      </w:pPr>
      <w:r>
        <w:rPr>
          <w:sz w:val="24"/>
          <w:szCs w:val="24"/>
        </w:rPr>
        <w:t>纹波（Ripple）</w:t>
      </w:r>
    </w:p>
    <w:p w14:paraId="6F99CE96">
      <w:pPr>
        <w:spacing w:line="360" w:lineRule="auto"/>
        <w:ind w:firstLine="480" w:firstLineChars="200"/>
        <w:jc w:val="left"/>
        <w:rPr>
          <w:sz w:val="24"/>
          <w:szCs w:val="24"/>
        </w:rPr>
      </w:pPr>
      <w:r>
        <w:rPr>
          <w:sz w:val="24"/>
          <w:szCs w:val="24"/>
        </w:rPr>
        <w:t>纹波是电源输出中不可避免的交流分量，通常来源于 USB 供电本身的纹波以及稳压器工作时的调节过程。通过选用合适的稳压芯片、在输入输出端布置足够的去耦电容，可显著降低纹波幅度，使其控制在较低水平。</w:t>
      </w:r>
    </w:p>
    <w:p w14:paraId="74603CB2">
      <w:pPr>
        <w:pStyle w:val="31"/>
        <w:numPr>
          <w:ilvl w:val="0"/>
          <w:numId w:val="9"/>
        </w:numPr>
        <w:spacing w:line="360" w:lineRule="auto"/>
        <w:jc w:val="left"/>
        <w:rPr>
          <w:sz w:val="24"/>
          <w:szCs w:val="24"/>
        </w:rPr>
      </w:pPr>
      <w:r>
        <w:rPr>
          <w:sz w:val="24"/>
          <w:szCs w:val="24"/>
        </w:rPr>
        <w:t>瞬态变化（Transient）</w:t>
      </w:r>
    </w:p>
    <w:p w14:paraId="7A974873">
      <w:pPr>
        <w:spacing w:line="360" w:lineRule="auto"/>
        <w:ind w:firstLine="480" w:firstLineChars="200"/>
        <w:jc w:val="left"/>
        <w:rPr>
          <w:sz w:val="24"/>
          <w:szCs w:val="24"/>
        </w:rPr>
      </w:pPr>
      <w:r>
        <w:rPr>
          <w:sz w:val="24"/>
          <w:szCs w:val="24"/>
        </w:rPr>
        <w:t>当负载电流突然变化（例如芯片内部模式切换、音频输出功率变化）时，会在电源线上产生瞬态电压波动。如果瞬态响应不好，电压会短时间跌落或上冲，从而干扰射频和音频电路。通过在电源路径上增加电解电容、优化 AMS1117 的外围电容配置，必要时配合 LC 滤波网络，可以有效改善瞬态响应，减小瞬态噪声。</w:t>
      </w:r>
    </w:p>
    <w:p w14:paraId="5A519C06">
      <w:pPr>
        <w:spacing w:line="360" w:lineRule="auto"/>
        <w:ind w:firstLine="480" w:firstLineChars="200"/>
        <w:jc w:val="left"/>
        <w:rPr>
          <w:sz w:val="24"/>
          <w:szCs w:val="24"/>
        </w:rPr>
      </w:pPr>
      <w:r>
        <w:rPr>
          <w:sz w:val="24"/>
          <w:szCs w:val="24"/>
        </w:rPr>
        <w:t>在本设计中，通过前述稳压与滤波措施，尽量将 RDA5807 的供电噪声控制在较低水平，从而保证 FM 接收的音质和工作稳定性。</w:t>
      </w:r>
    </w:p>
    <w:p w14:paraId="64BE4549">
      <w:pPr>
        <w:pStyle w:val="4"/>
      </w:pPr>
      <w:r>
        <w:t>PCB 布局与接地设计</w:t>
      </w:r>
    </w:p>
    <w:p w14:paraId="21BF40F7">
      <w:pPr>
        <w:spacing w:line="360" w:lineRule="auto"/>
        <w:ind w:firstLine="480" w:firstLineChars="200"/>
        <w:jc w:val="left"/>
        <w:rPr>
          <w:sz w:val="24"/>
          <w:szCs w:val="24"/>
        </w:rPr>
      </w:pPr>
      <w:r>
        <w:rPr>
          <w:sz w:val="24"/>
          <w:szCs w:val="24"/>
        </w:rPr>
        <w:t>电源电路在 PCB 布局上也需要配合设计，才能真正发挥以上器件的效果。主要原则如下：</w:t>
      </w:r>
    </w:p>
    <w:p w14:paraId="412C037F">
      <w:pPr>
        <w:pStyle w:val="31"/>
        <w:numPr>
          <w:ilvl w:val="0"/>
          <w:numId w:val="10"/>
        </w:numPr>
        <w:spacing w:line="360" w:lineRule="auto"/>
        <w:jc w:val="left"/>
        <w:rPr>
          <w:sz w:val="24"/>
          <w:szCs w:val="24"/>
        </w:rPr>
      </w:pPr>
      <w:r>
        <w:rPr>
          <w:sz w:val="24"/>
          <w:szCs w:val="24"/>
        </w:rPr>
        <w:t>走线要求</w:t>
      </w:r>
    </w:p>
    <w:p w14:paraId="508EE8B7">
      <w:pPr>
        <w:spacing w:line="360" w:lineRule="auto"/>
        <w:ind w:firstLine="480" w:firstLineChars="200"/>
        <w:jc w:val="left"/>
        <w:rPr>
          <w:sz w:val="24"/>
          <w:szCs w:val="24"/>
        </w:rPr>
      </w:pPr>
      <w:r>
        <w:rPr>
          <w:sz w:val="24"/>
          <w:szCs w:val="24"/>
        </w:rPr>
        <w:t>电源线尽量宽而短，减小线路电阻和压降，降低寄生电感；</w:t>
      </w:r>
    </w:p>
    <w:p w14:paraId="15829C8F">
      <w:pPr>
        <w:spacing w:line="360" w:lineRule="auto"/>
        <w:ind w:firstLine="480" w:firstLineChars="200"/>
        <w:jc w:val="left"/>
        <w:rPr>
          <w:sz w:val="24"/>
          <w:szCs w:val="24"/>
        </w:rPr>
      </w:pPr>
      <w:r>
        <w:rPr>
          <w:sz w:val="24"/>
          <w:szCs w:val="24"/>
        </w:rPr>
        <w:t>电源线应尽量远离高频信号线，避免两者平行长距离走线，减少电源噪声对高频通道的串扰；</w:t>
      </w:r>
    </w:p>
    <w:p w14:paraId="4EBCD8E3">
      <w:pPr>
        <w:spacing w:line="360" w:lineRule="auto"/>
        <w:ind w:firstLine="480" w:firstLineChars="200"/>
        <w:jc w:val="left"/>
        <w:rPr>
          <w:sz w:val="24"/>
          <w:szCs w:val="24"/>
        </w:rPr>
      </w:pPr>
      <w:r>
        <w:rPr>
          <w:sz w:val="24"/>
          <w:szCs w:val="24"/>
        </w:rPr>
        <w:t>尽量避免电源线与敏感信号线交叉，如不可避免，应在垂直方向短距离交叉。</w:t>
      </w:r>
    </w:p>
    <w:p w14:paraId="3DD96C7C">
      <w:pPr>
        <w:pStyle w:val="31"/>
        <w:numPr>
          <w:ilvl w:val="0"/>
          <w:numId w:val="10"/>
        </w:numPr>
        <w:spacing w:line="360" w:lineRule="auto"/>
        <w:jc w:val="left"/>
        <w:rPr>
          <w:sz w:val="24"/>
          <w:szCs w:val="24"/>
        </w:rPr>
      </w:pPr>
      <w:r>
        <w:rPr>
          <w:sz w:val="24"/>
          <w:szCs w:val="24"/>
        </w:rPr>
        <w:t>去耦电容的放置</w:t>
      </w:r>
    </w:p>
    <w:p w14:paraId="592399BA">
      <w:pPr>
        <w:spacing w:line="360" w:lineRule="auto"/>
        <w:ind w:firstLine="480" w:firstLineChars="200"/>
        <w:jc w:val="left"/>
        <w:rPr>
          <w:sz w:val="24"/>
          <w:szCs w:val="24"/>
        </w:rPr>
      </w:pPr>
      <w:r>
        <w:rPr>
          <w:sz w:val="24"/>
          <w:szCs w:val="24"/>
        </w:rPr>
        <w:t>C1、C2 等小容量去耦电容必须紧靠 AMS1117 的输入/输出引脚放置，中间尽量少过孔，以减小寄生电感，确保高频噪声就地被吸收；</w:t>
      </w:r>
    </w:p>
    <w:p w14:paraId="45CD55C1">
      <w:pPr>
        <w:spacing w:line="360" w:lineRule="auto"/>
        <w:ind w:firstLine="480" w:firstLineChars="200"/>
        <w:jc w:val="left"/>
        <w:rPr>
          <w:sz w:val="24"/>
          <w:szCs w:val="24"/>
        </w:rPr>
      </w:pPr>
      <w:r>
        <w:rPr>
          <w:sz w:val="24"/>
          <w:szCs w:val="24"/>
        </w:rPr>
        <w:t>C3 等大容量电解电容则尽量靠近 3.3V 电源主干线或关键负载的电源引脚布置，为整个电源网络提供稳定缓冲。</w:t>
      </w:r>
    </w:p>
    <w:p w14:paraId="715F9724">
      <w:pPr>
        <w:pStyle w:val="31"/>
        <w:numPr>
          <w:ilvl w:val="0"/>
          <w:numId w:val="10"/>
        </w:numPr>
        <w:spacing w:line="360" w:lineRule="auto"/>
        <w:jc w:val="left"/>
        <w:rPr>
          <w:sz w:val="24"/>
          <w:szCs w:val="24"/>
        </w:rPr>
      </w:pPr>
      <w:r>
        <w:rPr>
          <w:sz w:val="24"/>
          <w:szCs w:val="24"/>
        </w:rPr>
        <w:t>USB 入口与地平面</w:t>
      </w:r>
    </w:p>
    <w:p w14:paraId="7B362B99">
      <w:pPr>
        <w:spacing w:line="360" w:lineRule="auto"/>
        <w:ind w:firstLine="480" w:firstLineChars="200"/>
        <w:jc w:val="left"/>
        <w:rPr>
          <w:sz w:val="24"/>
          <w:szCs w:val="24"/>
        </w:rPr>
      </w:pPr>
      <w:r>
        <w:rPr>
          <w:sz w:val="24"/>
          <w:szCs w:val="24"/>
        </w:rPr>
        <w:t>USB 5V 进入板内后，应在靠近 USB 接口处尽快引入滤波和保护（如必要时增加 TVS 等），并将 5V 主干线尽量短路径引至稳压芯片输入端，减少长线压降和外界干扰耦合；</w:t>
      </w:r>
    </w:p>
    <w:p w14:paraId="7A9345B1">
      <w:pPr>
        <w:spacing w:line="360" w:lineRule="auto"/>
        <w:ind w:firstLine="480" w:firstLineChars="200"/>
        <w:jc w:val="left"/>
        <w:rPr>
          <w:sz w:val="24"/>
          <w:szCs w:val="24"/>
        </w:rPr>
      </w:pPr>
      <w:r>
        <w:rPr>
          <w:sz w:val="24"/>
          <w:szCs w:val="24"/>
        </w:rPr>
        <w:t>整板建议采用大面积地平面铺铜，以降低地线阻抗。电源回流电流主要通过地平面返回，可大大减小地线上电压波动，避免电源噪声通过地线耦合到信号部分；</w:t>
      </w:r>
    </w:p>
    <w:p w14:paraId="3E6547C7">
      <w:pPr>
        <w:pStyle w:val="3"/>
      </w:pPr>
      <w:r>
        <w:rPr>
          <w:rFonts w:hint="eastAsia"/>
        </w:rPr>
        <w:t>数码管</w:t>
      </w:r>
    </w:p>
    <w:p w14:paraId="2FBE909C">
      <w:pPr>
        <w:spacing w:line="360" w:lineRule="auto"/>
        <w:ind w:firstLine="480" w:firstLineChars="200"/>
        <w:jc w:val="left"/>
        <w:rPr>
          <w:sz w:val="24"/>
          <w:szCs w:val="24"/>
        </w:rPr>
      </w:pPr>
      <w:r>
        <w:rPr>
          <w:sz w:val="24"/>
          <w:szCs w:val="24"/>
        </w:rPr>
        <w:t>采用多位 7 段 LED 数码管作为界面，用于实时显示当前调谐的 FM 频率。通过直观的数字显示，用户可以方便地观察调频结果，并配合按键完成频率的增减和功能切换。</w:t>
      </w:r>
    </w:p>
    <w:p w14:paraId="4DB8E3FE">
      <w:pPr>
        <w:jc w:val="center"/>
        <w:rPr>
          <w:b/>
          <w:bCs/>
        </w:rPr>
      </w:pPr>
      <w:r>
        <w:rPr>
          <w:b/>
          <w:bCs/>
        </w:rPr>
        <w:drawing>
          <wp:inline distT="0" distB="0" distL="0" distR="0">
            <wp:extent cx="5271770" cy="2985770"/>
            <wp:effectExtent l="0" t="0" r="5080" b="5080"/>
            <wp:docPr id="7181649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64968" name="图片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1770" cy="2985770"/>
                    </a:xfrm>
                    <a:prstGeom prst="rect">
                      <a:avLst/>
                    </a:prstGeom>
                    <a:noFill/>
                    <a:ln>
                      <a:noFill/>
                    </a:ln>
                  </pic:spPr>
                </pic:pic>
              </a:graphicData>
            </a:graphic>
          </wp:inline>
        </w:drawing>
      </w:r>
    </w:p>
    <w:p w14:paraId="4C9186A4">
      <w:pPr>
        <w:pStyle w:val="4"/>
      </w:pPr>
      <w:r>
        <w:t>数码管显示原理与连接方式</w:t>
      </w:r>
    </w:p>
    <w:p w14:paraId="20D0B50E">
      <w:pPr>
        <w:spacing w:line="360" w:lineRule="auto"/>
        <w:ind w:firstLine="480" w:firstLineChars="200"/>
        <w:jc w:val="left"/>
        <w:rPr>
          <w:sz w:val="24"/>
          <w:szCs w:val="24"/>
        </w:rPr>
      </w:pPr>
      <w:r>
        <w:rPr>
          <w:sz w:val="24"/>
          <w:szCs w:val="24"/>
        </w:rPr>
        <w:t>所用数码管为典型的 7 段 LED 显示器，每一位包含 7 个笔划段（a、b、c、d、e、f、g）以及一个小数点段（dp）。通过对各段进行不同组合的点亮，可以显示 0–9 的数字以及部分字母（如 A、b、C 等），从而满足频率显示和简单状态提示的需要。</w:t>
      </w:r>
    </w:p>
    <w:p w14:paraId="145E7625">
      <w:pPr>
        <w:spacing w:line="360" w:lineRule="auto"/>
        <w:ind w:firstLine="480" w:firstLineChars="200"/>
        <w:jc w:val="left"/>
        <w:rPr>
          <w:sz w:val="24"/>
          <w:szCs w:val="24"/>
        </w:rPr>
      </w:pPr>
      <w:r>
        <w:rPr>
          <w:sz w:val="24"/>
          <w:szCs w:val="24"/>
        </w:rPr>
        <w:t>在硬件连接上，每个发光段均串联限流电阻后接入单片机的 GPIO 引脚。一方面限流电阻可以限制通过 LED 的电流，避免因过流导致数码管过热或烧毁；另一方面也便于通过选择合适阻值来调节显示亮度，使数码管在不同环境光线下都具有良好的可读性。</w:t>
      </w:r>
    </w:p>
    <w:p w14:paraId="06E7242E">
      <w:pPr>
        <w:spacing w:line="360" w:lineRule="auto"/>
        <w:ind w:firstLine="480" w:firstLineChars="200"/>
        <w:jc w:val="left"/>
        <w:rPr>
          <w:sz w:val="24"/>
          <w:szCs w:val="24"/>
        </w:rPr>
      </w:pPr>
      <w:r>
        <w:rPr>
          <w:sz w:val="24"/>
          <w:szCs w:val="24"/>
        </w:rPr>
        <w:t>系统运行时，单片机按照设定好的编码表，将需要显示的数字或符号转换为 7 段编码，再通过相应的 GPIO 引脚输出高、低电平组合，控制每一段的点亮与熄灭。例如，在显示 FM 频率时，可以配合小数点段 dp 显示形如 “</w:t>
      </w:r>
      <w:r>
        <w:rPr>
          <w:rFonts w:hint="eastAsia"/>
          <w:sz w:val="24"/>
          <w:szCs w:val="24"/>
        </w:rPr>
        <w:t>95.5</w:t>
      </w:r>
      <w:r>
        <w:rPr>
          <w:sz w:val="24"/>
          <w:szCs w:val="24"/>
        </w:rPr>
        <w:t>” 之类的频率值，使读数更加直观。</w:t>
      </w:r>
    </w:p>
    <w:p w14:paraId="07ACAD9E">
      <w:pPr>
        <w:spacing w:line="360" w:lineRule="auto"/>
        <w:ind w:firstLine="480" w:firstLineChars="200"/>
        <w:jc w:val="left"/>
        <w:rPr>
          <w:sz w:val="24"/>
          <w:szCs w:val="24"/>
        </w:rPr>
      </w:pPr>
      <w:r>
        <w:rPr>
          <w:sz w:val="24"/>
          <w:szCs w:val="24"/>
        </w:rPr>
        <w:t>为了减少单片机引脚数量、提高资源利用率，实际应用中通常采用动态扫描方式驱动多位数码管：在任意时刻只点亮其中一位，通过快速轮流切换各位的选通信号，使人眼由于视觉暂留效应看到的是所有数码管同时点亮的稳定显示。这样既降低了单片机的 I/O 占用，又可以在软件中灵活调节扫描频率，从而兼顾亮度与稳定性。</w:t>
      </w:r>
    </w:p>
    <w:p w14:paraId="4789D104">
      <w:pPr>
        <w:pStyle w:val="4"/>
      </w:pPr>
      <w:r>
        <w:t>微控制器 STC8G1K17</w:t>
      </w:r>
    </w:p>
    <w:p w14:paraId="290E8349"/>
    <w:p w14:paraId="7C2F6FA2">
      <w:pPr>
        <w:spacing w:line="360" w:lineRule="auto"/>
        <w:ind w:firstLine="480" w:firstLineChars="200"/>
        <w:jc w:val="left"/>
        <w:rPr>
          <w:sz w:val="24"/>
          <w:szCs w:val="24"/>
        </w:rPr>
      </w:pPr>
      <w:r>
        <w:rPr>
          <w:sz w:val="24"/>
          <w:szCs w:val="24"/>
        </w:rPr>
        <w:t>本设计选用 STC8G1K17 作为核心控制器。该单片机为 8 位 MCU，除负责普通的逻辑控制外，还承担以下几项主要任务：</w:t>
      </w:r>
    </w:p>
    <w:p w14:paraId="546C7555">
      <w:pPr>
        <w:pStyle w:val="31"/>
        <w:numPr>
          <w:ilvl w:val="0"/>
          <w:numId w:val="11"/>
        </w:numPr>
        <w:spacing w:line="360" w:lineRule="auto"/>
        <w:jc w:val="left"/>
        <w:rPr>
          <w:sz w:val="24"/>
          <w:szCs w:val="24"/>
        </w:rPr>
      </w:pPr>
      <w:r>
        <w:rPr>
          <w:sz w:val="24"/>
          <w:szCs w:val="24"/>
        </w:rPr>
        <w:t>数码管显示控制</w:t>
      </w:r>
      <w:r>
        <w:rPr>
          <w:rFonts w:hint="eastAsia"/>
          <w:sz w:val="24"/>
          <w:szCs w:val="24"/>
        </w:rPr>
        <w:t>：</w:t>
      </w:r>
      <w:r>
        <w:rPr>
          <w:sz w:val="24"/>
          <w:szCs w:val="24"/>
        </w:rPr>
        <w:t>单片机通过 GPIO 口输出相应段码与位选信号，生成频率显示所需的数字与符号。显示数据由程序根据当前的调谐结果、步进大小、工作状态等计算得到。</w:t>
      </w:r>
    </w:p>
    <w:p w14:paraId="5FDE0E5A">
      <w:pPr>
        <w:pStyle w:val="31"/>
        <w:numPr>
          <w:ilvl w:val="0"/>
          <w:numId w:val="11"/>
        </w:numPr>
        <w:spacing w:line="360" w:lineRule="auto"/>
        <w:jc w:val="left"/>
        <w:rPr>
          <w:sz w:val="24"/>
          <w:szCs w:val="24"/>
        </w:rPr>
      </w:pPr>
      <w:r>
        <w:rPr>
          <w:sz w:val="24"/>
          <w:szCs w:val="24"/>
        </w:rPr>
        <w:t>按键扫描与人机交互</w:t>
      </w:r>
      <w:r>
        <w:rPr>
          <w:rFonts w:hint="eastAsia"/>
          <w:sz w:val="24"/>
          <w:szCs w:val="24"/>
        </w:rPr>
        <w:t>：</w:t>
      </w:r>
      <w:r>
        <w:rPr>
          <w:sz w:val="24"/>
          <w:szCs w:val="24"/>
        </w:rPr>
        <w:t>板上的 RCK1 以及 W1、W2、W3、W4 等按键通过电路连接到单片机输入引脚。系统通过定时扫描这些按键的电平变化，识别用户操作，例如：调节频率、切换频道、静音/恢复、进入设置模式等。</w:t>
      </w:r>
    </w:p>
    <w:p w14:paraId="270E23AE">
      <w:pPr>
        <w:pStyle w:val="31"/>
        <w:numPr>
          <w:ilvl w:val="0"/>
          <w:numId w:val="11"/>
        </w:numPr>
        <w:spacing w:line="360" w:lineRule="auto"/>
        <w:jc w:val="left"/>
        <w:rPr>
          <w:sz w:val="24"/>
          <w:szCs w:val="24"/>
        </w:rPr>
      </w:pPr>
      <w:r>
        <w:rPr>
          <w:sz w:val="24"/>
          <w:szCs w:val="24"/>
        </w:rPr>
        <w:t>与收音模块的数据通信</w:t>
      </w:r>
      <w:r>
        <w:rPr>
          <w:rFonts w:hint="eastAsia"/>
          <w:sz w:val="24"/>
          <w:szCs w:val="24"/>
        </w:rPr>
        <w:t>：</w:t>
      </w:r>
      <w:r>
        <w:rPr>
          <w:sz w:val="24"/>
          <w:szCs w:val="24"/>
        </w:rPr>
        <w:t>单片机通过 DATA 等信号线与 RDA5807 等调频模块进行数据通信，实现频率设置、音量控制、搜索电台等功能指令的下发与状态信息的读取，从而构成完整的数字调谐控制系统。</w:t>
      </w:r>
    </w:p>
    <w:p w14:paraId="71A86E10">
      <w:pPr>
        <w:pStyle w:val="4"/>
      </w:pPr>
      <w:r>
        <w:t>引脚分配及功能说明</w:t>
      </w:r>
    </w:p>
    <w:p w14:paraId="089514BC">
      <w:pPr>
        <w:spacing w:line="360" w:lineRule="auto"/>
        <w:ind w:firstLine="480" w:firstLineChars="200"/>
        <w:jc w:val="left"/>
        <w:rPr>
          <w:sz w:val="24"/>
          <w:szCs w:val="24"/>
        </w:rPr>
      </w:pPr>
      <w:r>
        <w:rPr>
          <w:sz w:val="24"/>
          <w:szCs w:val="24"/>
        </w:rPr>
        <w:t>在引脚分配方面，设计中将 STC8G1K17 的部分通用 I/O 口专门用于数码管显示的驱动与按键检测：</w:t>
      </w:r>
    </w:p>
    <w:p w14:paraId="4F95186F">
      <w:pPr>
        <w:spacing w:line="360" w:lineRule="auto"/>
        <w:ind w:firstLine="480" w:firstLineChars="200"/>
        <w:jc w:val="left"/>
        <w:rPr>
          <w:sz w:val="24"/>
          <w:szCs w:val="24"/>
        </w:rPr>
      </w:pPr>
      <w:r>
        <w:rPr>
          <w:sz w:val="24"/>
          <w:szCs w:val="24"/>
        </w:rPr>
        <w:t>P30、P31、P32、P33、P34、P35、P36、P37</w:t>
      </w:r>
    </w:p>
    <w:p w14:paraId="17CA3CD2">
      <w:pPr>
        <w:spacing w:line="360" w:lineRule="auto"/>
        <w:ind w:firstLine="480" w:firstLineChars="200"/>
        <w:jc w:val="left"/>
        <w:rPr>
          <w:sz w:val="24"/>
          <w:szCs w:val="24"/>
        </w:rPr>
      </w:pPr>
      <w:r>
        <w:rPr>
          <w:sz w:val="24"/>
          <w:szCs w:val="24"/>
        </w:rPr>
        <w:t>这些引脚与数码管的段线或位选线相连，用于控制各位数码管的显示内容。通过软件定义不同的段码和扫描顺序，可以在有限的引脚资源下完成多位数字与小数点的动态显示。</w:t>
      </w:r>
    </w:p>
    <w:p w14:paraId="2E15F4A9">
      <w:pPr>
        <w:spacing w:line="360" w:lineRule="auto"/>
        <w:ind w:firstLine="480" w:firstLineChars="200"/>
        <w:jc w:val="left"/>
        <w:rPr>
          <w:sz w:val="24"/>
          <w:szCs w:val="24"/>
        </w:rPr>
      </w:pPr>
      <w:r>
        <w:rPr>
          <w:sz w:val="24"/>
          <w:szCs w:val="24"/>
        </w:rPr>
        <w:t>RCK1、W1、W2、W3、W4 按键输入</w:t>
      </w:r>
    </w:p>
    <w:p w14:paraId="448C0FE4">
      <w:pPr>
        <w:spacing w:line="360" w:lineRule="auto"/>
        <w:ind w:firstLine="480" w:firstLineChars="200"/>
        <w:jc w:val="left"/>
        <w:rPr>
          <w:sz w:val="24"/>
          <w:szCs w:val="24"/>
        </w:rPr>
      </w:pPr>
      <w:r>
        <w:rPr>
          <w:sz w:val="24"/>
          <w:szCs w:val="24"/>
        </w:rPr>
        <w:t>上述按键的其中一端接至 VCC，另一端接至单片机引脚或地，通过上拉/下拉方式形成稳定的逻辑电平。用户按下按键时，对应引脚的电平发生变化，单片机通过读取该变化并结合软件消抖算法，即可可靠地识别一次按键事件，实现频率步进、模式切换等操作。</w:t>
      </w:r>
    </w:p>
    <w:p w14:paraId="1119DFE9">
      <w:pPr>
        <w:spacing w:line="360" w:lineRule="auto"/>
        <w:ind w:firstLine="480" w:firstLineChars="200"/>
        <w:jc w:val="left"/>
        <w:rPr>
          <w:sz w:val="24"/>
          <w:szCs w:val="24"/>
        </w:rPr>
      </w:pPr>
      <w:r>
        <w:rPr>
          <w:sz w:val="24"/>
          <w:szCs w:val="24"/>
        </w:rPr>
        <w:t>DATA 等通信引脚</w:t>
      </w:r>
    </w:p>
    <w:p w14:paraId="6594AB03">
      <w:pPr>
        <w:spacing w:line="360" w:lineRule="auto"/>
        <w:ind w:firstLine="480" w:firstLineChars="200"/>
        <w:jc w:val="left"/>
        <w:rPr>
          <w:sz w:val="24"/>
          <w:szCs w:val="24"/>
        </w:rPr>
      </w:pPr>
      <w:r>
        <w:rPr>
          <w:sz w:val="24"/>
          <w:szCs w:val="24"/>
        </w:rPr>
        <w:t>用于与调频接收模块之间的串行数据交互，例如通过 I²C 或类似总线协议完成模块的寄存器配置和状态读回。DATA 引脚承担数据线功能，在不同通信阶段既可以作为输出口发送控制命令，也可以作为输入口读取模块返回的数据。</w:t>
      </w:r>
    </w:p>
    <w:p w14:paraId="383E6831">
      <w:pPr>
        <w:spacing w:line="360" w:lineRule="auto"/>
        <w:ind w:firstLine="480" w:firstLineChars="200"/>
        <w:jc w:val="left"/>
        <w:rPr>
          <w:sz w:val="24"/>
          <w:szCs w:val="24"/>
        </w:rPr>
      </w:pPr>
      <w:r>
        <w:rPr>
          <w:sz w:val="24"/>
          <w:szCs w:val="24"/>
        </w:rPr>
        <w:t>通过上述硬件连接与软件协同，STC8G1K17 不仅可以精确控制数码管显示当前的 FM 频率，还能实时响应用户按键操作，并与 RDA5807 收音模块完成数据交互，从而构建起一个功能完整、界面直观的调频收音机控制系统。</w:t>
      </w:r>
    </w:p>
    <w:p w14:paraId="5EB8194C">
      <w:pPr>
        <w:spacing w:line="360" w:lineRule="auto"/>
        <w:ind w:firstLine="480" w:firstLineChars="200"/>
        <w:jc w:val="left"/>
        <w:rPr>
          <w:sz w:val="24"/>
          <w:szCs w:val="24"/>
        </w:rPr>
      </w:pPr>
    </w:p>
    <w:p w14:paraId="721734D1">
      <w:pPr>
        <w:pStyle w:val="3"/>
      </w:pPr>
      <w:r>
        <w:rPr>
          <w:rFonts w:hint="eastAsia"/>
        </w:rPr>
        <w:t>音频功放</w:t>
      </w:r>
    </w:p>
    <w:p w14:paraId="2621706E">
      <w:pPr>
        <w:spacing w:line="360" w:lineRule="auto"/>
        <w:ind w:firstLine="480" w:firstLineChars="200"/>
        <w:jc w:val="left"/>
        <w:rPr>
          <w:sz w:val="24"/>
          <w:szCs w:val="24"/>
        </w:rPr>
      </w:pPr>
      <w:r>
        <w:rPr>
          <w:sz w:val="24"/>
          <w:szCs w:val="24"/>
        </w:rPr>
        <w:t>本系统采用 TDA2822D 作为音频功放芯片，用于驱动左右声道扬声器，实现调频收音机的音频输出。</w:t>
      </w:r>
    </w:p>
    <w:p w14:paraId="604E646B">
      <w:pPr>
        <w:spacing w:line="360" w:lineRule="auto"/>
        <w:ind w:firstLine="480" w:firstLineChars="200"/>
        <w:jc w:val="left"/>
        <w:rPr>
          <w:sz w:val="24"/>
          <w:szCs w:val="24"/>
        </w:rPr>
      </w:pPr>
    </w:p>
    <w:p w14:paraId="718294E2">
      <w:pPr>
        <w:jc w:val="center"/>
        <w:rPr>
          <w:b/>
          <w:bCs/>
        </w:rPr>
      </w:pPr>
      <w:r>
        <w:rPr>
          <w:b/>
          <w:bCs/>
        </w:rPr>
        <w:drawing>
          <wp:inline distT="0" distB="0" distL="0" distR="0">
            <wp:extent cx="5264785" cy="2507615"/>
            <wp:effectExtent l="0" t="0" r="0" b="6985"/>
            <wp:docPr id="19603798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79803" name="图片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64785" cy="2507615"/>
                    </a:xfrm>
                    <a:prstGeom prst="rect">
                      <a:avLst/>
                    </a:prstGeom>
                    <a:noFill/>
                    <a:ln>
                      <a:noFill/>
                    </a:ln>
                  </pic:spPr>
                </pic:pic>
              </a:graphicData>
            </a:graphic>
          </wp:inline>
        </w:drawing>
      </w:r>
    </w:p>
    <w:p w14:paraId="2AE38090">
      <w:pPr>
        <w:pStyle w:val="4"/>
      </w:pPr>
      <w:r>
        <w:t>TDA2822D 音频功放芯片</w:t>
      </w:r>
    </w:p>
    <w:p w14:paraId="4C886056">
      <w:pPr>
        <w:spacing w:line="360" w:lineRule="auto"/>
        <w:ind w:firstLine="480" w:firstLineChars="200"/>
        <w:jc w:val="left"/>
        <w:rPr>
          <w:sz w:val="24"/>
          <w:szCs w:val="24"/>
        </w:rPr>
      </w:pPr>
      <w:r>
        <w:rPr>
          <w:sz w:val="24"/>
          <w:szCs w:val="24"/>
        </w:rPr>
        <w:t>TDA2822D 是一款常用的低功耗音频功放芯片，适用于小功率的音频放大应用，如便携式音响、收音机等设备。它具有两路输出（立体声），能够驱动低功率扬声器。该芯片具有内置的短路保护、过热保护等功能，能够提供</w:t>
      </w:r>
      <w:r>
        <w:rPr>
          <w:rFonts w:hint="eastAsia"/>
          <w:sz w:val="24"/>
          <w:szCs w:val="24"/>
        </w:rPr>
        <w:t>较低的</w:t>
      </w:r>
      <w:r>
        <w:rPr>
          <w:sz w:val="24"/>
          <w:szCs w:val="24"/>
        </w:rPr>
        <w:t>输出功率（适用于 3.3V 电源）。</w:t>
      </w:r>
    </w:p>
    <w:p w14:paraId="3DDBAEB0">
      <w:pPr>
        <w:spacing w:line="360" w:lineRule="auto"/>
        <w:ind w:firstLine="480" w:firstLineChars="200"/>
        <w:jc w:val="left"/>
        <w:rPr>
          <w:b/>
          <w:bCs/>
          <w:sz w:val="24"/>
          <w:szCs w:val="24"/>
        </w:rPr>
      </w:pPr>
      <w:r>
        <w:rPr>
          <w:b/>
          <w:bCs/>
          <w:sz w:val="24"/>
          <w:szCs w:val="24"/>
        </w:rPr>
        <w:t>引脚功能</w:t>
      </w:r>
    </w:p>
    <w:p w14:paraId="4536A2AB">
      <w:pPr>
        <w:spacing w:line="360" w:lineRule="auto"/>
        <w:ind w:firstLine="480" w:firstLineChars="200"/>
        <w:jc w:val="left"/>
        <w:rPr>
          <w:sz w:val="24"/>
          <w:szCs w:val="24"/>
        </w:rPr>
      </w:pPr>
      <w:r>
        <w:rPr>
          <w:sz w:val="24"/>
          <w:szCs w:val="24"/>
        </w:rPr>
        <w:t>IN+ / IN</w:t>
      </w:r>
      <w:r>
        <w:rPr>
          <w:rFonts w:ascii="Cambria Math" w:hAnsi="Cambria Math" w:cs="Cambria Math"/>
          <w:sz w:val="24"/>
          <w:szCs w:val="24"/>
        </w:rPr>
        <w:t>−</w:t>
      </w:r>
      <w:r>
        <w:rPr>
          <w:sz w:val="24"/>
          <w:szCs w:val="24"/>
        </w:rPr>
        <w:t>（音频输入端）</w:t>
      </w:r>
    </w:p>
    <w:p w14:paraId="00B2BE36">
      <w:pPr>
        <w:spacing w:line="360" w:lineRule="auto"/>
        <w:ind w:firstLine="480" w:firstLineChars="200"/>
        <w:jc w:val="left"/>
        <w:rPr>
          <w:sz w:val="24"/>
          <w:szCs w:val="24"/>
        </w:rPr>
      </w:pPr>
      <w:r>
        <w:rPr>
          <w:sz w:val="24"/>
          <w:szCs w:val="24"/>
        </w:rPr>
        <w:t>作为前级音频信号的输入端，分别对应左右声道的差分输入。前端的调频接收解调电路输出的音频信号经耦合电容与必要的音量/增益调节网络后送入 IN+ / IN</w:t>
      </w:r>
      <w:r>
        <w:rPr>
          <w:rFonts w:ascii="Cambria Math" w:hAnsi="Cambria Math" w:cs="Cambria Math"/>
          <w:sz w:val="24"/>
          <w:szCs w:val="24"/>
        </w:rPr>
        <w:t>−</w:t>
      </w:r>
      <w:r>
        <w:rPr>
          <w:sz w:val="24"/>
          <w:szCs w:val="24"/>
        </w:rPr>
        <w:t>，由 TDA2822D 内部放大。</w:t>
      </w:r>
    </w:p>
    <w:p w14:paraId="38C1FFB7">
      <w:pPr>
        <w:spacing w:line="360" w:lineRule="auto"/>
        <w:ind w:firstLine="480" w:firstLineChars="200"/>
        <w:jc w:val="left"/>
        <w:rPr>
          <w:sz w:val="24"/>
          <w:szCs w:val="24"/>
        </w:rPr>
      </w:pPr>
      <w:r>
        <w:rPr>
          <w:sz w:val="24"/>
          <w:szCs w:val="24"/>
        </w:rPr>
        <w:t>OUT1 / OUT2（音频输出端）</w:t>
      </w:r>
    </w:p>
    <w:p w14:paraId="6437D549">
      <w:pPr>
        <w:spacing w:line="360" w:lineRule="auto"/>
        <w:ind w:firstLine="480" w:firstLineChars="200"/>
        <w:jc w:val="left"/>
        <w:rPr>
          <w:sz w:val="24"/>
          <w:szCs w:val="24"/>
        </w:rPr>
      </w:pPr>
      <w:r>
        <w:rPr>
          <w:sz w:val="24"/>
          <w:szCs w:val="24"/>
        </w:rPr>
        <w:t>为功放输出端，分别对应左、右两个声道的放大后音频信号。OUT1 与 OUT2 通过后级的滤波与耦合网络接至扬声器端子 R-OUT、L-OUT，驱动实际的扬声器负载，实现音频播放。</w:t>
      </w:r>
    </w:p>
    <w:p w14:paraId="04A1EEA7">
      <w:pPr>
        <w:spacing w:line="360" w:lineRule="auto"/>
        <w:ind w:firstLine="480" w:firstLineChars="200"/>
        <w:jc w:val="left"/>
        <w:rPr>
          <w:sz w:val="24"/>
          <w:szCs w:val="24"/>
        </w:rPr>
      </w:pPr>
      <w:r>
        <w:rPr>
          <w:sz w:val="24"/>
          <w:szCs w:val="24"/>
        </w:rPr>
        <w:t>VCC（电源端）</w:t>
      </w:r>
    </w:p>
    <w:p w14:paraId="4CFE5026">
      <w:pPr>
        <w:spacing w:line="360" w:lineRule="auto"/>
        <w:ind w:firstLine="480" w:firstLineChars="200"/>
        <w:jc w:val="left"/>
        <w:rPr>
          <w:sz w:val="24"/>
          <w:szCs w:val="24"/>
        </w:rPr>
      </w:pPr>
      <w:r>
        <w:rPr>
          <w:sz w:val="24"/>
          <w:szCs w:val="24"/>
        </w:rPr>
        <w:t>接系统电源，在本设计中为 3.3V 供电。良好的电源稳定性和低噪声是保证输出音质的前提，因此在 VCC 端附近布置了多级滤波与去耦网络。</w:t>
      </w:r>
    </w:p>
    <w:p w14:paraId="09E2A19E">
      <w:pPr>
        <w:spacing w:line="360" w:lineRule="auto"/>
        <w:ind w:firstLine="480" w:firstLineChars="200"/>
        <w:jc w:val="left"/>
        <w:rPr>
          <w:sz w:val="24"/>
          <w:szCs w:val="24"/>
        </w:rPr>
      </w:pPr>
      <w:r>
        <w:rPr>
          <w:sz w:val="24"/>
          <w:szCs w:val="24"/>
        </w:rPr>
        <w:t>GND（地端）</w:t>
      </w:r>
    </w:p>
    <w:p w14:paraId="6FC9F755">
      <w:pPr>
        <w:spacing w:line="360" w:lineRule="auto"/>
        <w:ind w:firstLine="480" w:firstLineChars="200"/>
        <w:jc w:val="left"/>
        <w:rPr>
          <w:sz w:val="24"/>
          <w:szCs w:val="24"/>
        </w:rPr>
      </w:pPr>
      <w:r>
        <w:rPr>
          <w:sz w:val="24"/>
          <w:szCs w:val="24"/>
        </w:rPr>
        <w:t>作为电路公共参考点，与系统模拟地相连。音频功放对地线的干净程度较为敏感，因此在 PCB 布局时通常将其与数字地做适当隔离，并通过单点连接的方式减少数字噪声的干扰。</w:t>
      </w:r>
    </w:p>
    <w:p w14:paraId="2D4648C4">
      <w:pPr>
        <w:pStyle w:val="4"/>
      </w:pPr>
      <w:r>
        <w:t>扬声器部分</w:t>
      </w:r>
    </w:p>
    <w:p w14:paraId="73B4ED0B">
      <w:pPr>
        <w:spacing w:line="360" w:lineRule="auto"/>
        <w:ind w:firstLine="480" w:firstLineChars="200"/>
        <w:jc w:val="left"/>
        <w:rPr>
          <w:sz w:val="24"/>
          <w:szCs w:val="24"/>
        </w:rPr>
      </w:pPr>
      <w:r>
        <w:rPr>
          <w:sz w:val="24"/>
          <w:szCs w:val="24"/>
        </w:rPr>
        <w:t>功放输出通过 R-OUT 和 L-OUT 两个端子分别接至右声道和左声道扬声器。这样就构成了完整的立体声音频输出通道：</w:t>
      </w:r>
    </w:p>
    <w:p w14:paraId="7EF6B754">
      <w:pPr>
        <w:spacing w:line="360" w:lineRule="auto"/>
        <w:ind w:firstLine="480" w:firstLineChars="200"/>
        <w:jc w:val="left"/>
        <w:rPr>
          <w:sz w:val="24"/>
          <w:szCs w:val="24"/>
        </w:rPr>
      </w:pPr>
      <w:r>
        <w:rPr>
          <w:sz w:val="24"/>
          <w:szCs w:val="24"/>
        </w:rPr>
        <w:t>当右声道 OUT1 输出音频信号时，经相应输出滤波与耦合后驱动 R-OUT 端的扬声器发声；</w:t>
      </w:r>
    </w:p>
    <w:p w14:paraId="59E406ED">
      <w:pPr>
        <w:spacing w:line="360" w:lineRule="auto"/>
        <w:ind w:firstLine="480" w:firstLineChars="200"/>
        <w:jc w:val="left"/>
        <w:rPr>
          <w:sz w:val="24"/>
          <w:szCs w:val="24"/>
        </w:rPr>
      </w:pPr>
      <w:r>
        <w:rPr>
          <w:sz w:val="24"/>
          <w:szCs w:val="24"/>
        </w:rPr>
        <w:t>左声道 OUT2 则以同样方式驱动 L-OUT 端的扬声器。</w:t>
      </w:r>
    </w:p>
    <w:p w14:paraId="18E7A7E2">
      <w:pPr>
        <w:spacing w:line="360" w:lineRule="auto"/>
        <w:ind w:firstLine="480" w:firstLineChars="200"/>
        <w:jc w:val="left"/>
        <w:rPr>
          <w:sz w:val="24"/>
          <w:szCs w:val="24"/>
        </w:rPr>
      </w:pPr>
      <w:r>
        <w:rPr>
          <w:sz w:val="24"/>
          <w:szCs w:val="24"/>
        </w:rPr>
        <w:t>通过前级调频接收模块输出的立体声信号配合双声道功放，可以实现左右声场的空间感与方向感，提升整体收听体验。</w:t>
      </w:r>
    </w:p>
    <w:p w14:paraId="7C3F9DF2">
      <w:pPr>
        <w:pStyle w:val="4"/>
      </w:pPr>
      <w:r>
        <w:t>滤波与去耦电容设计</w:t>
      </w:r>
    </w:p>
    <w:p w14:paraId="2CCD91CF">
      <w:pPr>
        <w:spacing w:line="360" w:lineRule="auto"/>
        <w:ind w:firstLine="480" w:firstLineChars="200"/>
        <w:jc w:val="left"/>
        <w:rPr>
          <w:sz w:val="24"/>
          <w:szCs w:val="24"/>
        </w:rPr>
      </w:pPr>
      <w:r>
        <w:rPr>
          <w:sz w:val="24"/>
          <w:szCs w:val="24"/>
        </w:rPr>
        <w:t>为了保证 TDA2822D 工作的稳定性以及输出音频的纯净度，在电源及输出端布置了多只电容器，用于滤波、去耦和信号耦合。主要元件及作用如下：</w:t>
      </w:r>
    </w:p>
    <w:p w14:paraId="655F8511">
      <w:pPr>
        <w:pStyle w:val="31"/>
        <w:numPr>
          <w:ilvl w:val="0"/>
          <w:numId w:val="12"/>
        </w:numPr>
        <w:spacing w:line="360" w:lineRule="auto"/>
        <w:jc w:val="left"/>
        <w:rPr>
          <w:sz w:val="24"/>
          <w:szCs w:val="24"/>
        </w:rPr>
      </w:pPr>
      <w:r>
        <w:rPr>
          <w:sz w:val="24"/>
          <w:szCs w:val="24"/>
        </w:rPr>
        <w:t>C4（100µF）与 C5（100nF）——电源端滤波与去耦</w:t>
      </w:r>
    </w:p>
    <w:p w14:paraId="3F46673C">
      <w:pPr>
        <w:pStyle w:val="31"/>
        <w:numPr>
          <w:ilvl w:val="0"/>
          <w:numId w:val="13"/>
        </w:numPr>
        <w:spacing w:line="360" w:lineRule="auto"/>
        <w:jc w:val="left"/>
        <w:rPr>
          <w:sz w:val="24"/>
          <w:szCs w:val="24"/>
        </w:rPr>
      </w:pPr>
      <w:r>
        <w:rPr>
          <w:sz w:val="24"/>
          <w:szCs w:val="24"/>
        </w:rPr>
        <w:t>C4（100µF，大容量电解电容）</w:t>
      </w:r>
    </w:p>
    <w:p w14:paraId="1C80D956">
      <w:pPr>
        <w:spacing w:line="360" w:lineRule="auto"/>
        <w:jc w:val="left"/>
        <w:rPr>
          <w:sz w:val="24"/>
          <w:szCs w:val="24"/>
        </w:rPr>
      </w:pPr>
      <w:r>
        <w:rPr>
          <w:sz w:val="24"/>
          <w:szCs w:val="24"/>
        </w:rPr>
        <w:t>并联在 VCC 与 GND 之间，用于对电源进行低频滤波和电压缓冲。当负载电流突然增大时，C4 可以瞬间释放电荷，减小电源电压的下跌；当负载减小时，又能吸收多余电荷，减小电压上冲，从而提高电源的稳定性。</w:t>
      </w:r>
    </w:p>
    <w:p w14:paraId="0FABF271">
      <w:pPr>
        <w:pStyle w:val="31"/>
        <w:numPr>
          <w:ilvl w:val="0"/>
          <w:numId w:val="13"/>
        </w:numPr>
        <w:spacing w:line="360" w:lineRule="auto"/>
        <w:jc w:val="left"/>
        <w:rPr>
          <w:sz w:val="24"/>
          <w:szCs w:val="24"/>
        </w:rPr>
      </w:pPr>
      <w:r>
        <w:rPr>
          <w:sz w:val="24"/>
          <w:szCs w:val="24"/>
        </w:rPr>
        <w:t>C5（100nF，小容量旁路电容）</w:t>
      </w:r>
    </w:p>
    <w:p w14:paraId="161E6AE6">
      <w:pPr>
        <w:spacing w:line="360" w:lineRule="auto"/>
        <w:jc w:val="left"/>
        <w:rPr>
          <w:sz w:val="24"/>
          <w:szCs w:val="24"/>
        </w:rPr>
      </w:pPr>
      <w:r>
        <w:rPr>
          <w:sz w:val="24"/>
          <w:szCs w:val="24"/>
        </w:rPr>
        <w:t>同样并联在 VCC 与 GND 之间，主要抑制电源上的高频噪声与纹波。小容量电容对高频成分呈现低阻抗，可以在本地就地旁路高频干扰电流，避免其进入功放芯片内部，影响音频放大过程。</w:t>
      </w:r>
    </w:p>
    <w:p w14:paraId="474A0FD1">
      <w:pPr>
        <w:spacing w:line="360" w:lineRule="auto"/>
        <w:ind w:firstLine="480" w:firstLineChars="200"/>
        <w:jc w:val="left"/>
        <w:rPr>
          <w:sz w:val="24"/>
          <w:szCs w:val="24"/>
        </w:rPr>
      </w:pPr>
      <w:r>
        <w:rPr>
          <w:sz w:val="24"/>
          <w:szCs w:val="24"/>
        </w:rPr>
        <w:t>C4 与 C5 组合形成宽频带的电源滤波与去耦网络：C4 负责中低频，C5 负责高频，共同保证 TDA2822D 获取一个稳定、干净的 3.3V 供电。</w:t>
      </w:r>
    </w:p>
    <w:p w14:paraId="627F6B8B">
      <w:pPr>
        <w:pStyle w:val="31"/>
        <w:numPr>
          <w:ilvl w:val="0"/>
          <w:numId w:val="12"/>
        </w:numPr>
        <w:spacing w:line="360" w:lineRule="auto"/>
        <w:jc w:val="left"/>
        <w:rPr>
          <w:sz w:val="24"/>
          <w:szCs w:val="24"/>
        </w:rPr>
      </w:pPr>
      <w:r>
        <w:rPr>
          <w:sz w:val="24"/>
          <w:szCs w:val="24"/>
        </w:rPr>
        <w:t>C6（100µF）与 C7（100nF）——输出端滤波与耦合</w:t>
      </w:r>
    </w:p>
    <w:p w14:paraId="0C4077CB">
      <w:pPr>
        <w:pStyle w:val="31"/>
        <w:numPr>
          <w:ilvl w:val="0"/>
          <w:numId w:val="14"/>
        </w:numPr>
        <w:spacing w:line="360" w:lineRule="auto"/>
        <w:jc w:val="left"/>
        <w:rPr>
          <w:sz w:val="24"/>
          <w:szCs w:val="24"/>
        </w:rPr>
      </w:pPr>
      <w:r>
        <w:rPr>
          <w:sz w:val="24"/>
          <w:szCs w:val="24"/>
        </w:rPr>
        <w:t>C6（100µF）</w:t>
      </w:r>
    </w:p>
    <w:p w14:paraId="4D4DA3F7">
      <w:pPr>
        <w:spacing w:line="360" w:lineRule="auto"/>
        <w:jc w:val="left"/>
        <w:rPr>
          <w:sz w:val="24"/>
          <w:szCs w:val="24"/>
        </w:rPr>
      </w:pPr>
      <w:r>
        <w:rPr>
          <w:sz w:val="24"/>
          <w:szCs w:val="24"/>
        </w:rPr>
        <w:t>接在 OUT1 / OUT2 与扬声器之间（或与地之间，具体视电路拓扑而定），通常作为输出耦合和低频滤波元件。一方面阻断直流分量，防止扬声器上存在直流偏置电压，避免扬声器发热或偏置损伤；另一方面通过与负载形成高通或低通网络，改善低频响应和减小因负载突变导致的电压波动。</w:t>
      </w:r>
    </w:p>
    <w:p w14:paraId="1CC8B52F">
      <w:pPr>
        <w:pStyle w:val="31"/>
        <w:numPr>
          <w:ilvl w:val="0"/>
          <w:numId w:val="14"/>
        </w:numPr>
        <w:spacing w:line="360" w:lineRule="auto"/>
        <w:jc w:val="left"/>
        <w:rPr>
          <w:sz w:val="24"/>
          <w:szCs w:val="24"/>
        </w:rPr>
      </w:pPr>
      <w:r>
        <w:rPr>
          <w:sz w:val="24"/>
          <w:szCs w:val="24"/>
        </w:rPr>
        <w:t>C7（100nF）</w:t>
      </w:r>
    </w:p>
    <w:p w14:paraId="369806DC">
      <w:pPr>
        <w:spacing w:line="360" w:lineRule="auto"/>
        <w:jc w:val="left"/>
        <w:rPr>
          <w:sz w:val="24"/>
          <w:szCs w:val="24"/>
        </w:rPr>
      </w:pPr>
      <w:r>
        <w:rPr>
          <w:sz w:val="24"/>
          <w:szCs w:val="24"/>
        </w:rPr>
        <w:t>与 C6 类似位置，用于高频去耦与噪声滤波。由于扬声器及连接线都可能引入寄生电感、电容，高频区域容易产生振铃或尖峰干扰，C7 可以为这些高频分量提供一条低阻抗泄放通路，从而改善波形、减小高频噪声。</w:t>
      </w:r>
    </w:p>
    <w:p w14:paraId="25F9499E">
      <w:pPr>
        <w:spacing w:line="360" w:lineRule="auto"/>
        <w:ind w:firstLine="480" w:firstLineChars="200"/>
        <w:jc w:val="left"/>
        <w:rPr>
          <w:sz w:val="24"/>
          <w:szCs w:val="24"/>
        </w:rPr>
      </w:pPr>
      <w:r>
        <w:rPr>
          <w:sz w:val="24"/>
          <w:szCs w:val="24"/>
        </w:rPr>
        <w:t>C6 与 C7 同样构成一组大容量 + 小容量的互补滤波结构，确保功放输出不仅在低频端稳定，而且在高频端不会产生过多附加噪声。</w:t>
      </w:r>
    </w:p>
    <w:p w14:paraId="5904CB84">
      <w:pPr>
        <w:pStyle w:val="31"/>
        <w:numPr>
          <w:ilvl w:val="0"/>
          <w:numId w:val="12"/>
        </w:numPr>
        <w:spacing w:line="360" w:lineRule="auto"/>
        <w:jc w:val="left"/>
        <w:rPr>
          <w:sz w:val="24"/>
          <w:szCs w:val="24"/>
        </w:rPr>
      </w:pPr>
      <w:r>
        <w:rPr>
          <w:sz w:val="24"/>
          <w:szCs w:val="24"/>
        </w:rPr>
        <w:t>C8（1µF）——信号耦合与进一步滤波</w:t>
      </w:r>
    </w:p>
    <w:p w14:paraId="00983BC9">
      <w:pPr>
        <w:spacing w:line="360" w:lineRule="auto"/>
        <w:ind w:firstLine="480" w:firstLineChars="200"/>
        <w:jc w:val="left"/>
        <w:rPr>
          <w:sz w:val="24"/>
          <w:szCs w:val="24"/>
        </w:rPr>
      </w:pPr>
      <w:r>
        <w:rPr>
          <w:sz w:val="24"/>
          <w:szCs w:val="24"/>
        </w:rPr>
        <w:t>C8（1µF）通常接于音频信号路径中，作为耦合电容或补偿电容使用。一方面可阻断直流偏置，仅允许交流音频信号通过，防止前后级之间的直流相互影响；另一方面通过与周围的电阻网络（如输入电阻、反馈电阻等）共同形成合适的频率响应特性，减小信号在低频或高频端的失真，使音频输出更加平滑自然。</w:t>
      </w:r>
    </w:p>
    <w:p w14:paraId="7B055005">
      <w:pPr>
        <w:pStyle w:val="4"/>
      </w:pPr>
      <w:r>
        <w:rPr>
          <w:rFonts w:hint="eastAsia"/>
        </w:rPr>
        <w:t>电位器调节音量</w:t>
      </w:r>
    </w:p>
    <w:p w14:paraId="1670A8F3">
      <w:pPr>
        <w:spacing w:line="360" w:lineRule="auto"/>
        <w:ind w:firstLine="480" w:firstLineChars="200"/>
        <w:jc w:val="left"/>
        <w:rPr>
          <w:sz w:val="24"/>
          <w:szCs w:val="24"/>
        </w:rPr>
      </w:pPr>
      <w:r>
        <w:rPr>
          <w:sz w:val="24"/>
          <w:szCs w:val="24"/>
        </w:rPr>
        <w:t>电阻 R10 选用 2 kΩ 电位器，其两端分别接在音频输出端与地之间，滑动端与耦合电容 C8 相连，构成一个可调的电阻网络。功放芯片 TDA2822D 放大的音频信号经 C8 去直流后进入 R10 的滑动端，再通过 R10 分配到 L-OUT、R-OUT 端的负载（耳机或外接功放）。</w:t>
      </w:r>
    </w:p>
    <w:p w14:paraId="7B0E37A8">
      <w:pPr>
        <w:spacing w:line="360" w:lineRule="auto"/>
        <w:ind w:firstLine="480" w:firstLineChars="200"/>
        <w:jc w:val="left"/>
        <w:rPr>
          <w:sz w:val="24"/>
          <w:szCs w:val="24"/>
        </w:rPr>
      </w:pPr>
      <w:r>
        <w:rPr>
          <w:sz w:val="24"/>
          <w:szCs w:val="24"/>
        </w:rPr>
        <w:t>当转动电位器时，滑动端在电阻条上的位置改变，上端（连到 L-OUT / R-OUT）的等效电阻随之变化，从而改变加在负载上的有效信号幅度，实现对输出音量的连续调节：滑动端靠近上端时串联电阻很小，衰减最小，音量最大；滑动端向下端（接地）移动时串联电阻增大，送往负载的信号被更多衰减，音量逐渐减小直至接近静音。</w:t>
      </w:r>
    </w:p>
    <w:p w14:paraId="354E528B">
      <w:pPr>
        <w:spacing w:line="360" w:lineRule="auto"/>
        <w:ind w:firstLine="480" w:firstLineChars="200"/>
        <w:jc w:val="left"/>
        <w:rPr>
          <w:sz w:val="24"/>
          <w:szCs w:val="24"/>
        </w:rPr>
      </w:pPr>
      <w:r>
        <w:rPr>
          <w:sz w:val="24"/>
          <w:szCs w:val="24"/>
        </w:rPr>
        <w:t>此外，R10 与 C8 共同形成高通耦合网络，一方面阻断直流分量，保护耳机不受直流偏置影响，另一方面对超低频和上电瞬间的冲击成分起到一定抑制作用，同时在负载短路或阻抗较低时也能起到一定限流和保护功放芯片的作用。</w:t>
      </w:r>
    </w:p>
    <w:p w14:paraId="25F0DA92">
      <w:pPr>
        <w:pStyle w:val="3"/>
        <w:rPr>
          <w:b w:val="0"/>
        </w:rPr>
      </w:pPr>
      <w:r>
        <w:rPr>
          <w:rFonts w:hint="eastAsia"/>
          <w:b w:val="0"/>
        </w:rPr>
        <w:t>按键</w:t>
      </w:r>
    </w:p>
    <w:p w14:paraId="5BB81079">
      <w:pPr>
        <w:jc w:val="center"/>
        <w:rPr>
          <w:b/>
          <w:bCs/>
        </w:rPr>
      </w:pPr>
      <w:r>
        <w:rPr>
          <w:b/>
          <w:bCs/>
        </w:rPr>
        <w:drawing>
          <wp:inline distT="0" distB="0" distL="0" distR="0">
            <wp:extent cx="4057650" cy="2273935"/>
            <wp:effectExtent l="0" t="0" r="0" b="0"/>
            <wp:docPr id="1301214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1411" name="图片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4062466" cy="2276960"/>
                    </a:xfrm>
                    <a:prstGeom prst="rect">
                      <a:avLst/>
                    </a:prstGeom>
                    <a:noFill/>
                    <a:ln>
                      <a:noFill/>
                    </a:ln>
                  </pic:spPr>
                </pic:pic>
              </a:graphicData>
            </a:graphic>
          </wp:inline>
        </w:drawing>
      </w:r>
    </w:p>
    <w:p w14:paraId="08224BDA">
      <w:pPr>
        <w:spacing w:line="360" w:lineRule="auto"/>
        <w:ind w:firstLine="480" w:firstLineChars="200"/>
        <w:jc w:val="left"/>
        <w:rPr>
          <w:sz w:val="24"/>
          <w:szCs w:val="24"/>
        </w:rPr>
      </w:pPr>
      <w:r>
        <w:rPr>
          <w:sz w:val="24"/>
          <w:szCs w:val="24"/>
        </w:rPr>
        <w:t>使用 4 个独立按键实现音量和频率的调节，</w:t>
      </w:r>
      <w:r>
        <w:rPr>
          <w:rFonts w:hint="eastAsia"/>
          <w:sz w:val="24"/>
          <w:szCs w:val="24"/>
        </w:rPr>
        <w:t>分别</w:t>
      </w:r>
      <w:r>
        <w:rPr>
          <w:sz w:val="24"/>
          <w:szCs w:val="24"/>
        </w:rPr>
        <w:t>音量加、音量减、频率减、频率加。按键电路如图所示，每个按键的一端接到公共地 GND，另一端接到相应的控制引脚，并通过串联电阻与单片机端口连接：</w:t>
      </w:r>
    </w:p>
    <w:p w14:paraId="104A0B84">
      <w:pPr>
        <w:spacing w:line="360" w:lineRule="auto"/>
        <w:ind w:firstLine="480" w:firstLineChars="200"/>
        <w:jc w:val="left"/>
        <w:rPr>
          <w:sz w:val="24"/>
          <w:szCs w:val="24"/>
        </w:rPr>
      </w:pPr>
      <w:r>
        <w:rPr>
          <w:sz w:val="24"/>
          <w:szCs w:val="24"/>
        </w:rPr>
        <w:t>R11～R14 一方面起到限流和保护作用：当按键按下时，对应引脚被短接到地，通过串联电阻可以限制流经按键和单片机 I/O 口的电流，避免误配置为输出时产生过大的冲击电流；另一方面也配合线路寄生电容对高频干扰和按键抖动有一定抑制作用。</w:t>
      </w:r>
    </w:p>
    <w:p w14:paraId="03A86E98">
      <w:pPr>
        <w:spacing w:line="360" w:lineRule="auto"/>
        <w:ind w:firstLine="480" w:firstLineChars="200"/>
        <w:jc w:val="left"/>
        <w:rPr>
          <w:sz w:val="24"/>
          <w:szCs w:val="24"/>
        </w:rPr>
      </w:pPr>
      <w:r>
        <w:rPr>
          <w:sz w:val="24"/>
          <w:szCs w:val="24"/>
        </w:rPr>
        <w:t>单片机将 P33、P32、P35、P34 配置为带内部上拉的输入口：</w:t>
      </w:r>
    </w:p>
    <w:p w14:paraId="6FA77410">
      <w:pPr>
        <w:spacing w:line="360" w:lineRule="auto"/>
        <w:ind w:firstLine="480" w:firstLineChars="200"/>
        <w:jc w:val="left"/>
        <w:rPr>
          <w:sz w:val="24"/>
          <w:szCs w:val="24"/>
        </w:rPr>
      </w:pPr>
      <w:r>
        <w:rPr>
          <w:sz w:val="24"/>
          <w:szCs w:val="24"/>
        </w:rPr>
        <w:t>按键未按下时，按键断开，引脚通过内部上拉电阻被拉为高电平（逻辑“1”），程序读取到的是稳定的高电平状态；</w:t>
      </w:r>
    </w:p>
    <w:p w14:paraId="061C8885">
      <w:pPr>
        <w:spacing w:line="360" w:lineRule="auto"/>
        <w:ind w:firstLine="480" w:firstLineChars="200"/>
        <w:jc w:val="left"/>
        <w:rPr>
          <w:sz w:val="24"/>
          <w:szCs w:val="24"/>
        </w:rPr>
      </w:pPr>
      <w:r>
        <w:rPr>
          <w:sz w:val="24"/>
          <w:szCs w:val="24"/>
        </w:rPr>
        <w:t>按键按下时，</w:t>
      </w:r>
      <w:r>
        <w:rPr>
          <w:rFonts w:hint="eastAsia"/>
          <w:sz w:val="24"/>
          <w:szCs w:val="24"/>
        </w:rPr>
        <w:t>V</w:t>
      </w:r>
      <w:r>
        <w:rPr>
          <w:sz w:val="24"/>
          <w:szCs w:val="24"/>
        </w:rPr>
        <w:t>+、</w:t>
      </w:r>
      <w:r>
        <w:rPr>
          <w:rFonts w:hint="eastAsia"/>
          <w:sz w:val="24"/>
          <w:szCs w:val="24"/>
        </w:rPr>
        <w:t>V</w:t>
      </w:r>
      <w:r>
        <w:rPr>
          <w:rFonts w:ascii="Cambria Math" w:hAnsi="Cambria Math" w:cs="Cambria Math"/>
          <w:sz w:val="24"/>
          <w:szCs w:val="24"/>
        </w:rPr>
        <w:t>−</w:t>
      </w:r>
      <w:r>
        <w:rPr>
          <w:sz w:val="24"/>
          <w:szCs w:val="24"/>
        </w:rPr>
        <w:t>、F</w:t>
      </w:r>
      <w:r>
        <w:rPr>
          <w:rFonts w:ascii="Cambria Math" w:hAnsi="Cambria Math" w:cs="Cambria Math"/>
          <w:sz w:val="24"/>
          <w:szCs w:val="24"/>
        </w:rPr>
        <w:t>−</w:t>
      </w:r>
      <w:r>
        <w:rPr>
          <w:sz w:val="24"/>
          <w:szCs w:val="24"/>
        </w:rPr>
        <w:t>、F+ 端被按键直接短接到 GND，通过 R11～R14 形成到地的通路，引脚电平由高变为低（逻辑“0”）。单片机检测到由“1→0”的跳变，就认为对应按键被按下。</w:t>
      </w:r>
    </w:p>
    <w:p w14:paraId="6243A7AF">
      <w:pPr>
        <w:spacing w:line="360" w:lineRule="auto"/>
        <w:ind w:firstLine="480" w:firstLineChars="200"/>
        <w:jc w:val="left"/>
        <w:rPr>
          <w:sz w:val="24"/>
          <w:szCs w:val="24"/>
        </w:rPr>
      </w:pPr>
      <w:r>
        <w:rPr>
          <w:sz w:val="24"/>
          <w:szCs w:val="24"/>
        </w:rPr>
        <w:t>由于机械按键在闭合和断开瞬间会产生电平抖动，程序中加入了软件消抖：当检测到电平变化后先延时若干毫秒，再次读取该引脚电平，仅在连续多次检测到稳定的低电平时，才确认一次有效按键动作，从而保证一次按键只触发一次事件。</w:t>
      </w:r>
    </w:p>
    <w:p w14:paraId="792AD770">
      <w:pPr>
        <w:pStyle w:val="4"/>
      </w:pPr>
      <w:r>
        <w:t>音量调节</w:t>
      </w:r>
    </w:p>
    <w:p w14:paraId="2D452887">
      <w:pPr>
        <w:spacing w:line="360" w:lineRule="auto"/>
        <w:ind w:firstLine="480" w:firstLineChars="200"/>
        <w:jc w:val="left"/>
        <w:rPr>
          <w:sz w:val="24"/>
          <w:szCs w:val="24"/>
        </w:rPr>
      </w:pPr>
      <w:r>
        <w:rPr>
          <w:sz w:val="24"/>
          <w:szCs w:val="24"/>
        </w:rPr>
        <w:t xml:space="preserve">程序中定义变量，范围 0～15：按下 </w:t>
      </w:r>
      <w:r>
        <w:rPr>
          <w:rFonts w:hint="eastAsia"/>
          <w:sz w:val="24"/>
          <w:szCs w:val="24"/>
        </w:rPr>
        <w:t>V</w:t>
      </w:r>
      <w:r>
        <w:rPr>
          <w:sz w:val="24"/>
          <w:szCs w:val="24"/>
        </w:rPr>
        <w:t xml:space="preserve">+时，在变量不超过 15 的前提下加一；按下 </w:t>
      </w:r>
      <w:r>
        <w:rPr>
          <w:rFonts w:hint="eastAsia"/>
          <w:sz w:val="24"/>
          <w:szCs w:val="24"/>
        </w:rPr>
        <w:t>V</w:t>
      </w:r>
      <w:r>
        <w:rPr>
          <w:rFonts w:ascii="Cambria Math" w:hAnsi="Cambria Math" w:cs="Cambria Math"/>
          <w:sz w:val="24"/>
          <w:szCs w:val="24"/>
        </w:rPr>
        <w:t>−</w:t>
      </w:r>
      <w:r>
        <w:rPr>
          <w:sz w:val="24"/>
          <w:szCs w:val="24"/>
        </w:rPr>
        <w:t>时，变量在不小于 0 的前提下减一。</w:t>
      </w:r>
    </w:p>
    <w:p w14:paraId="2C7E47F3">
      <w:pPr>
        <w:spacing w:line="360" w:lineRule="auto"/>
        <w:ind w:firstLine="480" w:firstLineChars="200"/>
        <w:jc w:val="left"/>
        <w:rPr>
          <w:sz w:val="24"/>
          <w:szCs w:val="24"/>
        </w:rPr>
      </w:pPr>
      <w:r>
        <w:rPr>
          <w:sz w:val="24"/>
          <w:szCs w:val="24"/>
        </w:rPr>
        <w:t>更新后的音量值通过 I²C 写入 RDA5807 的音量寄存器，实现 0～15 共 16 级的数字音量调节。</w:t>
      </w:r>
    </w:p>
    <w:p w14:paraId="49B6A2B7">
      <w:pPr>
        <w:pStyle w:val="4"/>
      </w:pPr>
      <w:r>
        <w:t>频率调节</w:t>
      </w:r>
    </w:p>
    <w:p w14:paraId="5BA23FE7">
      <w:pPr>
        <w:spacing w:line="360" w:lineRule="auto"/>
        <w:ind w:firstLine="480" w:firstLineChars="200"/>
        <w:jc w:val="left"/>
        <w:rPr>
          <w:sz w:val="24"/>
          <w:szCs w:val="24"/>
        </w:rPr>
      </w:pPr>
      <w:r>
        <w:rPr>
          <w:sz w:val="24"/>
          <w:szCs w:val="24"/>
        </w:rPr>
        <w:t>95.5 MHz、93.8 MHz、91.8 MHz、90.5 MHz、89.3 MHz、105.0 MHz、101.7 MHz。</w:t>
      </w:r>
      <w:r>
        <w:rPr>
          <w:sz w:val="24"/>
          <w:szCs w:val="24"/>
        </w:rPr>
        <w:br w:type="textWrapping"/>
      </w:r>
      <w:r>
        <w:rPr>
          <w:sz w:val="24"/>
          <w:szCs w:val="24"/>
        </w:rPr>
        <w:t>程序维护一个变量作为当前频点索引：按下 F+时，变量加一，超过最后一个后回到 0，实现向上一个预设频点循环切换；按下 F</w:t>
      </w:r>
      <w:r>
        <w:rPr>
          <w:rFonts w:ascii="Cambria Math" w:hAnsi="Cambria Math" w:cs="Cambria Math"/>
          <w:sz w:val="24"/>
          <w:szCs w:val="24"/>
        </w:rPr>
        <w:t>−</w:t>
      </w:r>
      <w:r>
        <w:rPr>
          <w:sz w:val="24"/>
          <w:szCs w:val="24"/>
        </w:rPr>
        <w:t>时，变量减一，小于 0 时跳回最后一个，实现向下一个预设频点循环切换。</w:t>
      </w:r>
    </w:p>
    <w:p w14:paraId="35A2A9E8">
      <w:pPr>
        <w:spacing w:line="360" w:lineRule="auto"/>
        <w:ind w:firstLine="480" w:firstLineChars="200"/>
        <w:jc w:val="left"/>
        <w:rPr>
          <w:sz w:val="24"/>
          <w:szCs w:val="24"/>
        </w:rPr>
      </w:pPr>
      <w:r>
        <w:rPr>
          <w:sz w:val="24"/>
          <w:szCs w:val="24"/>
        </w:rPr>
        <w:t>每次索引变化后，将对应频率值通过 I²C 写入 RDA5807 的频率控制寄存器，同时刷新数码管显示。</w:t>
      </w:r>
    </w:p>
    <w:p w14:paraId="74B540CE">
      <w:pPr>
        <w:spacing w:line="360" w:lineRule="auto"/>
        <w:ind w:firstLine="480" w:firstLineChars="200"/>
        <w:jc w:val="left"/>
        <w:rPr>
          <w:sz w:val="24"/>
          <w:szCs w:val="24"/>
        </w:rPr>
      </w:pPr>
    </w:p>
    <w:p w14:paraId="3C5D04EB">
      <w:pPr>
        <w:spacing w:line="360" w:lineRule="auto"/>
        <w:ind w:firstLine="480" w:firstLineChars="200"/>
        <w:jc w:val="left"/>
        <w:rPr>
          <w:sz w:val="24"/>
          <w:szCs w:val="24"/>
        </w:rPr>
      </w:pPr>
      <w:r>
        <w:rPr>
          <w:sz w:val="24"/>
          <w:szCs w:val="24"/>
        </w:rPr>
        <w:t xml:space="preserve">通过上述按键、电阻与单片机引脚的配合，实现了以 </w:t>
      </w:r>
      <w:r>
        <w:rPr>
          <w:rFonts w:hint="eastAsia"/>
          <w:sz w:val="24"/>
          <w:szCs w:val="24"/>
        </w:rPr>
        <w:t>V</w:t>
      </w:r>
      <w:r>
        <w:rPr>
          <w:sz w:val="24"/>
          <w:szCs w:val="24"/>
        </w:rPr>
        <w:t xml:space="preserve">+ / </w:t>
      </w:r>
      <w:r>
        <w:rPr>
          <w:rFonts w:hint="eastAsia"/>
          <w:sz w:val="24"/>
          <w:szCs w:val="24"/>
        </w:rPr>
        <w:t>V</w:t>
      </w:r>
      <w:r>
        <w:rPr>
          <w:rFonts w:ascii="Cambria Math" w:hAnsi="Cambria Math" w:cs="Cambria Math"/>
          <w:sz w:val="24"/>
          <w:szCs w:val="24"/>
        </w:rPr>
        <w:t>−</w:t>
      </w:r>
      <w:r>
        <w:rPr>
          <w:sz w:val="24"/>
          <w:szCs w:val="24"/>
        </w:rPr>
        <w:t xml:space="preserve"> / F</w:t>
      </w:r>
      <w:r>
        <w:rPr>
          <w:rFonts w:ascii="Cambria Math" w:hAnsi="Cambria Math" w:cs="Cambria Math"/>
          <w:sz w:val="24"/>
          <w:szCs w:val="24"/>
        </w:rPr>
        <w:t>−</w:t>
      </w:r>
      <w:r>
        <w:rPr>
          <w:sz w:val="24"/>
          <w:szCs w:val="24"/>
        </w:rPr>
        <w:t xml:space="preserve"> / F+ 四个引脚为核心的人机交互：硬件上利用按下接地的方式产生稳定的高低电平变化，软件上通过消抖、查表和寄存器配置，完成对音量（0～15 级）和预设频率的灵活调节。</w:t>
      </w:r>
    </w:p>
    <w:p w14:paraId="7D3D7D8C">
      <w:pPr>
        <w:spacing w:line="360" w:lineRule="auto"/>
        <w:ind w:firstLine="480" w:firstLineChars="200"/>
        <w:jc w:val="left"/>
        <w:rPr>
          <w:sz w:val="24"/>
          <w:szCs w:val="24"/>
        </w:rPr>
      </w:pPr>
    </w:p>
    <w:p w14:paraId="5AACE340">
      <w:pPr>
        <w:pStyle w:val="3"/>
      </w:pPr>
      <w:r>
        <w:rPr>
          <w:rFonts w:hint="eastAsia"/>
        </w:rPr>
        <w:t>串口</w:t>
      </w:r>
    </w:p>
    <w:p w14:paraId="20E983EA">
      <w:pPr>
        <w:spacing w:line="360" w:lineRule="auto"/>
        <w:ind w:firstLine="480" w:firstLineChars="200"/>
        <w:jc w:val="left"/>
        <w:rPr>
          <w:sz w:val="24"/>
          <w:szCs w:val="24"/>
        </w:rPr>
      </w:pPr>
      <w:r>
        <w:rPr>
          <w:sz w:val="24"/>
          <w:szCs w:val="24"/>
        </w:rPr>
        <w:t>为了便于单片机的程序下载、调试以及与其他外设进行数据通信，本设计在板上预留了一个 4 针串口排针 U6，与 STC8G1K17 的硬件串口引脚直接相连。</w:t>
      </w:r>
    </w:p>
    <w:p w14:paraId="3E3855E0">
      <w:pPr>
        <w:jc w:val="center"/>
        <w:rPr>
          <w:b/>
          <w:bCs/>
        </w:rPr>
      </w:pPr>
      <w:r>
        <w:rPr>
          <w:b/>
          <w:bCs/>
        </w:rPr>
        <w:drawing>
          <wp:inline distT="0" distB="0" distL="0" distR="0">
            <wp:extent cx="2133600" cy="1845945"/>
            <wp:effectExtent l="0" t="0" r="0" b="1905"/>
            <wp:docPr id="12644119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11939" name="图片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138750" cy="1850691"/>
                    </a:xfrm>
                    <a:prstGeom prst="rect">
                      <a:avLst/>
                    </a:prstGeom>
                    <a:noFill/>
                    <a:ln>
                      <a:noFill/>
                    </a:ln>
                  </pic:spPr>
                </pic:pic>
              </a:graphicData>
            </a:graphic>
          </wp:inline>
        </w:drawing>
      </w:r>
    </w:p>
    <w:p w14:paraId="74F173BD">
      <w:pPr>
        <w:spacing w:line="360" w:lineRule="auto"/>
        <w:ind w:firstLine="480" w:firstLineChars="200"/>
        <w:jc w:val="left"/>
        <w:rPr>
          <w:sz w:val="24"/>
          <w:szCs w:val="24"/>
        </w:rPr>
      </w:pPr>
      <w:r>
        <w:rPr>
          <w:sz w:val="24"/>
          <w:szCs w:val="24"/>
        </w:rPr>
        <w:t>其引脚分配关系如</w:t>
      </w:r>
      <w:r>
        <w:rPr>
          <w:rFonts w:hint="eastAsia"/>
          <w:sz w:val="24"/>
          <w:szCs w:val="24"/>
        </w:rPr>
        <w:t>上</w:t>
      </w:r>
      <w:r>
        <w:rPr>
          <w:sz w:val="24"/>
          <w:szCs w:val="24"/>
        </w:rPr>
        <w:t>图所示：</w:t>
      </w:r>
    </w:p>
    <w:p w14:paraId="249279D8">
      <w:pPr>
        <w:pStyle w:val="31"/>
        <w:numPr>
          <w:ilvl w:val="0"/>
          <w:numId w:val="15"/>
        </w:numPr>
        <w:spacing w:line="360" w:lineRule="auto"/>
        <w:jc w:val="left"/>
        <w:rPr>
          <w:sz w:val="24"/>
          <w:szCs w:val="24"/>
        </w:rPr>
      </w:pPr>
      <w:r>
        <w:rPr>
          <w:sz w:val="24"/>
          <w:szCs w:val="24"/>
        </w:rPr>
        <w:t>引脚 1 → GND：</w:t>
      </w:r>
    </w:p>
    <w:p w14:paraId="6DF2222D">
      <w:pPr>
        <w:spacing w:line="360" w:lineRule="auto"/>
        <w:ind w:firstLine="480" w:firstLineChars="200"/>
        <w:jc w:val="left"/>
        <w:rPr>
          <w:sz w:val="24"/>
          <w:szCs w:val="24"/>
        </w:rPr>
      </w:pPr>
      <w:r>
        <w:rPr>
          <w:sz w:val="24"/>
          <w:szCs w:val="24"/>
        </w:rPr>
        <w:t>与系统地相连，为外接 USB-转串口模块或其他串口设备提供公共参考地。</w:t>
      </w:r>
    </w:p>
    <w:p w14:paraId="6390A838">
      <w:pPr>
        <w:pStyle w:val="31"/>
        <w:numPr>
          <w:ilvl w:val="0"/>
          <w:numId w:val="15"/>
        </w:numPr>
        <w:spacing w:line="360" w:lineRule="auto"/>
        <w:jc w:val="left"/>
        <w:rPr>
          <w:sz w:val="24"/>
          <w:szCs w:val="24"/>
        </w:rPr>
      </w:pPr>
      <w:r>
        <w:rPr>
          <w:sz w:val="24"/>
          <w:szCs w:val="24"/>
        </w:rPr>
        <w:t>引脚 2 → P30：</w:t>
      </w:r>
    </w:p>
    <w:p w14:paraId="7D1616C0">
      <w:pPr>
        <w:spacing w:line="360" w:lineRule="auto"/>
        <w:ind w:firstLine="480" w:firstLineChars="200"/>
        <w:jc w:val="left"/>
        <w:rPr>
          <w:sz w:val="24"/>
          <w:szCs w:val="24"/>
        </w:rPr>
      </w:pPr>
      <w:r>
        <w:rPr>
          <w:sz w:val="24"/>
          <w:szCs w:val="24"/>
        </w:rPr>
        <w:t>连接到单片机端口 P3.0，该引脚在 STC8G1K17 中通常配置为串口接收脚 RXD。外部串口设备发送的数据从此脚进入单片机，实现上位机对单片机的指令下发或参数配置等功能。</w:t>
      </w:r>
    </w:p>
    <w:p w14:paraId="3C22DDAE">
      <w:pPr>
        <w:pStyle w:val="31"/>
        <w:numPr>
          <w:ilvl w:val="0"/>
          <w:numId w:val="15"/>
        </w:numPr>
        <w:spacing w:line="360" w:lineRule="auto"/>
        <w:jc w:val="left"/>
        <w:rPr>
          <w:sz w:val="24"/>
          <w:szCs w:val="24"/>
        </w:rPr>
      </w:pPr>
      <w:r>
        <w:rPr>
          <w:sz w:val="24"/>
          <w:szCs w:val="24"/>
        </w:rPr>
        <w:t>引脚 3 → P31：</w:t>
      </w:r>
    </w:p>
    <w:p w14:paraId="5373AE13">
      <w:pPr>
        <w:spacing w:line="360" w:lineRule="auto"/>
        <w:ind w:firstLine="480" w:firstLineChars="200"/>
        <w:jc w:val="left"/>
        <w:rPr>
          <w:sz w:val="24"/>
          <w:szCs w:val="24"/>
        </w:rPr>
      </w:pPr>
      <w:r>
        <w:rPr>
          <w:sz w:val="24"/>
          <w:szCs w:val="24"/>
        </w:rPr>
        <w:t>连接到单片机端口 P3.1，对应串口发送脚 TXD。单片机通过该引脚把调试信息、运行状态或测量数据发送给外部串口设备，便于在 PC 端串口调试助手上实时观察。</w:t>
      </w:r>
    </w:p>
    <w:p w14:paraId="22AD6B03">
      <w:pPr>
        <w:pStyle w:val="31"/>
        <w:numPr>
          <w:ilvl w:val="0"/>
          <w:numId w:val="15"/>
        </w:numPr>
        <w:spacing w:line="360" w:lineRule="auto"/>
        <w:jc w:val="left"/>
        <w:rPr>
          <w:sz w:val="24"/>
          <w:szCs w:val="24"/>
        </w:rPr>
      </w:pPr>
      <w:r>
        <w:rPr>
          <w:sz w:val="24"/>
          <w:szCs w:val="24"/>
        </w:rPr>
        <w:t>引脚 4 → 3.3V：</w:t>
      </w:r>
    </w:p>
    <w:p w14:paraId="7DDA0D9F">
      <w:pPr>
        <w:spacing w:line="360" w:lineRule="auto"/>
        <w:ind w:firstLine="480" w:firstLineChars="200"/>
        <w:jc w:val="left"/>
        <w:rPr>
          <w:sz w:val="24"/>
          <w:szCs w:val="24"/>
        </w:rPr>
      </w:pPr>
      <w:r>
        <w:rPr>
          <w:sz w:val="24"/>
          <w:szCs w:val="24"/>
        </w:rPr>
        <w:t>提供 3.3V 电源输出，可为外接的 USB-串口模块或其他低功耗外设供电，使整套调试系统只需一处供电即可工作，同时保证串口通信电平统一为 3.3V TTL 电平。</w:t>
      </w:r>
    </w:p>
    <w:p w14:paraId="38B903B5">
      <w:pPr>
        <w:spacing w:line="360" w:lineRule="auto"/>
        <w:ind w:firstLine="480" w:firstLineChars="200"/>
        <w:jc w:val="left"/>
        <w:rPr>
          <w:sz w:val="24"/>
          <w:szCs w:val="24"/>
        </w:rPr>
      </w:pPr>
      <w:r>
        <w:rPr>
          <w:sz w:val="24"/>
          <w:szCs w:val="24"/>
        </w:rPr>
        <w:t>在软件上，将 P30、P31 配置为单片机的硬件 UART 引脚，设置好波特率（如 9600 bps 等常用波特率）、数据位、校验位和停止位等参数，即可建立与上位机的全双工异步串行通信。通过该接口，既可以完成程序在线下载和在线调试，又可以在系统运行过程中打印调试信息、接收控制命令，从而大大提升了开发和测试的便利性。</w:t>
      </w:r>
    </w:p>
    <w:p w14:paraId="11A1F67A">
      <w:pPr>
        <w:pStyle w:val="3"/>
      </w:pPr>
      <w:r>
        <w:rPr>
          <w:rFonts w:hint="eastAsia"/>
        </w:rPr>
        <w:t>RDA5807</w:t>
      </w:r>
    </w:p>
    <w:p w14:paraId="38966672">
      <w:pPr>
        <w:jc w:val="center"/>
      </w:pPr>
      <w:r>
        <w:rPr>
          <w:b/>
          <w:bCs/>
        </w:rPr>
        <w:drawing>
          <wp:inline distT="0" distB="0" distL="0" distR="0">
            <wp:extent cx="4343400" cy="1865630"/>
            <wp:effectExtent l="0" t="0" r="0" b="1270"/>
            <wp:docPr id="8237912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91203" name="图片 7"/>
                    <pic:cNvPicPr>
                      <a:picLocks noChangeAspect="1" noChangeArrowheads="1"/>
                    </pic:cNvPicPr>
                  </pic:nvPicPr>
                  <pic:blipFill>
                    <a:blip r:embed="rId23">
                      <a:extLst>
                        <a:ext uri="{28A0092B-C50C-407E-A947-70E740481C1C}">
                          <a14:useLocalDpi xmlns:a14="http://schemas.microsoft.com/office/drawing/2010/main" val="0"/>
                        </a:ext>
                      </a:extLst>
                    </a:blip>
                    <a:srcRect t="35642"/>
                    <a:stretch>
                      <a:fillRect/>
                    </a:stretch>
                  </pic:blipFill>
                  <pic:spPr>
                    <a:xfrm>
                      <a:off x="0" y="0"/>
                      <a:ext cx="4422027" cy="1899797"/>
                    </a:xfrm>
                    <a:prstGeom prst="rect">
                      <a:avLst/>
                    </a:prstGeom>
                    <a:noFill/>
                    <a:ln>
                      <a:noFill/>
                    </a:ln>
                  </pic:spPr>
                </pic:pic>
              </a:graphicData>
            </a:graphic>
          </wp:inline>
        </w:drawing>
      </w:r>
    </w:p>
    <w:p w14:paraId="45058073">
      <w:pPr>
        <w:spacing w:line="360" w:lineRule="auto"/>
        <w:ind w:firstLine="480" w:firstLineChars="200"/>
        <w:jc w:val="left"/>
        <w:rPr>
          <w:sz w:val="24"/>
          <w:szCs w:val="24"/>
        </w:rPr>
      </w:pPr>
      <w:r>
        <w:rPr>
          <w:sz w:val="24"/>
          <w:szCs w:val="24"/>
        </w:rPr>
        <w:t>RDA5807是一款高性能、低功耗的FM接收芯片，适用于多种设备。设计基于RDA5807的系统时，需注意电源稳定性、抗干扰措施、天线选择与匹配、滤波器设计和晶振选择等硬件因素。软件设计方面则需要关注初始化设置、自动增益控制、频段选择、搜索和锁定功能、错误处理和低功耗管理。合理的设计能够确保系统的稳定性和性能，提供高质量的音频播放体验。</w:t>
      </w:r>
    </w:p>
    <w:p w14:paraId="0D268CB7">
      <w:pPr>
        <w:pStyle w:val="4"/>
      </w:pPr>
      <w:r>
        <w:rPr>
          <w:rFonts w:hint="eastAsia"/>
        </w:rPr>
        <w:t>RRD-102V2.0</w:t>
      </w:r>
      <w:r>
        <w:t>立体声收音模块</w:t>
      </w:r>
    </w:p>
    <w:p w14:paraId="28CE0563">
      <w:pPr>
        <w:jc w:val="center"/>
        <w:rPr>
          <w:b/>
          <w:bCs/>
        </w:rPr>
      </w:pPr>
    </w:p>
    <w:p w14:paraId="16D53986">
      <w:pPr>
        <w:jc w:val="center"/>
        <w:rPr>
          <w:b/>
          <w:bCs/>
        </w:rPr>
      </w:pPr>
      <w:r>
        <w:drawing>
          <wp:inline distT="0" distB="0" distL="0" distR="0">
            <wp:extent cx="5222875" cy="1053465"/>
            <wp:effectExtent l="0" t="0" r="0" b="0"/>
            <wp:docPr id="935887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87683"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56105" cy="1060587"/>
                    </a:xfrm>
                    <a:prstGeom prst="rect">
                      <a:avLst/>
                    </a:prstGeom>
                    <a:noFill/>
                    <a:ln>
                      <a:noFill/>
                    </a:ln>
                  </pic:spPr>
                </pic:pic>
              </a:graphicData>
            </a:graphic>
          </wp:inline>
        </w:drawing>
      </w:r>
    </w:p>
    <w:p w14:paraId="6B0F59E4">
      <w:pPr>
        <w:rPr>
          <w:b/>
          <w:bCs/>
        </w:rPr>
      </w:pPr>
    </w:p>
    <w:tbl>
      <w:tblPr>
        <w:tblStyle w:val="39"/>
        <w:tblW w:w="0" w:type="auto"/>
        <w:tblInd w:w="0" w:type="dxa"/>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none" w:color="auto" w:sz="0" w:space="0"/>
        </w:tblBorders>
        <w:tblLayout w:type="autofit"/>
        <w:tblCellMar>
          <w:top w:w="0" w:type="dxa"/>
          <w:left w:w="108" w:type="dxa"/>
          <w:bottom w:w="0" w:type="dxa"/>
          <w:right w:w="108" w:type="dxa"/>
        </w:tblCellMar>
      </w:tblPr>
      <w:tblGrid>
        <w:gridCol w:w="948"/>
        <w:gridCol w:w="3541"/>
        <w:gridCol w:w="950"/>
        <w:gridCol w:w="3083"/>
      </w:tblGrid>
      <w:tr w14:paraId="7A5B8C70">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none" w:color="auto" w:sz="0" w:space="0"/>
          </w:tblBorders>
          <w:tblCellMar>
            <w:top w:w="0" w:type="dxa"/>
            <w:left w:w="108" w:type="dxa"/>
            <w:bottom w:w="0" w:type="dxa"/>
            <w:right w:w="108" w:type="dxa"/>
          </w:tblCellMar>
        </w:tblPrEx>
        <w:tc>
          <w:tcPr>
            <w:tcW w:w="0" w:type="auto"/>
            <w:tcBorders>
              <w:top w:val="single" w:color="156082" w:themeColor="accent1" w:sz="4" w:space="0"/>
              <w:left w:val="single" w:color="156082" w:themeColor="accent1" w:sz="4" w:space="0"/>
              <w:bottom w:val="single" w:color="156082" w:themeColor="accent1" w:sz="4" w:space="0"/>
              <w:insideH w:val="single" w:sz="4" w:space="0"/>
            </w:tcBorders>
            <w:shd w:val="clear" w:color="auto" w:fill="156082" w:themeFill="accent1"/>
          </w:tcPr>
          <w:p w14:paraId="742689C0">
            <w:pPr>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引脚序号</w:t>
            </w:r>
          </w:p>
        </w:tc>
        <w:tc>
          <w:tcPr>
            <w:tcW w:w="0" w:type="auto"/>
            <w:tcBorders>
              <w:top w:val="single" w:color="156082" w:themeColor="accent1" w:sz="4" w:space="0"/>
              <w:bottom w:val="single" w:color="156082" w:themeColor="accent1" w:sz="4" w:space="0"/>
              <w:insideH w:val="single" w:sz="4" w:space="0"/>
            </w:tcBorders>
            <w:shd w:val="clear" w:color="auto" w:fill="156082" w:themeFill="accent1"/>
          </w:tcPr>
          <w:p w14:paraId="057F851D">
            <w:pPr>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引脚功能描述</w:t>
            </w:r>
          </w:p>
        </w:tc>
        <w:tc>
          <w:tcPr>
            <w:tcW w:w="0" w:type="auto"/>
            <w:tcBorders>
              <w:top w:val="single" w:color="156082" w:themeColor="accent1" w:sz="4" w:space="0"/>
              <w:bottom w:val="single" w:color="156082" w:themeColor="accent1" w:sz="4" w:space="0"/>
              <w:insideH w:val="single" w:sz="4" w:space="0"/>
            </w:tcBorders>
            <w:shd w:val="clear" w:color="auto" w:fill="156082" w:themeFill="accent1"/>
          </w:tcPr>
          <w:p w14:paraId="08224E7B">
            <w:pPr>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引脚序号</w:t>
            </w:r>
          </w:p>
        </w:tc>
        <w:tc>
          <w:tcPr>
            <w:tcW w:w="0" w:type="auto"/>
            <w:tcBorders>
              <w:top w:val="single" w:color="156082" w:themeColor="accent1" w:sz="4" w:space="0"/>
              <w:bottom w:val="single" w:color="156082" w:themeColor="accent1" w:sz="4" w:space="0"/>
              <w:right w:val="single" w:color="156082" w:themeColor="accent1" w:sz="4" w:space="0"/>
              <w:insideH w:val="single" w:sz="4" w:space="0"/>
            </w:tcBorders>
            <w:shd w:val="clear" w:color="auto" w:fill="156082" w:themeFill="accent1"/>
          </w:tcPr>
          <w:p w14:paraId="272966DA">
            <w:pPr>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引脚功能描述</w:t>
            </w:r>
          </w:p>
        </w:tc>
      </w:tr>
      <w:tr w14:paraId="40B310B8">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none" w:color="auto" w:sz="0" w:space="0"/>
          </w:tblBorders>
          <w:tblCellMar>
            <w:top w:w="0" w:type="dxa"/>
            <w:left w:w="108" w:type="dxa"/>
            <w:bottom w:w="0" w:type="dxa"/>
            <w:right w:w="108" w:type="dxa"/>
          </w:tblCellMar>
        </w:tblPrEx>
        <w:tc>
          <w:tcPr>
            <w:tcW w:w="0" w:type="auto"/>
            <w:shd w:val="clear" w:color="auto" w:fill="C1E4F5" w:themeFill="accent1" w:themeFillTint="33"/>
          </w:tcPr>
          <w:p w14:paraId="25279D53">
            <w:pPr>
              <w:jc w:val="center"/>
              <w:rPr>
                <w:b/>
                <w:bCs/>
              </w:rPr>
            </w:pPr>
            <w:r>
              <w:rPr>
                <w:b/>
                <w:bCs/>
              </w:rPr>
              <w:t>1</w:t>
            </w:r>
          </w:p>
        </w:tc>
        <w:tc>
          <w:tcPr>
            <w:tcW w:w="0" w:type="auto"/>
            <w:shd w:val="clear" w:color="auto" w:fill="C1E4F5" w:themeFill="accent1" w:themeFillTint="33"/>
          </w:tcPr>
          <w:p w14:paraId="7BCB3DB5">
            <w:pPr>
              <w:jc w:val="center"/>
            </w:pPr>
            <w:r>
              <w:t>GND（公共接地端）</w:t>
            </w:r>
          </w:p>
        </w:tc>
        <w:tc>
          <w:tcPr>
            <w:tcW w:w="0" w:type="auto"/>
            <w:shd w:val="clear" w:color="auto" w:fill="C1E4F5" w:themeFill="accent1" w:themeFillTint="33"/>
          </w:tcPr>
          <w:p w14:paraId="3F0B50AD">
            <w:pPr>
              <w:jc w:val="center"/>
            </w:pPr>
            <w:r>
              <w:t>6</w:t>
            </w:r>
          </w:p>
        </w:tc>
        <w:tc>
          <w:tcPr>
            <w:tcW w:w="0" w:type="auto"/>
            <w:shd w:val="clear" w:color="auto" w:fill="C1E4F5" w:themeFill="accent1" w:themeFillTint="33"/>
          </w:tcPr>
          <w:p w14:paraId="3022C382">
            <w:pPr>
              <w:jc w:val="center"/>
            </w:pPr>
            <w:r>
              <w:t>DATA（总线串行数据输入输出口）</w:t>
            </w:r>
          </w:p>
        </w:tc>
      </w:tr>
      <w:tr w14:paraId="6258D80A">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none" w:color="auto" w:sz="0" w:space="0"/>
          </w:tblBorders>
          <w:tblCellMar>
            <w:top w:w="0" w:type="dxa"/>
            <w:left w:w="108" w:type="dxa"/>
            <w:bottom w:w="0" w:type="dxa"/>
            <w:right w:w="108" w:type="dxa"/>
          </w:tblCellMar>
        </w:tblPrEx>
        <w:tc>
          <w:tcPr>
            <w:tcW w:w="0" w:type="auto"/>
          </w:tcPr>
          <w:p w14:paraId="3095290E">
            <w:pPr>
              <w:jc w:val="center"/>
              <w:rPr>
                <w:b/>
                <w:bCs/>
              </w:rPr>
            </w:pPr>
            <w:r>
              <w:rPr>
                <w:b/>
                <w:bCs/>
              </w:rPr>
              <w:t>2</w:t>
            </w:r>
          </w:p>
        </w:tc>
        <w:tc>
          <w:tcPr>
            <w:tcW w:w="0" w:type="auto"/>
          </w:tcPr>
          <w:p w14:paraId="6554B921">
            <w:pPr>
              <w:jc w:val="center"/>
            </w:pPr>
            <w:r>
              <w:t>R-out（R 声道音频信号输出）</w:t>
            </w:r>
          </w:p>
        </w:tc>
        <w:tc>
          <w:tcPr>
            <w:tcW w:w="0" w:type="auto"/>
          </w:tcPr>
          <w:p w14:paraId="7E4F05EB">
            <w:pPr>
              <w:jc w:val="center"/>
            </w:pPr>
            <w:r>
              <w:t>7</w:t>
            </w:r>
          </w:p>
        </w:tc>
        <w:tc>
          <w:tcPr>
            <w:tcW w:w="0" w:type="auto"/>
          </w:tcPr>
          <w:p w14:paraId="38A30DE5">
            <w:pPr>
              <w:jc w:val="center"/>
            </w:pPr>
            <w:r>
              <w:t>CLOCK（串行数据总线参考时钟）</w:t>
            </w:r>
          </w:p>
        </w:tc>
      </w:tr>
      <w:tr w14:paraId="76A31F74">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none" w:color="auto" w:sz="0" w:space="0"/>
          </w:tblBorders>
          <w:tblCellMar>
            <w:top w:w="0" w:type="dxa"/>
            <w:left w:w="108" w:type="dxa"/>
            <w:bottom w:w="0" w:type="dxa"/>
            <w:right w:w="108" w:type="dxa"/>
          </w:tblCellMar>
        </w:tblPrEx>
        <w:tc>
          <w:tcPr>
            <w:tcW w:w="0" w:type="auto"/>
            <w:shd w:val="clear" w:color="auto" w:fill="C1E4F5" w:themeFill="accent1" w:themeFillTint="33"/>
          </w:tcPr>
          <w:p w14:paraId="0564ED46">
            <w:pPr>
              <w:jc w:val="center"/>
              <w:rPr>
                <w:b/>
                <w:bCs/>
              </w:rPr>
            </w:pPr>
            <w:r>
              <w:rPr>
                <w:b/>
                <w:bCs/>
              </w:rPr>
              <w:t>3</w:t>
            </w:r>
          </w:p>
        </w:tc>
        <w:tc>
          <w:tcPr>
            <w:tcW w:w="0" w:type="auto"/>
            <w:shd w:val="clear" w:color="auto" w:fill="C1E4F5" w:themeFill="accent1" w:themeFillTint="33"/>
          </w:tcPr>
          <w:p w14:paraId="0BEF50A7">
            <w:pPr>
              <w:jc w:val="center"/>
            </w:pPr>
            <w:r>
              <w:t>L-out（L 声道音频信号输出）</w:t>
            </w:r>
          </w:p>
        </w:tc>
        <w:tc>
          <w:tcPr>
            <w:tcW w:w="0" w:type="auto"/>
            <w:shd w:val="clear" w:color="auto" w:fill="C1E4F5" w:themeFill="accent1" w:themeFillTint="33"/>
          </w:tcPr>
          <w:p w14:paraId="76F5CF50">
            <w:pPr>
              <w:jc w:val="center"/>
            </w:pPr>
            <w:r>
              <w:t>8</w:t>
            </w:r>
          </w:p>
        </w:tc>
        <w:tc>
          <w:tcPr>
            <w:tcW w:w="0" w:type="auto"/>
            <w:shd w:val="clear" w:color="auto" w:fill="C1E4F5" w:themeFill="accent1" w:themeFillTint="33"/>
          </w:tcPr>
          <w:p w14:paraId="4F1F1630">
            <w:pPr>
              <w:jc w:val="center"/>
            </w:pPr>
            <w:r>
              <w:t>GP2（NC）</w:t>
            </w:r>
          </w:p>
        </w:tc>
      </w:tr>
      <w:tr w14:paraId="6D7A1656">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none" w:color="auto" w:sz="0" w:space="0"/>
          </w:tblBorders>
          <w:tblCellMar>
            <w:top w:w="0" w:type="dxa"/>
            <w:left w:w="108" w:type="dxa"/>
            <w:bottom w:w="0" w:type="dxa"/>
            <w:right w:w="108" w:type="dxa"/>
          </w:tblCellMar>
        </w:tblPrEx>
        <w:tc>
          <w:tcPr>
            <w:tcW w:w="0" w:type="auto"/>
          </w:tcPr>
          <w:p w14:paraId="6AFA942F">
            <w:pPr>
              <w:jc w:val="center"/>
              <w:rPr>
                <w:b/>
                <w:bCs/>
              </w:rPr>
            </w:pPr>
            <w:r>
              <w:rPr>
                <w:b/>
                <w:bCs/>
              </w:rPr>
              <w:t>4</w:t>
            </w:r>
          </w:p>
        </w:tc>
        <w:tc>
          <w:tcPr>
            <w:tcW w:w="0" w:type="auto"/>
          </w:tcPr>
          <w:p w14:paraId="2A13B068">
            <w:pPr>
              <w:jc w:val="center"/>
            </w:pPr>
            <w:r>
              <w:t>RCK（芯片外部时钟输入端，模块中 NC）</w:t>
            </w:r>
          </w:p>
        </w:tc>
        <w:tc>
          <w:tcPr>
            <w:tcW w:w="0" w:type="auto"/>
          </w:tcPr>
          <w:p w14:paraId="50635DD2">
            <w:pPr>
              <w:jc w:val="center"/>
            </w:pPr>
            <w:r>
              <w:t>9</w:t>
            </w:r>
          </w:p>
        </w:tc>
        <w:tc>
          <w:tcPr>
            <w:tcW w:w="0" w:type="auto"/>
          </w:tcPr>
          <w:p w14:paraId="0F132B8A">
            <w:pPr>
              <w:jc w:val="center"/>
            </w:pPr>
            <w:r>
              <w:t>GP3（NC）</w:t>
            </w:r>
          </w:p>
        </w:tc>
      </w:tr>
      <w:tr w14:paraId="47E74A2F">
        <w:tblPrEx>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none" w:color="auto" w:sz="0" w:space="0"/>
          </w:tblBorders>
          <w:tblCellMar>
            <w:top w:w="0" w:type="dxa"/>
            <w:left w:w="108" w:type="dxa"/>
            <w:bottom w:w="0" w:type="dxa"/>
            <w:right w:w="108" w:type="dxa"/>
          </w:tblCellMar>
        </w:tblPrEx>
        <w:tc>
          <w:tcPr>
            <w:tcW w:w="0" w:type="auto"/>
            <w:shd w:val="clear" w:color="auto" w:fill="C1E4F5" w:themeFill="accent1" w:themeFillTint="33"/>
          </w:tcPr>
          <w:p w14:paraId="7FB7CCD6">
            <w:pPr>
              <w:jc w:val="center"/>
              <w:rPr>
                <w:b/>
                <w:bCs/>
              </w:rPr>
            </w:pPr>
            <w:r>
              <w:rPr>
                <w:b/>
                <w:bCs/>
              </w:rPr>
              <w:t>5</w:t>
            </w:r>
          </w:p>
        </w:tc>
        <w:tc>
          <w:tcPr>
            <w:tcW w:w="0" w:type="auto"/>
            <w:shd w:val="clear" w:color="auto" w:fill="C1E4F5" w:themeFill="accent1" w:themeFillTint="33"/>
          </w:tcPr>
          <w:p w14:paraId="493A27A6">
            <w:pPr>
              <w:jc w:val="center"/>
            </w:pPr>
            <w:r>
              <w:t>FM（FM 天线接入端）</w:t>
            </w:r>
          </w:p>
        </w:tc>
        <w:tc>
          <w:tcPr>
            <w:tcW w:w="0" w:type="auto"/>
            <w:shd w:val="clear" w:color="auto" w:fill="C1E4F5" w:themeFill="accent1" w:themeFillTint="33"/>
          </w:tcPr>
          <w:p w14:paraId="570FF986">
            <w:pPr>
              <w:jc w:val="center"/>
            </w:pPr>
            <w:r>
              <w:t>10</w:t>
            </w:r>
          </w:p>
        </w:tc>
        <w:tc>
          <w:tcPr>
            <w:tcW w:w="0" w:type="auto"/>
            <w:shd w:val="clear" w:color="auto" w:fill="C1E4F5" w:themeFill="accent1" w:themeFillTint="33"/>
          </w:tcPr>
          <w:p w14:paraId="1AE46AF0">
            <w:pPr>
              <w:jc w:val="center"/>
            </w:pPr>
            <w:r>
              <w:t>VDD（+3.0VDC 电源输入端）</w:t>
            </w:r>
          </w:p>
        </w:tc>
      </w:tr>
    </w:tbl>
    <w:p w14:paraId="5D33B78A">
      <w:pPr>
        <w:rPr>
          <w:b/>
          <w:bCs/>
        </w:rPr>
      </w:pPr>
    </w:p>
    <w:p w14:paraId="57A3BF29">
      <w:pPr>
        <w:pStyle w:val="4"/>
      </w:pPr>
      <w:r>
        <w:t>电源稳定性与抗干扰设计</w:t>
      </w:r>
    </w:p>
    <w:p w14:paraId="0C372BDA">
      <w:pPr>
        <w:spacing w:line="360" w:lineRule="auto"/>
        <w:ind w:firstLine="480" w:firstLineChars="200"/>
        <w:jc w:val="left"/>
        <w:rPr>
          <w:sz w:val="24"/>
          <w:szCs w:val="24"/>
        </w:rPr>
      </w:pPr>
      <w:r>
        <w:rPr>
          <w:sz w:val="24"/>
          <w:szCs w:val="24"/>
        </w:rPr>
        <w:t>RDA5807 对电源噪声较为敏感，电源纹波和瞬态干扰会直接影响接收灵敏度和音频质量。因此在模块供电设计中需要重点考虑以下几点：</w:t>
      </w:r>
    </w:p>
    <w:p w14:paraId="4D39DFAF">
      <w:pPr>
        <w:pStyle w:val="31"/>
        <w:numPr>
          <w:ilvl w:val="0"/>
          <w:numId w:val="16"/>
        </w:numPr>
        <w:spacing w:line="360" w:lineRule="auto"/>
        <w:jc w:val="left"/>
        <w:rPr>
          <w:sz w:val="24"/>
          <w:szCs w:val="24"/>
        </w:rPr>
      </w:pPr>
      <w:r>
        <w:rPr>
          <w:sz w:val="24"/>
          <w:szCs w:val="24"/>
        </w:rPr>
        <w:t>本地去耦与滤波</w:t>
      </w:r>
    </w:p>
    <w:p w14:paraId="3B9A1426">
      <w:pPr>
        <w:spacing w:line="360" w:lineRule="auto"/>
        <w:jc w:val="left"/>
        <w:rPr>
          <w:sz w:val="24"/>
          <w:szCs w:val="24"/>
        </w:rPr>
      </w:pPr>
      <w:r>
        <w:rPr>
          <w:sz w:val="24"/>
          <w:szCs w:val="24"/>
        </w:rPr>
        <w:t>在 VDD 引脚附近布置 100nF 的贴片去耦电容以及适量的电解电容，使其尽量靠近模块引脚放置，减小引线电感。这样可以有效抑制高频噪声和负载电流瞬变引起的电压波动。</w:t>
      </w:r>
    </w:p>
    <w:p w14:paraId="6ADD073B">
      <w:pPr>
        <w:pStyle w:val="31"/>
        <w:numPr>
          <w:ilvl w:val="0"/>
          <w:numId w:val="16"/>
        </w:numPr>
        <w:spacing w:line="360" w:lineRule="auto"/>
        <w:jc w:val="left"/>
        <w:rPr>
          <w:sz w:val="24"/>
          <w:szCs w:val="24"/>
        </w:rPr>
      </w:pPr>
      <w:r>
        <w:rPr>
          <w:sz w:val="24"/>
          <w:szCs w:val="24"/>
        </w:rPr>
        <w:t>电源与地线布局</w:t>
      </w:r>
    </w:p>
    <w:p w14:paraId="2103DA5C">
      <w:pPr>
        <w:spacing w:line="360" w:lineRule="auto"/>
        <w:jc w:val="left"/>
        <w:rPr>
          <w:sz w:val="24"/>
          <w:szCs w:val="24"/>
        </w:rPr>
      </w:pPr>
      <w:r>
        <w:rPr>
          <w:sz w:val="24"/>
          <w:szCs w:val="24"/>
        </w:rPr>
        <w:t>模块的电源线应从 3.3V 主干线上单独引出，走线尽量短且宽，并避免与高频数字信号线平行长距离布线。地线部分建议采用完整的地平面，把 RDA5807 模块的接地作为模拟地区域处理，以减小数字电路的开关噪声干扰。</w:t>
      </w:r>
    </w:p>
    <w:p w14:paraId="44D1ECF5">
      <w:pPr>
        <w:pStyle w:val="31"/>
        <w:numPr>
          <w:ilvl w:val="0"/>
          <w:numId w:val="16"/>
        </w:numPr>
        <w:spacing w:line="360" w:lineRule="auto"/>
        <w:jc w:val="left"/>
        <w:rPr>
          <w:sz w:val="24"/>
          <w:szCs w:val="24"/>
        </w:rPr>
      </w:pPr>
      <w:r>
        <w:rPr>
          <w:sz w:val="24"/>
          <w:szCs w:val="24"/>
        </w:rPr>
        <w:t>隔离与屏蔽</w:t>
      </w:r>
    </w:p>
    <w:p w14:paraId="7FA04037">
      <w:pPr>
        <w:spacing w:line="360" w:lineRule="auto"/>
        <w:jc w:val="left"/>
        <w:rPr>
          <w:sz w:val="24"/>
          <w:szCs w:val="24"/>
        </w:rPr>
      </w:pPr>
      <w:r>
        <w:rPr>
          <w:sz w:val="24"/>
          <w:szCs w:val="24"/>
        </w:rPr>
        <w:t>RDA5807 前端为高频射频电路，应尽量远离单片机高频时钟、数码管扫描线等强噪声源。必要时可以在模块附近加装金属屏蔽罩或用地包围关键走线，以改善 EMI / RFI 抗干扰能力。</w:t>
      </w:r>
    </w:p>
    <w:p w14:paraId="5EC3AF5E">
      <w:pPr>
        <w:pStyle w:val="4"/>
      </w:pPr>
      <w:r>
        <w:t>天线设计与阻抗匹配</w:t>
      </w:r>
    </w:p>
    <w:p w14:paraId="29728E60">
      <w:pPr>
        <w:spacing w:line="360" w:lineRule="auto"/>
        <w:ind w:firstLine="480" w:firstLineChars="200"/>
        <w:jc w:val="left"/>
        <w:rPr>
          <w:sz w:val="24"/>
          <w:szCs w:val="24"/>
        </w:rPr>
      </w:pPr>
      <w:r>
        <w:rPr>
          <w:sz w:val="24"/>
          <w:szCs w:val="24"/>
        </w:rPr>
        <w:t>天线是整个 FM 接收系统的重要组成部分，其性能直接决定可接收到信号的强弱和质量。对于 RDA5807 模块，天线从 5 脚 FM 端接入，需要在以下几个方面加以注意：</w:t>
      </w:r>
    </w:p>
    <w:p w14:paraId="7C80508C">
      <w:pPr>
        <w:pStyle w:val="31"/>
        <w:numPr>
          <w:ilvl w:val="0"/>
          <w:numId w:val="17"/>
        </w:numPr>
        <w:spacing w:line="360" w:lineRule="auto"/>
        <w:jc w:val="left"/>
        <w:rPr>
          <w:sz w:val="24"/>
          <w:szCs w:val="24"/>
        </w:rPr>
      </w:pPr>
      <w:r>
        <w:rPr>
          <w:sz w:val="24"/>
          <w:szCs w:val="24"/>
        </w:rPr>
        <w:t>工作频段与基本理论</w:t>
      </w:r>
    </w:p>
    <w:p w14:paraId="2ACCC36E">
      <w:pPr>
        <w:spacing w:line="360" w:lineRule="auto"/>
        <w:jc w:val="left"/>
        <w:rPr>
          <w:sz w:val="24"/>
          <w:szCs w:val="24"/>
        </w:rPr>
      </w:pPr>
      <w:r>
        <w:rPr>
          <w:sz w:val="24"/>
          <w:szCs w:val="24"/>
        </w:rPr>
        <w:t xml:space="preserve">FM 广播工作在 87 MHz～108 MHz 频段。天线本质上是完成“电磁波 </w:t>
      </w:r>
      <w:r>
        <w:rPr>
          <w:rFonts w:ascii="Times New Roman" w:hAnsi="Times New Roman" w:cs="Times New Roman"/>
          <w:sz w:val="24"/>
          <w:szCs w:val="24"/>
        </w:rPr>
        <w:t>↔</w:t>
      </w:r>
      <w:r>
        <w:rPr>
          <w:sz w:val="24"/>
          <w:szCs w:val="24"/>
        </w:rPr>
        <w:t xml:space="preserve"> 电流”能量转换的装置，需要在该频段具有较好的谐振特性和辐射效率。常用的有 1/4 波长或折叠式天线形态，使用伸缩天线</w:t>
      </w:r>
      <w:r>
        <w:rPr>
          <w:rFonts w:hint="eastAsia"/>
          <w:sz w:val="24"/>
          <w:szCs w:val="24"/>
        </w:rPr>
        <w:t>和</w:t>
      </w:r>
      <w:r>
        <w:rPr>
          <w:sz w:val="24"/>
          <w:szCs w:val="24"/>
        </w:rPr>
        <w:t xml:space="preserve"> PCB 走线形式实现。</w:t>
      </w:r>
    </w:p>
    <w:p w14:paraId="7E414723">
      <w:pPr>
        <w:pStyle w:val="31"/>
        <w:numPr>
          <w:ilvl w:val="0"/>
          <w:numId w:val="17"/>
        </w:numPr>
        <w:spacing w:line="360" w:lineRule="auto"/>
        <w:jc w:val="left"/>
        <w:rPr>
          <w:sz w:val="24"/>
          <w:szCs w:val="24"/>
        </w:rPr>
      </w:pPr>
      <w:r>
        <w:rPr>
          <w:sz w:val="24"/>
          <w:szCs w:val="24"/>
        </w:rPr>
        <w:t>阻抗匹配</w:t>
      </w:r>
    </w:p>
    <w:p w14:paraId="0C72228A">
      <w:pPr>
        <w:spacing w:line="360" w:lineRule="auto"/>
        <w:jc w:val="left"/>
        <w:rPr>
          <w:sz w:val="24"/>
          <w:szCs w:val="24"/>
        </w:rPr>
      </w:pPr>
      <w:r>
        <w:rPr>
          <w:sz w:val="24"/>
          <w:szCs w:val="24"/>
        </w:rPr>
        <w:t>常见射频系统的特性阻抗为 50 Ω 或 75 Ω。天线、馈线以及 RDA5807 模块输入端之间应尽量做到阻抗匹配，以减小驻波比，减少反射损耗，提升有效接收功率。必要时可采用简单的 LC 匹配网络或 π 型匹配电路，在实测基础上微调电感、电容参数。</w:t>
      </w:r>
    </w:p>
    <w:p w14:paraId="6496F670">
      <w:pPr>
        <w:pStyle w:val="31"/>
        <w:numPr>
          <w:ilvl w:val="0"/>
          <w:numId w:val="17"/>
        </w:numPr>
        <w:spacing w:line="360" w:lineRule="auto"/>
        <w:jc w:val="left"/>
        <w:rPr>
          <w:sz w:val="24"/>
          <w:szCs w:val="24"/>
        </w:rPr>
      </w:pPr>
      <w:r>
        <w:rPr>
          <w:sz w:val="24"/>
          <w:szCs w:val="24"/>
        </w:rPr>
        <w:t>天线走线与布局</w:t>
      </w:r>
    </w:p>
    <w:p w14:paraId="3CFB80C2">
      <w:pPr>
        <w:spacing w:line="360" w:lineRule="auto"/>
        <w:jc w:val="left"/>
        <w:rPr>
          <w:sz w:val="24"/>
          <w:szCs w:val="24"/>
        </w:rPr>
      </w:pPr>
      <w:r>
        <w:rPr>
          <w:sz w:val="24"/>
          <w:szCs w:val="24"/>
        </w:rPr>
        <w:t>若采用 PCB 走线天线，应避开大面积地平面和金属外壳，保证天线周围具有足够的“自由空间”，减少金属结构对谐振频率和方向图的影响。天线走线应尽量远离数字时钟、显示线和大电流电源线，避免这些噪声耦合到射频通道</w:t>
      </w:r>
    </w:p>
    <w:p w14:paraId="0F600C5C">
      <w:pPr>
        <w:widowControl/>
        <w:jc w:val="left"/>
        <w:rPr>
          <w:b/>
          <w:bCs/>
        </w:rPr>
      </w:pPr>
      <w:r>
        <w:rPr>
          <w:b/>
          <w:bCs/>
        </w:rPr>
        <w:br w:type="page"/>
      </w:r>
    </w:p>
    <w:p w14:paraId="57680671">
      <w:pPr>
        <w:pStyle w:val="2"/>
      </w:pPr>
      <w:r>
        <w:rPr>
          <w:rFonts w:hint="eastAsia"/>
        </w:rPr>
        <w:t>软件</w:t>
      </w:r>
    </w:p>
    <w:p w14:paraId="32EB9D0C">
      <w:pPr>
        <w:spacing w:line="360" w:lineRule="auto"/>
        <w:ind w:firstLine="480" w:firstLineChars="200"/>
        <w:jc w:val="left"/>
        <w:rPr>
          <w:sz w:val="24"/>
          <w:szCs w:val="24"/>
        </w:rPr>
      </w:pPr>
      <w:r>
        <w:rPr>
          <w:sz w:val="24"/>
          <w:szCs w:val="24"/>
        </w:rPr>
        <w:t>本系统软件采用模块化设计，主要由主程序、按键扫描与处理模块以及 RDA5807 应用层控制模块等组成。考虑到篇幅与重点，报告中仅选取按键处理代码和 RDA5807 相关应用代码作为代表性示例进行展示，用以说明频率与音量控制功能的具体实现，其余初始化、显示刷新等辅助程序不再一一列出。</w:t>
      </w:r>
    </w:p>
    <w:p w14:paraId="11A1C156">
      <w:pPr>
        <w:pStyle w:val="3"/>
      </w:pPr>
      <w:r>
        <w:rPr>
          <w:rFonts w:hint="eastAsia"/>
        </w:rPr>
        <w:t>按键</w:t>
      </w:r>
    </w:p>
    <w:p w14:paraId="04D04D84">
      <w:pPr>
        <w:spacing w:line="360" w:lineRule="auto"/>
        <w:ind w:firstLine="480" w:firstLineChars="200"/>
        <w:jc w:val="left"/>
        <w:rPr>
          <w:sz w:val="24"/>
          <w:szCs w:val="24"/>
        </w:rPr>
      </w:pPr>
      <w:r>
        <w:rPr>
          <w:sz w:val="24"/>
          <w:szCs w:val="24"/>
        </w:rPr>
        <w:t>按键扫描与处理程序。使用 P33、P32、P35、P34 四个按键，分别实现音量加、音量减、频率减、频率加，通过调用 FM 模块接口来切换 7 个预设电台和 0–15 级音量。</w:t>
      </w:r>
    </w:p>
    <w:p w14:paraId="4969227B">
      <w:pPr>
        <w:rPr>
          <w:rFonts w:hint="eastAsia"/>
        </w:rPr>
      </w:pPr>
    </w:p>
    <w:p w14:paraId="615CA4EB">
      <w:r>
        <w:t xml:space="preserve">#include "fm_rda5807_app.h" </w:t>
      </w:r>
    </w:p>
    <w:p w14:paraId="0F75D640"/>
    <w:p w14:paraId="41F11EB5">
      <w:r>
        <w:t>sbit KEY_VOL_UP    = P3^3;   //  音量+</w:t>
      </w:r>
    </w:p>
    <w:p w14:paraId="5A33D3E7">
      <w:r>
        <w:t>sbit KEY_VOL_DOWN  = P3^2;   // 音量-</w:t>
      </w:r>
    </w:p>
    <w:p w14:paraId="11553012">
      <w:r>
        <w:t>sbit KEY_FREQ_DOWN = P3^5;   //  频率-</w:t>
      </w:r>
    </w:p>
    <w:p w14:paraId="0C21CC47">
      <w:r>
        <w:t>sbit KEY_FREQ_UP   = P3^4;   //  频率+</w:t>
      </w:r>
    </w:p>
    <w:p w14:paraId="107FBB8C"/>
    <w:p w14:paraId="33414FB6">
      <w:r>
        <w:t>static void KeyDelay(void)</w:t>
      </w:r>
    </w:p>
    <w:p w14:paraId="6B9BD9B3">
      <w:r>
        <w:t>{</w:t>
      </w:r>
    </w:p>
    <w:p w14:paraId="54FB8709">
      <w:r>
        <w:t xml:space="preserve">    unsigned char i,j;</w:t>
      </w:r>
    </w:p>
    <w:p w14:paraId="50784A65">
      <w:r>
        <w:t xml:space="preserve">    for(i = 0; i &lt; 100; i++)</w:t>
      </w:r>
    </w:p>
    <w:p w14:paraId="31CAF4A3">
      <w:r>
        <w:t xml:space="preserve">        for(j = 0; j &lt; 120; j++);</w:t>
      </w:r>
    </w:p>
    <w:p w14:paraId="5217D2ED">
      <w:r>
        <w:t>}</w:t>
      </w:r>
    </w:p>
    <w:p w14:paraId="7703B366"/>
    <w:p w14:paraId="64064012">
      <w:r>
        <w:t>void Key_Init(void)</w:t>
      </w:r>
    </w:p>
    <w:p w14:paraId="5ED4E1A8">
      <w:r>
        <w:t>{</w:t>
      </w:r>
    </w:p>
    <w:p w14:paraId="27E1D22F">
      <w:r>
        <w:t>}</w:t>
      </w:r>
    </w:p>
    <w:p w14:paraId="1D491AFC"/>
    <w:p w14:paraId="189CFB15">
      <w:r>
        <w:t>void Key_Scan(void)</w:t>
      </w:r>
    </w:p>
    <w:p w14:paraId="59591DAF">
      <w:r>
        <w:t>{</w:t>
      </w:r>
    </w:p>
    <w:p w14:paraId="4AD4A03C">
      <w:r>
        <w:t xml:space="preserve">    if(KEY_VOL_UP == 0)</w:t>
      </w:r>
    </w:p>
    <w:p w14:paraId="5A13F995">
      <w:r>
        <w:t xml:space="preserve">    {</w:t>
      </w:r>
    </w:p>
    <w:p w14:paraId="4B5AB686">
      <w:r>
        <w:t xml:space="preserve">        KeyDelay();</w:t>
      </w:r>
    </w:p>
    <w:p w14:paraId="72191402">
      <w:r>
        <w:t xml:space="preserve">        if(KEY_VOL_UP == 0)</w:t>
      </w:r>
    </w:p>
    <w:p w14:paraId="47218F0E">
      <w:r>
        <w:t xml:space="preserve">        {</w:t>
      </w:r>
    </w:p>
    <w:p w14:paraId="6D79EF83">
      <w:r>
        <w:t xml:space="preserve">            FM_VolumeUp();</w:t>
      </w:r>
    </w:p>
    <w:p w14:paraId="79E67636">
      <w:r>
        <w:t xml:space="preserve">            while(KEY_VOL_UP == 0);</w:t>
      </w:r>
    </w:p>
    <w:p w14:paraId="1951FF1D">
      <w:r>
        <w:t xml:space="preserve">        }</w:t>
      </w:r>
    </w:p>
    <w:p w14:paraId="79B4BAFF">
      <w:r>
        <w:t xml:space="preserve">    }</w:t>
      </w:r>
    </w:p>
    <w:p w14:paraId="2576C312"/>
    <w:p w14:paraId="58265BE2">
      <w:r>
        <w:t xml:space="preserve">    if(KEY_VOL_DOWN == 0)</w:t>
      </w:r>
    </w:p>
    <w:p w14:paraId="529FDED8">
      <w:r>
        <w:t xml:space="preserve">    {</w:t>
      </w:r>
    </w:p>
    <w:p w14:paraId="5A34D3F7">
      <w:r>
        <w:t xml:space="preserve">        KeyDelay();</w:t>
      </w:r>
    </w:p>
    <w:p w14:paraId="37B4A038">
      <w:r>
        <w:t xml:space="preserve">        if(KEY_VOL_DOWN == 0)</w:t>
      </w:r>
    </w:p>
    <w:p w14:paraId="277356FE">
      <w:r>
        <w:t xml:space="preserve">        {</w:t>
      </w:r>
    </w:p>
    <w:p w14:paraId="0EDD0F2A">
      <w:r>
        <w:t xml:space="preserve">            FM_VolumeDown();</w:t>
      </w:r>
    </w:p>
    <w:p w14:paraId="519B7D46">
      <w:r>
        <w:t xml:space="preserve">            while(KEY_VOL_DOWN == 0);</w:t>
      </w:r>
    </w:p>
    <w:p w14:paraId="5521B70D">
      <w:r>
        <w:t xml:space="preserve">        }</w:t>
      </w:r>
    </w:p>
    <w:p w14:paraId="097858A6">
      <w:r>
        <w:t xml:space="preserve">    }</w:t>
      </w:r>
    </w:p>
    <w:p w14:paraId="68ED937F"/>
    <w:p w14:paraId="7D405C01">
      <w:r>
        <w:t xml:space="preserve">    if(KEY_FREQ_DOWN == 0)</w:t>
      </w:r>
    </w:p>
    <w:p w14:paraId="29168FA5">
      <w:r>
        <w:t xml:space="preserve">    {</w:t>
      </w:r>
    </w:p>
    <w:p w14:paraId="61917B64">
      <w:r>
        <w:t xml:space="preserve">        KeyDelay();</w:t>
      </w:r>
    </w:p>
    <w:p w14:paraId="25378BFD">
      <w:r>
        <w:t xml:space="preserve">        if(KEY_FREQ_DOWN == 0)</w:t>
      </w:r>
    </w:p>
    <w:p w14:paraId="5F022886">
      <w:r>
        <w:t xml:space="preserve">        {</w:t>
      </w:r>
    </w:p>
    <w:p w14:paraId="70D97EAF">
      <w:r>
        <w:t xml:space="preserve">            FM_PrevFreq();</w:t>
      </w:r>
    </w:p>
    <w:p w14:paraId="62DDEFE4">
      <w:r>
        <w:t xml:space="preserve">            while(KEY_FREQ_DOWN == 0);</w:t>
      </w:r>
    </w:p>
    <w:p w14:paraId="7748E274">
      <w:r>
        <w:t xml:space="preserve">        }</w:t>
      </w:r>
    </w:p>
    <w:p w14:paraId="42247A2C">
      <w:r>
        <w:t xml:space="preserve">    }</w:t>
      </w:r>
    </w:p>
    <w:p w14:paraId="0C6FB18B"/>
    <w:p w14:paraId="33FAE6E1">
      <w:r>
        <w:t xml:space="preserve">    if(KEY_FREQ_UP == 0)</w:t>
      </w:r>
    </w:p>
    <w:p w14:paraId="3B782738">
      <w:r>
        <w:t xml:space="preserve">    {</w:t>
      </w:r>
    </w:p>
    <w:p w14:paraId="0B857540">
      <w:r>
        <w:t xml:space="preserve">        KeyDelay();</w:t>
      </w:r>
    </w:p>
    <w:p w14:paraId="19EFCCED">
      <w:r>
        <w:t xml:space="preserve">        if(KEY_FREQ_UP == 0)</w:t>
      </w:r>
    </w:p>
    <w:p w14:paraId="1F956E2D">
      <w:r>
        <w:t xml:space="preserve">        {</w:t>
      </w:r>
    </w:p>
    <w:p w14:paraId="42B0722A">
      <w:r>
        <w:t xml:space="preserve">            FM_NextFreq();</w:t>
      </w:r>
    </w:p>
    <w:p w14:paraId="0618897B">
      <w:r>
        <w:t xml:space="preserve">            while(KEY_FREQ_UP == 0);</w:t>
      </w:r>
    </w:p>
    <w:p w14:paraId="765EED73">
      <w:r>
        <w:t xml:space="preserve">        }</w:t>
      </w:r>
    </w:p>
    <w:p w14:paraId="32C856B4">
      <w:r>
        <w:t xml:space="preserve">    }</w:t>
      </w:r>
    </w:p>
    <w:p w14:paraId="21BFB440">
      <w:r>
        <w:t>}</w:t>
      </w:r>
    </w:p>
    <w:p w14:paraId="0ABD675F"/>
    <w:p w14:paraId="416EEC32">
      <w:pPr>
        <w:pStyle w:val="3"/>
      </w:pPr>
      <w:r>
        <w:rPr>
          <w:rFonts w:hint="eastAsia"/>
        </w:rPr>
        <w:t>RDA5807</w:t>
      </w:r>
    </w:p>
    <w:p w14:paraId="0A0E6E39">
      <w:pPr>
        <w:spacing w:line="360" w:lineRule="auto"/>
        <w:ind w:firstLine="480" w:firstLineChars="200"/>
        <w:jc w:val="left"/>
        <w:rPr>
          <w:sz w:val="24"/>
          <w:szCs w:val="24"/>
        </w:rPr>
      </w:pPr>
      <w:r>
        <w:rPr>
          <w:sz w:val="24"/>
          <w:szCs w:val="24"/>
        </w:rPr>
        <w:t>RDA5807 应用层程序。在底层驱动 RDA_FM5807P_drv_V3.3 的基础上，内置 7 个固定频率表：95.5、93.8、91.8、90.5、89.3、105.0、101.7 MHz，以及 0–15 共 16 级音量。提供初始化、频率加减、音量加减及当前频率/音量查询接口，供按键程序调用。</w:t>
      </w:r>
    </w:p>
    <w:p w14:paraId="35285C2A">
      <w:pPr>
        <w:rPr>
          <w:b/>
          <w:bCs/>
        </w:rPr>
      </w:pPr>
    </w:p>
    <w:p w14:paraId="76A00631">
      <w:r>
        <w:t>typedef unsigned char      uint8;</w:t>
      </w:r>
    </w:p>
    <w:p w14:paraId="741A840D">
      <w:r>
        <w:t>typedef unsigned short int uint16;</w:t>
      </w:r>
    </w:p>
    <w:p w14:paraId="3848E979">
      <w:r>
        <w:t>typedef short int          int16;</w:t>
      </w:r>
    </w:p>
    <w:p w14:paraId="60319F72">
      <w:r>
        <w:t>typedef unsigned char      bool;</w:t>
      </w:r>
    </w:p>
    <w:p w14:paraId="6ABEC61B"/>
    <w:p w14:paraId="33C2F704">
      <w:r>
        <w:t>#include "RDA_FM5807P_drv_V3.3.h"</w:t>
      </w:r>
    </w:p>
    <w:p w14:paraId="598B1BEF"/>
    <w:p w14:paraId="48BB849A">
      <w:r>
        <w:t>const uint16 g_FM_FreqTable[] =</w:t>
      </w:r>
    </w:p>
    <w:p w14:paraId="5CDAED8C">
      <w:r>
        <w:t>{</w:t>
      </w:r>
    </w:p>
    <w:p w14:paraId="55D7F963">
      <w:r>
        <w:t xml:space="preserve">    9550,</w:t>
      </w:r>
    </w:p>
    <w:p w14:paraId="59872986">
      <w:r>
        <w:t xml:space="preserve">    9380,</w:t>
      </w:r>
    </w:p>
    <w:p w14:paraId="3150DC5D">
      <w:r>
        <w:t xml:space="preserve">    9180,</w:t>
      </w:r>
    </w:p>
    <w:p w14:paraId="062297BB">
      <w:r>
        <w:t xml:space="preserve">    9050,</w:t>
      </w:r>
    </w:p>
    <w:p w14:paraId="7823A065">
      <w:r>
        <w:t xml:space="preserve">    8930,</w:t>
      </w:r>
    </w:p>
    <w:p w14:paraId="09CD3D21">
      <w:r>
        <w:t xml:space="preserve">    10500,</w:t>
      </w:r>
    </w:p>
    <w:p w14:paraId="21AEC6F9">
      <w:r>
        <w:t xml:space="preserve">    10170</w:t>
      </w:r>
    </w:p>
    <w:p w14:paraId="491409D6">
      <w:r>
        <w:t>};</w:t>
      </w:r>
    </w:p>
    <w:p w14:paraId="20CA263E"/>
    <w:p w14:paraId="0629E7A7">
      <w:r>
        <w:t>#define FM_FREQ_NUM (sizeof(g_FM_FreqTable) / sizeof(g_FM_FreqTable[0]))</w:t>
      </w:r>
    </w:p>
    <w:p w14:paraId="10A89DF4"/>
    <w:p w14:paraId="2FC05A88">
      <w:r>
        <w:t>static uint8 s_freq_index = 0;</w:t>
      </w:r>
    </w:p>
    <w:p w14:paraId="015DD26D">
      <w:r>
        <w:t>static uint8 s_volume     = 8;</w:t>
      </w:r>
    </w:p>
    <w:p w14:paraId="075E49DC"/>
    <w:p w14:paraId="4744417B">
      <w:r>
        <w:t>static void FM_Apply(void)</w:t>
      </w:r>
    </w:p>
    <w:p w14:paraId="2090F8BE">
      <w:r>
        <w:t>{</w:t>
      </w:r>
    </w:p>
    <w:p w14:paraId="74A36624">
      <w:r>
        <w:t xml:space="preserve">    RDA5807P_SetFreq((int16)g_FM_FreqTable[s_freq_index]);</w:t>
      </w:r>
    </w:p>
    <w:p w14:paraId="3B925A1B">
      <w:r>
        <w:t xml:space="preserve">    RDA5807P_SetVolumeLevel(s_volume);</w:t>
      </w:r>
    </w:p>
    <w:p w14:paraId="78978E5A">
      <w:r>
        <w:t>}</w:t>
      </w:r>
    </w:p>
    <w:p w14:paraId="693D1D03"/>
    <w:p w14:paraId="688EE1EA">
      <w:r>
        <w:t>void FM_Init(void)</w:t>
      </w:r>
    </w:p>
    <w:p w14:paraId="4C7DC871">
      <w:r>
        <w:t>{</w:t>
      </w:r>
    </w:p>
    <w:p w14:paraId="107F6940">
      <w:r>
        <w:t xml:space="preserve">    RDA5807P_PowerOnReset();</w:t>
      </w:r>
    </w:p>
    <w:p w14:paraId="02F579B2">
      <w:r>
        <w:t xml:space="preserve">    RDA5807P_SetMute(0);</w:t>
      </w:r>
    </w:p>
    <w:p w14:paraId="1E4A530B">
      <w:r>
        <w:t xml:space="preserve">    s_freq_index = 0;</w:t>
      </w:r>
    </w:p>
    <w:p w14:paraId="24609B60">
      <w:r>
        <w:t xml:space="preserve">    s_volume = 8;</w:t>
      </w:r>
    </w:p>
    <w:p w14:paraId="29357C35">
      <w:r>
        <w:t xml:space="preserve">    FM_Apply();</w:t>
      </w:r>
    </w:p>
    <w:p w14:paraId="03EAB7ED">
      <w:r>
        <w:t>}</w:t>
      </w:r>
    </w:p>
    <w:p w14:paraId="5E9EBB30"/>
    <w:p w14:paraId="0A801435">
      <w:r>
        <w:t>void FM_NextFreq(void)</w:t>
      </w:r>
    </w:p>
    <w:p w14:paraId="6E93DAB7">
      <w:r>
        <w:t>{</w:t>
      </w:r>
    </w:p>
    <w:p w14:paraId="393A97CA">
      <w:r>
        <w:t xml:space="preserve">    s_freq_index++;</w:t>
      </w:r>
    </w:p>
    <w:p w14:paraId="17DDFD39">
      <w:r>
        <w:t xml:space="preserve">    if(s_freq_index &gt;= FM_FREQ_NUM)</w:t>
      </w:r>
    </w:p>
    <w:p w14:paraId="3A482935">
      <w:r>
        <w:t xml:space="preserve">        s_freq_index = 0;</w:t>
      </w:r>
    </w:p>
    <w:p w14:paraId="7D61A440">
      <w:r>
        <w:t xml:space="preserve">    FM_Apply();</w:t>
      </w:r>
    </w:p>
    <w:p w14:paraId="25E72ED3">
      <w:r>
        <w:t>}</w:t>
      </w:r>
    </w:p>
    <w:p w14:paraId="30FC2CFE"/>
    <w:p w14:paraId="5556EC08">
      <w:r>
        <w:t>void FM_PrevFreq(void)</w:t>
      </w:r>
    </w:p>
    <w:p w14:paraId="02A9CDFF">
      <w:r>
        <w:t>{</w:t>
      </w:r>
    </w:p>
    <w:p w14:paraId="47505001">
      <w:r>
        <w:t xml:space="preserve">    if(s_freq_index == 0)</w:t>
      </w:r>
    </w:p>
    <w:p w14:paraId="6F1A222F">
      <w:r>
        <w:t xml:space="preserve">        s_freq_index = FM_FREQ_NUM - 1;</w:t>
      </w:r>
    </w:p>
    <w:p w14:paraId="589E6487">
      <w:r>
        <w:t xml:space="preserve">    else</w:t>
      </w:r>
    </w:p>
    <w:p w14:paraId="4F8367D5">
      <w:r>
        <w:t xml:space="preserve">        s_freq_index--;</w:t>
      </w:r>
    </w:p>
    <w:p w14:paraId="7F333995">
      <w:r>
        <w:t xml:space="preserve">    FM_Apply();</w:t>
      </w:r>
    </w:p>
    <w:p w14:paraId="6B34F5D9">
      <w:r>
        <w:t>}</w:t>
      </w:r>
    </w:p>
    <w:p w14:paraId="69C87540"/>
    <w:p w14:paraId="4A46F5FC">
      <w:r>
        <w:t>void FM_VolumeUp(void)</w:t>
      </w:r>
    </w:p>
    <w:p w14:paraId="1F57A74E">
      <w:r>
        <w:t>{</w:t>
      </w:r>
    </w:p>
    <w:p w14:paraId="00BA1E40">
      <w:r>
        <w:t xml:space="preserve">    if(s_volume &lt; 15)</w:t>
      </w:r>
    </w:p>
    <w:p w14:paraId="7F273897">
      <w:r>
        <w:t xml:space="preserve">    {</w:t>
      </w:r>
    </w:p>
    <w:p w14:paraId="1EB2F3AB">
      <w:r>
        <w:t xml:space="preserve">        s_volume++;</w:t>
      </w:r>
    </w:p>
    <w:p w14:paraId="523A9B0C">
      <w:r>
        <w:t xml:space="preserve">        FM_Apply();</w:t>
      </w:r>
    </w:p>
    <w:p w14:paraId="2D5AF07B">
      <w:r>
        <w:t xml:space="preserve">    }</w:t>
      </w:r>
    </w:p>
    <w:p w14:paraId="14C85F5A">
      <w:r>
        <w:t>}</w:t>
      </w:r>
    </w:p>
    <w:p w14:paraId="65FEA9CE"/>
    <w:p w14:paraId="75C520D2">
      <w:r>
        <w:t>void FM_VolumeDown(void)</w:t>
      </w:r>
    </w:p>
    <w:p w14:paraId="26890217">
      <w:r>
        <w:t>{</w:t>
      </w:r>
    </w:p>
    <w:p w14:paraId="7121F21C">
      <w:r>
        <w:t xml:space="preserve">    if(s_volume &gt; 0)</w:t>
      </w:r>
    </w:p>
    <w:p w14:paraId="3E52207F">
      <w:r>
        <w:t xml:space="preserve">    {</w:t>
      </w:r>
    </w:p>
    <w:p w14:paraId="6FB57995">
      <w:r>
        <w:t xml:space="preserve">        s_volume--;</w:t>
      </w:r>
    </w:p>
    <w:p w14:paraId="200633FB">
      <w:r>
        <w:t xml:space="preserve">        FM_Apply();</w:t>
      </w:r>
    </w:p>
    <w:p w14:paraId="2904D88F">
      <w:r>
        <w:t xml:space="preserve">    }</w:t>
      </w:r>
    </w:p>
    <w:p w14:paraId="39F4BE84">
      <w:r>
        <w:t>}</w:t>
      </w:r>
    </w:p>
    <w:p w14:paraId="7D3D9C40"/>
    <w:p w14:paraId="3FA03C56">
      <w:r>
        <w:t>uint16 FM_GetCurrentFreq(void)</w:t>
      </w:r>
    </w:p>
    <w:p w14:paraId="0137771A">
      <w:r>
        <w:t>{</w:t>
      </w:r>
    </w:p>
    <w:p w14:paraId="47E0DB57">
      <w:r>
        <w:t xml:space="preserve">    return g_FM_FreqTable[s_freq_index];</w:t>
      </w:r>
    </w:p>
    <w:p w14:paraId="184B699B">
      <w:r>
        <w:t>}</w:t>
      </w:r>
    </w:p>
    <w:p w14:paraId="201F2BD0"/>
    <w:p w14:paraId="66E08F7F">
      <w:r>
        <w:t>uint8 FM_GetCurrentVolume(void)</w:t>
      </w:r>
    </w:p>
    <w:p w14:paraId="42AB85BE">
      <w:r>
        <w:t>{return s_volume;}</w:t>
      </w:r>
    </w:p>
    <w:p w14:paraId="2C53F050">
      <w:pPr>
        <w:widowControl/>
        <w:jc w:val="left"/>
      </w:pPr>
      <w:r>
        <w:br w:type="page"/>
      </w:r>
    </w:p>
    <w:p w14:paraId="233522D2">
      <w:pPr>
        <w:pStyle w:val="2"/>
      </w:pPr>
      <w:r>
        <w:t>系统测试与结果分析</w:t>
      </w:r>
    </w:p>
    <w:p w14:paraId="30913C08">
      <w:pPr>
        <w:pStyle w:val="3"/>
      </w:pPr>
      <w:r>
        <w:t>功能性测试</w:t>
      </w:r>
    </w:p>
    <w:p w14:paraId="473CED3C">
      <w:pPr>
        <w:spacing w:line="360" w:lineRule="auto"/>
        <w:jc w:val="left"/>
        <w:rPr>
          <w:b/>
          <w:bCs/>
          <w:sz w:val="24"/>
          <w:szCs w:val="24"/>
        </w:rPr>
      </w:pPr>
      <w:r>
        <w:rPr>
          <w:b/>
          <w:bCs/>
        </w:rPr>
        <w:t xml:space="preserve">  </w:t>
      </w:r>
      <w:r>
        <w:rPr>
          <w:b/>
          <w:bCs/>
          <w:sz w:val="24"/>
          <w:szCs w:val="24"/>
        </w:rPr>
        <w:t>预设频率接收测试</w:t>
      </w:r>
    </w:p>
    <w:p w14:paraId="5EB32B2D">
      <w:pPr>
        <w:spacing w:line="360" w:lineRule="auto"/>
        <w:jc w:val="left"/>
        <w:rPr>
          <w:sz w:val="24"/>
          <w:szCs w:val="24"/>
        </w:rPr>
      </w:pPr>
      <w:r>
        <w:rPr>
          <w:sz w:val="24"/>
          <w:szCs w:val="24"/>
        </w:rPr>
        <w:t>1）通过按键依次切换 7 个预设频率：95.5、93.8、91.8、90.5、89.3、105.0、101.7 MHz；</w:t>
      </w:r>
    </w:p>
    <w:p w14:paraId="2FD768CB">
      <w:pPr>
        <w:spacing w:line="360" w:lineRule="auto"/>
        <w:jc w:val="left"/>
        <w:rPr>
          <w:sz w:val="24"/>
          <w:szCs w:val="24"/>
        </w:rPr>
      </w:pPr>
      <w:r>
        <w:rPr>
          <w:sz w:val="24"/>
          <w:szCs w:val="24"/>
        </w:rPr>
        <w:t>2）在每个频点停留若干秒，观察是否能稳定收到对应电台节目，是否存在明显噪声或者频点偏移；</w:t>
      </w:r>
    </w:p>
    <w:p w14:paraId="06E106B6">
      <w:pPr>
        <w:spacing w:line="360" w:lineRule="auto"/>
        <w:jc w:val="left"/>
        <w:rPr>
          <w:sz w:val="24"/>
          <w:szCs w:val="24"/>
        </w:rPr>
      </w:pPr>
      <w:r>
        <w:rPr>
          <w:sz w:val="24"/>
          <w:szCs w:val="24"/>
        </w:rPr>
        <w:t>3）循环多次切换，检查是否存在某些频点无法锁定或切换异常的情况。</w:t>
      </w:r>
    </w:p>
    <w:p w14:paraId="706B082E">
      <w:pPr>
        <w:spacing w:line="360" w:lineRule="auto"/>
        <w:jc w:val="left"/>
        <w:rPr>
          <w:sz w:val="24"/>
          <w:szCs w:val="24"/>
        </w:rPr>
      </w:pPr>
      <w:r>
        <w:rPr>
          <w:sz w:val="24"/>
          <w:szCs w:val="24"/>
        </w:rPr>
        <w:t></w:t>
      </w:r>
      <w:r>
        <w:rPr>
          <w:b/>
          <w:bCs/>
          <w:sz w:val="24"/>
          <w:szCs w:val="24"/>
        </w:rPr>
        <w:t xml:space="preserve">  按键响应与逻辑测试</w:t>
      </w:r>
    </w:p>
    <w:p w14:paraId="46FA2E76">
      <w:pPr>
        <w:spacing w:line="360" w:lineRule="auto"/>
        <w:jc w:val="left"/>
        <w:rPr>
          <w:sz w:val="24"/>
          <w:szCs w:val="24"/>
        </w:rPr>
      </w:pPr>
      <w:r>
        <w:rPr>
          <w:sz w:val="24"/>
          <w:szCs w:val="24"/>
        </w:rPr>
        <w:t>1）分别测试“频率+”“频率</w:t>
      </w:r>
      <w:r>
        <w:rPr>
          <w:rFonts w:ascii="Cambria Math" w:hAnsi="Cambria Math" w:cs="Cambria Math"/>
          <w:sz w:val="24"/>
          <w:szCs w:val="24"/>
        </w:rPr>
        <w:t>−</w:t>
      </w:r>
      <w:r>
        <w:rPr>
          <w:rFonts w:hint="eastAsia"/>
          <w:sz w:val="24"/>
          <w:szCs w:val="24"/>
        </w:rPr>
        <w:t>”“</w:t>
      </w:r>
      <w:r>
        <w:rPr>
          <w:sz w:val="24"/>
          <w:szCs w:val="24"/>
        </w:rPr>
        <w:t>音量+”“音量</w:t>
      </w:r>
      <w:r>
        <w:rPr>
          <w:rFonts w:ascii="Cambria Math" w:hAnsi="Cambria Math" w:cs="Cambria Math"/>
          <w:sz w:val="24"/>
          <w:szCs w:val="24"/>
        </w:rPr>
        <w:t>−</w:t>
      </w:r>
      <w:r>
        <w:rPr>
          <w:rFonts w:hint="eastAsia"/>
          <w:sz w:val="24"/>
          <w:szCs w:val="24"/>
        </w:rPr>
        <w:t>”</w:t>
      </w:r>
      <w:r>
        <w:rPr>
          <w:sz w:val="24"/>
          <w:szCs w:val="24"/>
        </w:rPr>
        <w:t>四个按键，检查每次按下是否触发正确的功能；</w:t>
      </w:r>
    </w:p>
    <w:p w14:paraId="454070F5">
      <w:pPr>
        <w:spacing w:line="360" w:lineRule="auto"/>
        <w:jc w:val="left"/>
        <w:rPr>
          <w:sz w:val="24"/>
          <w:szCs w:val="24"/>
        </w:rPr>
      </w:pPr>
      <w:r>
        <w:rPr>
          <w:sz w:val="24"/>
          <w:szCs w:val="24"/>
        </w:rPr>
        <w:t>2）连续快速按动按键，观察是否存在多次触发、误触发或者按键不灵敏等问题；</w:t>
      </w:r>
    </w:p>
    <w:p w14:paraId="01CB36CF">
      <w:pPr>
        <w:spacing w:line="360" w:lineRule="auto"/>
        <w:jc w:val="left"/>
        <w:rPr>
          <w:sz w:val="24"/>
          <w:szCs w:val="24"/>
        </w:rPr>
      </w:pPr>
      <w:r>
        <w:rPr>
          <w:sz w:val="24"/>
          <w:szCs w:val="24"/>
        </w:rPr>
        <w:t>3）对每个按键进行长按和短按实验，确认在当前软件设计下，按键行为是否符合预期。</w:t>
      </w:r>
    </w:p>
    <w:p w14:paraId="44BC96F7">
      <w:pPr>
        <w:spacing w:line="360" w:lineRule="auto"/>
        <w:jc w:val="left"/>
        <w:rPr>
          <w:b/>
          <w:bCs/>
          <w:sz w:val="24"/>
          <w:szCs w:val="24"/>
        </w:rPr>
      </w:pPr>
      <w:r>
        <w:rPr>
          <w:b/>
          <w:bCs/>
          <w:sz w:val="24"/>
          <w:szCs w:val="24"/>
        </w:rPr>
        <w:t>  音量调节测试</w:t>
      </w:r>
    </w:p>
    <w:p w14:paraId="2C45C374">
      <w:pPr>
        <w:spacing w:line="360" w:lineRule="auto"/>
        <w:jc w:val="left"/>
        <w:rPr>
          <w:sz w:val="24"/>
          <w:szCs w:val="24"/>
        </w:rPr>
      </w:pPr>
      <w:r>
        <w:rPr>
          <w:sz w:val="24"/>
          <w:szCs w:val="24"/>
        </w:rPr>
        <w:t>1）以接收某个信号较强的电台为例，从音量 0 开始逐级按“音量+”直至 15 级，听辨音量变化是否连续、平滑；</w:t>
      </w:r>
    </w:p>
    <w:p w14:paraId="52CDF4B9">
      <w:pPr>
        <w:spacing w:line="360" w:lineRule="auto"/>
        <w:jc w:val="left"/>
        <w:rPr>
          <w:sz w:val="24"/>
          <w:szCs w:val="24"/>
        </w:rPr>
      </w:pPr>
      <w:r>
        <w:rPr>
          <w:sz w:val="24"/>
          <w:szCs w:val="24"/>
        </w:rPr>
        <w:t>2）从音量 15 级开始，逐级按“音量</w:t>
      </w:r>
      <w:r>
        <w:rPr>
          <w:rFonts w:ascii="Cambria Math" w:hAnsi="Cambria Math" w:cs="Cambria Math"/>
          <w:sz w:val="24"/>
          <w:szCs w:val="24"/>
        </w:rPr>
        <w:t>−</w:t>
      </w:r>
      <w:r>
        <w:rPr>
          <w:rFonts w:hint="eastAsia"/>
          <w:sz w:val="24"/>
          <w:szCs w:val="24"/>
        </w:rPr>
        <w:t>”</w:t>
      </w:r>
      <w:r>
        <w:rPr>
          <w:sz w:val="24"/>
          <w:szCs w:val="24"/>
        </w:rPr>
        <w:t>降至 0 级，观察是否存在某些级别变化不明显或突然跳变；</w:t>
      </w:r>
    </w:p>
    <w:p w14:paraId="6C0249A3">
      <w:pPr>
        <w:spacing w:line="360" w:lineRule="auto"/>
        <w:jc w:val="left"/>
        <w:rPr>
          <w:sz w:val="24"/>
          <w:szCs w:val="24"/>
        </w:rPr>
      </w:pPr>
      <w:r>
        <w:rPr>
          <w:sz w:val="24"/>
          <w:szCs w:val="24"/>
        </w:rPr>
        <w:t>3）在音量 0 级时检查是否接近静音效果，在最大音量时检查是否出现明显失真和爆音。</w:t>
      </w:r>
    </w:p>
    <w:p w14:paraId="1E5026C9">
      <w:pPr>
        <w:spacing w:line="360" w:lineRule="auto"/>
        <w:jc w:val="left"/>
        <w:rPr>
          <w:sz w:val="24"/>
          <w:szCs w:val="24"/>
        </w:rPr>
      </w:pPr>
      <w:r>
        <w:rPr>
          <w:sz w:val="24"/>
          <w:szCs w:val="24"/>
        </w:rPr>
        <w:t xml:space="preserve"> </w:t>
      </w:r>
      <w:r>
        <w:rPr>
          <w:b/>
          <w:bCs/>
          <w:sz w:val="24"/>
          <w:szCs w:val="24"/>
        </w:rPr>
        <w:t xml:space="preserve"> 显示与状态对应测试</w:t>
      </w:r>
    </w:p>
    <w:p w14:paraId="3531EE54">
      <w:pPr>
        <w:spacing w:line="360" w:lineRule="auto"/>
        <w:jc w:val="left"/>
        <w:rPr>
          <w:sz w:val="24"/>
          <w:szCs w:val="24"/>
        </w:rPr>
      </w:pPr>
      <w:r>
        <w:rPr>
          <w:sz w:val="24"/>
          <w:szCs w:val="24"/>
        </w:rPr>
        <w:t>1）在不同预设频率下，检查数码管显示是否与实际设定频率一致；</w:t>
      </w:r>
    </w:p>
    <w:p w14:paraId="2ECFD307">
      <w:pPr>
        <w:spacing w:line="360" w:lineRule="auto"/>
        <w:jc w:val="left"/>
        <w:rPr>
          <w:sz w:val="24"/>
          <w:szCs w:val="24"/>
        </w:rPr>
      </w:pPr>
      <w:r>
        <w:rPr>
          <w:sz w:val="24"/>
          <w:szCs w:val="24"/>
        </w:rPr>
        <w:t>2）在切换频率和调整音量时，观察显示是否存在乱码、闪烁异常或者刷新不及时等现象。</w:t>
      </w:r>
    </w:p>
    <w:p w14:paraId="219FA8BF"/>
    <w:p w14:paraId="7200F92A">
      <w:pPr>
        <w:pStyle w:val="3"/>
      </w:pPr>
      <w:r>
        <w:t>性能测试</w:t>
      </w:r>
    </w:p>
    <w:p w14:paraId="48AC1E8E">
      <w:pPr>
        <w:spacing w:line="360" w:lineRule="auto"/>
        <w:jc w:val="left"/>
        <w:rPr>
          <w:b/>
          <w:bCs/>
          <w:sz w:val="24"/>
          <w:szCs w:val="24"/>
        </w:rPr>
      </w:pPr>
      <w:r>
        <w:t xml:space="preserve">  </w:t>
      </w:r>
      <w:r>
        <w:rPr>
          <w:b/>
          <w:bCs/>
          <w:sz w:val="24"/>
          <w:szCs w:val="24"/>
        </w:rPr>
        <w:t>接收效果与灵敏度</w:t>
      </w:r>
    </w:p>
    <w:p w14:paraId="358E9A71">
      <w:pPr>
        <w:spacing w:line="360" w:lineRule="auto"/>
        <w:jc w:val="left"/>
        <w:rPr>
          <w:sz w:val="24"/>
          <w:szCs w:val="24"/>
        </w:rPr>
      </w:pPr>
      <w:r>
        <w:rPr>
          <w:sz w:val="24"/>
          <w:szCs w:val="24"/>
        </w:rPr>
        <w:t>1）选择强台、中等强度电台和较弱电台各若干个进行收听；</w:t>
      </w:r>
    </w:p>
    <w:p w14:paraId="06BE40C6">
      <w:pPr>
        <w:spacing w:line="360" w:lineRule="auto"/>
        <w:jc w:val="left"/>
        <w:rPr>
          <w:sz w:val="24"/>
          <w:szCs w:val="24"/>
        </w:rPr>
      </w:pPr>
      <w:r>
        <w:rPr>
          <w:sz w:val="24"/>
          <w:szCs w:val="24"/>
        </w:rPr>
        <w:t>2）在不同频点下，主观评价声音清晰度、底噪大小、是否容易出现“沙沙声”；</w:t>
      </w:r>
    </w:p>
    <w:p w14:paraId="1B200878">
      <w:pPr>
        <w:spacing w:line="360" w:lineRule="auto"/>
        <w:jc w:val="left"/>
        <w:rPr>
          <w:sz w:val="24"/>
          <w:szCs w:val="24"/>
        </w:rPr>
      </w:pPr>
      <w:r>
        <w:rPr>
          <w:sz w:val="24"/>
          <w:szCs w:val="24"/>
        </w:rPr>
        <w:t>3）将天线适当拉长或改变方向，观察接收效果变化，判断系统对信号强弱的敏感情况。</w:t>
      </w:r>
    </w:p>
    <w:p w14:paraId="1636EA24">
      <w:pPr>
        <w:spacing w:line="360" w:lineRule="auto"/>
        <w:jc w:val="left"/>
        <w:rPr>
          <w:b/>
          <w:bCs/>
          <w:sz w:val="24"/>
          <w:szCs w:val="24"/>
        </w:rPr>
      </w:pPr>
      <w:r>
        <w:rPr>
          <w:b/>
          <w:bCs/>
          <w:sz w:val="24"/>
          <w:szCs w:val="24"/>
        </w:rPr>
        <w:t>  音质与噪声测试</w:t>
      </w:r>
    </w:p>
    <w:p w14:paraId="118D2767">
      <w:pPr>
        <w:spacing w:line="360" w:lineRule="auto"/>
        <w:jc w:val="left"/>
        <w:rPr>
          <w:sz w:val="24"/>
          <w:szCs w:val="24"/>
        </w:rPr>
      </w:pPr>
      <w:r>
        <w:rPr>
          <w:sz w:val="24"/>
          <w:szCs w:val="24"/>
        </w:rPr>
        <w:t>1）在中等音量（如 8～10 级）下，收听语音类节目（新闻、播报）和音乐类节目，主观判断高频是否刺耳、低频是否明显不足、整体是否自然；</w:t>
      </w:r>
    </w:p>
    <w:p w14:paraId="01E740DF">
      <w:pPr>
        <w:spacing w:line="360" w:lineRule="auto"/>
        <w:jc w:val="left"/>
        <w:rPr>
          <w:sz w:val="24"/>
          <w:szCs w:val="24"/>
        </w:rPr>
      </w:pPr>
      <w:r>
        <w:rPr>
          <w:sz w:val="24"/>
          <w:szCs w:val="24"/>
        </w:rPr>
        <w:t>2）察底噪水平和杂音情况，判断电源纹波和高频干扰是否明显；</w:t>
      </w:r>
    </w:p>
    <w:p w14:paraId="36F1A754">
      <w:pPr>
        <w:spacing w:line="360" w:lineRule="auto"/>
        <w:jc w:val="left"/>
        <w:rPr>
          <w:sz w:val="24"/>
          <w:szCs w:val="24"/>
        </w:rPr>
      </w:pPr>
      <w:r>
        <w:rPr>
          <w:sz w:val="24"/>
          <w:szCs w:val="24"/>
        </w:rPr>
        <w:t>3）切换不同音量级别，检查是否会引入额外噪音或啸叫。</w:t>
      </w:r>
    </w:p>
    <w:p w14:paraId="2B99401C">
      <w:pPr>
        <w:spacing w:line="360" w:lineRule="auto"/>
        <w:jc w:val="left"/>
        <w:rPr>
          <w:b/>
          <w:bCs/>
          <w:sz w:val="24"/>
          <w:szCs w:val="24"/>
        </w:rPr>
      </w:pPr>
      <w:r>
        <w:rPr>
          <w:b/>
          <w:bCs/>
          <w:sz w:val="24"/>
          <w:szCs w:val="24"/>
        </w:rPr>
        <w:t>  频率稳定性测试</w:t>
      </w:r>
    </w:p>
    <w:p w14:paraId="6BCCF0EA">
      <w:pPr>
        <w:spacing w:line="360" w:lineRule="auto"/>
        <w:jc w:val="left"/>
        <w:rPr>
          <w:sz w:val="24"/>
          <w:szCs w:val="24"/>
        </w:rPr>
      </w:pPr>
      <w:r>
        <w:rPr>
          <w:sz w:val="24"/>
          <w:szCs w:val="24"/>
        </w:rPr>
        <w:t xml:space="preserve">1）在接收到某一电台之后，保持系统连续工作 </w:t>
      </w:r>
      <w:r>
        <w:rPr>
          <w:rFonts w:hint="eastAsia"/>
          <w:sz w:val="24"/>
          <w:szCs w:val="24"/>
        </w:rPr>
        <w:t>5</w:t>
      </w:r>
      <w:r>
        <w:rPr>
          <w:sz w:val="24"/>
          <w:szCs w:val="24"/>
        </w:rPr>
        <w:t>～</w:t>
      </w:r>
      <w:r>
        <w:rPr>
          <w:rFonts w:hint="eastAsia"/>
          <w:sz w:val="24"/>
          <w:szCs w:val="24"/>
        </w:rPr>
        <w:t>10</w:t>
      </w:r>
      <w:r>
        <w:rPr>
          <w:sz w:val="24"/>
          <w:szCs w:val="24"/>
        </w:rPr>
        <w:t xml:space="preserve"> 分钟，观察是否出现明显跑频或忽然丢台现象；</w:t>
      </w:r>
    </w:p>
    <w:p w14:paraId="6FAD2325">
      <w:pPr>
        <w:spacing w:line="360" w:lineRule="auto"/>
        <w:jc w:val="left"/>
        <w:rPr>
          <w:sz w:val="24"/>
          <w:szCs w:val="24"/>
        </w:rPr>
      </w:pPr>
      <w:r>
        <w:rPr>
          <w:sz w:val="24"/>
          <w:szCs w:val="24"/>
        </w:rPr>
        <w:t>2）轻微晃动电路板和调整天线，观察是否有接触不良或振动导致声音中断的问题。</w:t>
      </w:r>
    </w:p>
    <w:p w14:paraId="0F443B30">
      <w:pPr>
        <w:pStyle w:val="3"/>
      </w:pPr>
      <w:r>
        <w:t>运行稳定性与可靠性测试</w:t>
      </w:r>
    </w:p>
    <w:p w14:paraId="62F16E00">
      <w:pPr>
        <w:spacing w:line="360" w:lineRule="auto"/>
        <w:jc w:val="left"/>
        <w:rPr>
          <w:b/>
          <w:bCs/>
          <w:sz w:val="24"/>
          <w:szCs w:val="24"/>
        </w:rPr>
      </w:pPr>
      <w:r>
        <w:rPr>
          <w:b/>
          <w:bCs/>
        </w:rPr>
        <w:t xml:space="preserve">  </w:t>
      </w:r>
      <w:r>
        <w:rPr>
          <w:b/>
          <w:bCs/>
          <w:sz w:val="24"/>
          <w:szCs w:val="24"/>
        </w:rPr>
        <w:t>长时间运行测试</w:t>
      </w:r>
    </w:p>
    <w:p w14:paraId="0BBC5BA4">
      <w:pPr>
        <w:spacing w:line="360" w:lineRule="auto"/>
        <w:jc w:val="left"/>
        <w:rPr>
          <w:sz w:val="24"/>
          <w:szCs w:val="24"/>
        </w:rPr>
      </w:pPr>
      <w:r>
        <w:rPr>
          <w:sz w:val="24"/>
          <w:szCs w:val="24"/>
        </w:rPr>
        <w:t>1）让系统连续工作 1 小时以上，期间频繁进行频道切换和音量调节；</w:t>
      </w:r>
    </w:p>
    <w:p w14:paraId="662B86C4">
      <w:pPr>
        <w:spacing w:line="360" w:lineRule="auto"/>
        <w:jc w:val="left"/>
        <w:rPr>
          <w:sz w:val="24"/>
          <w:szCs w:val="24"/>
        </w:rPr>
      </w:pPr>
      <w:r>
        <w:rPr>
          <w:sz w:val="24"/>
          <w:szCs w:val="24"/>
        </w:rPr>
        <w:t>2）观察是否出现死机、自动复位、严重发热或功放啸叫等异常现象。</w:t>
      </w:r>
    </w:p>
    <w:p w14:paraId="1675AA84">
      <w:pPr>
        <w:spacing w:line="360" w:lineRule="auto"/>
        <w:jc w:val="left"/>
        <w:rPr>
          <w:sz w:val="24"/>
          <w:szCs w:val="24"/>
        </w:rPr>
      </w:pPr>
      <w:r>
        <w:rPr>
          <w:sz w:val="24"/>
          <w:szCs w:val="24"/>
        </w:rPr>
        <w:t xml:space="preserve">  </w:t>
      </w:r>
      <w:r>
        <w:rPr>
          <w:b/>
          <w:bCs/>
          <w:sz w:val="24"/>
          <w:szCs w:val="24"/>
        </w:rPr>
        <w:t>电源与温升检查</w:t>
      </w:r>
    </w:p>
    <w:p w14:paraId="3D9A2A68">
      <w:pPr>
        <w:spacing w:line="360" w:lineRule="auto"/>
        <w:jc w:val="left"/>
        <w:rPr>
          <w:sz w:val="24"/>
          <w:szCs w:val="24"/>
        </w:rPr>
      </w:pPr>
      <w:r>
        <w:rPr>
          <w:sz w:val="24"/>
          <w:szCs w:val="24"/>
        </w:rPr>
        <w:t>1）使用万用表实测稳压后 3.3V 电压是否稳定在允许范围内；</w:t>
      </w:r>
    </w:p>
    <w:p w14:paraId="2EDE0730">
      <w:pPr>
        <w:spacing w:line="360" w:lineRule="auto"/>
        <w:jc w:val="left"/>
        <w:rPr>
          <w:sz w:val="24"/>
          <w:szCs w:val="24"/>
        </w:rPr>
      </w:pPr>
      <w:r>
        <w:rPr>
          <w:sz w:val="24"/>
          <w:szCs w:val="24"/>
        </w:rPr>
        <w:t>2）在连续工作状态下，用手触摸 AMS1117、功放芯片等发热器件，判断温升是否在可接受范围内。</w:t>
      </w:r>
    </w:p>
    <w:p w14:paraId="44DEFB24"/>
    <w:p w14:paraId="2F22BA4A">
      <w:pPr>
        <w:pStyle w:val="3"/>
      </w:pPr>
      <w:r>
        <w:t>测试结果汇总</w:t>
      </w:r>
    </w:p>
    <w:p w14:paraId="6B331FF7">
      <w:pPr>
        <w:pStyle w:val="31"/>
        <w:numPr>
          <w:ilvl w:val="0"/>
          <w:numId w:val="18"/>
        </w:numPr>
        <w:spacing w:line="360" w:lineRule="auto"/>
        <w:jc w:val="left"/>
        <w:rPr>
          <w:sz w:val="24"/>
          <w:szCs w:val="24"/>
        </w:rPr>
      </w:pPr>
      <w:r>
        <w:rPr>
          <w:sz w:val="24"/>
          <w:szCs w:val="24"/>
        </w:rPr>
        <w:t>功能实现情况分析</w:t>
      </w:r>
    </w:p>
    <w:p w14:paraId="7918F508">
      <w:pPr>
        <w:spacing w:line="360" w:lineRule="auto"/>
        <w:ind w:firstLine="480" w:firstLineChars="200"/>
        <w:jc w:val="left"/>
        <w:rPr>
          <w:sz w:val="24"/>
          <w:szCs w:val="24"/>
        </w:rPr>
      </w:pPr>
      <w:r>
        <w:rPr>
          <w:sz w:val="24"/>
          <w:szCs w:val="24"/>
        </w:rPr>
        <w:t>本设计在预设频率接收、按键控制和音量调节等方面均达到了课程设计要求，用户可通过简单按键操作在 7 个常用频点之间灵活切换，并在 0～15 级范围内调整音量，系统整体功能完整。</w:t>
      </w:r>
    </w:p>
    <w:p w14:paraId="15D056B6">
      <w:pPr>
        <w:pStyle w:val="31"/>
        <w:numPr>
          <w:ilvl w:val="0"/>
          <w:numId w:val="18"/>
        </w:numPr>
        <w:spacing w:line="360" w:lineRule="auto"/>
        <w:jc w:val="left"/>
        <w:rPr>
          <w:sz w:val="24"/>
          <w:szCs w:val="24"/>
        </w:rPr>
      </w:pPr>
      <w:r>
        <w:rPr>
          <w:sz w:val="24"/>
          <w:szCs w:val="24"/>
        </w:rPr>
        <w:t>接收与音质的优缺点</w:t>
      </w:r>
    </w:p>
    <w:p w14:paraId="4D7D3AED">
      <w:pPr>
        <w:spacing w:line="360" w:lineRule="auto"/>
        <w:ind w:firstLine="480" w:firstLineChars="200"/>
        <w:jc w:val="left"/>
        <w:rPr>
          <w:sz w:val="24"/>
          <w:szCs w:val="24"/>
        </w:rPr>
      </w:pPr>
      <w:r>
        <w:rPr>
          <w:sz w:val="24"/>
          <w:szCs w:val="24"/>
        </w:rPr>
        <w:t>强信号电台的接收效果较好，音质清晰，说明 RDA5807 与外围高频电路设计基本合理；但在弱信号条件下，底噪偏大，表明天线设计、屏蔽与布线还有优化空间，例如可采用更合适的天线长度和结构、改善接地和屏蔽。</w:t>
      </w:r>
    </w:p>
    <w:p w14:paraId="5F07893A">
      <w:pPr>
        <w:pStyle w:val="31"/>
        <w:numPr>
          <w:ilvl w:val="0"/>
          <w:numId w:val="18"/>
        </w:numPr>
        <w:spacing w:line="360" w:lineRule="auto"/>
        <w:jc w:val="left"/>
        <w:rPr>
          <w:sz w:val="24"/>
          <w:szCs w:val="24"/>
        </w:rPr>
      </w:pPr>
      <w:r>
        <w:rPr>
          <w:sz w:val="24"/>
          <w:szCs w:val="24"/>
        </w:rPr>
        <w:t>电源与抗干扰能力分析</w:t>
      </w:r>
    </w:p>
    <w:p w14:paraId="33B4FD42">
      <w:pPr>
        <w:spacing w:line="360" w:lineRule="auto"/>
        <w:ind w:firstLine="480" w:firstLineChars="200"/>
        <w:jc w:val="left"/>
        <w:rPr>
          <w:sz w:val="24"/>
          <w:szCs w:val="24"/>
        </w:rPr>
      </w:pPr>
      <w:r>
        <w:rPr>
          <w:sz w:val="24"/>
          <w:szCs w:val="24"/>
        </w:rPr>
        <w:t>测试中未出现由于电源波动引起的明显噪声或死机，表明电源稳压和去耦设计基本满足要求；但从整体噪声水平来看，仍可以在功放供电端进一步加强滤波，优化地线走向，以降低电源噪声对音频通道的影响。</w:t>
      </w:r>
    </w:p>
    <w:p w14:paraId="6AEB0E8F">
      <w:pPr>
        <w:pStyle w:val="31"/>
        <w:numPr>
          <w:ilvl w:val="0"/>
          <w:numId w:val="18"/>
        </w:numPr>
        <w:spacing w:line="360" w:lineRule="auto"/>
        <w:jc w:val="left"/>
        <w:rPr>
          <w:sz w:val="24"/>
          <w:szCs w:val="24"/>
        </w:rPr>
      </w:pPr>
      <w:r>
        <w:rPr>
          <w:sz w:val="24"/>
          <w:szCs w:val="24"/>
        </w:rPr>
        <w:t>人机交互与软件逻辑分析</w:t>
      </w:r>
    </w:p>
    <w:p w14:paraId="27A10F28">
      <w:pPr>
        <w:spacing w:line="360" w:lineRule="auto"/>
        <w:ind w:firstLine="480" w:firstLineChars="200"/>
        <w:jc w:val="left"/>
        <w:rPr>
          <w:sz w:val="24"/>
          <w:szCs w:val="24"/>
        </w:rPr>
      </w:pPr>
      <w:r>
        <w:rPr>
          <w:sz w:val="24"/>
          <w:szCs w:val="24"/>
        </w:rPr>
        <w:t>按键功能清晰、响应正常，说明按键扫描和消抖程序基本可靠；在非常快速连续操作时，个别按键会出现响应略慢的情况，可通过适当缩短消抖时间或优化主循环结构来改善交互体验。同时，软件中已经采用预设频率表和音量变量管理方式，后续可在此基础上扩展自动搜台、静噪、记忆电台等高级功能。</w:t>
      </w:r>
    </w:p>
    <w:p w14:paraId="729CB7EA">
      <w:pPr>
        <w:pStyle w:val="2"/>
      </w:pPr>
      <w:r>
        <w:t>课程设计总结与心得体会</w:t>
      </w:r>
    </w:p>
    <w:p w14:paraId="7CC31FE7">
      <w:pPr>
        <w:spacing w:line="360" w:lineRule="auto"/>
        <w:ind w:firstLine="480" w:firstLineChars="200"/>
        <w:jc w:val="left"/>
        <w:rPr>
          <w:sz w:val="24"/>
          <w:szCs w:val="24"/>
        </w:rPr>
      </w:pPr>
      <w:r>
        <w:rPr>
          <w:sz w:val="24"/>
          <w:szCs w:val="24"/>
        </w:rPr>
        <w:t>本次高频电子线路课程设计以调频收音机为载体，从需求分析、系统总体方案论证，到原理图设计、PCB 布局布线、焊接装配，再到单片机软件编写和整机联调，完整地经历了一次小型电子系统的设计与实现过程。通过亲手完成一台可实际收听的 FM 收音机，我对课堂上学到的高频电路、调制与解调、音频功放以及单片机控制等知识有了更加直观、具体和深入的理解。</w:t>
      </w:r>
    </w:p>
    <w:p w14:paraId="3A347ACF">
      <w:pPr>
        <w:spacing w:line="360" w:lineRule="auto"/>
        <w:ind w:firstLine="480" w:firstLineChars="200"/>
        <w:jc w:val="left"/>
        <w:rPr>
          <w:sz w:val="24"/>
          <w:szCs w:val="24"/>
        </w:rPr>
      </w:pPr>
      <w:r>
        <w:rPr>
          <w:sz w:val="24"/>
          <w:szCs w:val="24"/>
        </w:rPr>
        <w:t>如果有进一步改进的机会，可以在现有基础上增加自动搜台、静噪控制、记忆电台、RDS 信息显示等功能，同时在硬件上尝试更合理的射频前端和更加规范的 PCB 布局，以进一步提高整机性能。</w:t>
      </w:r>
    </w:p>
    <w:p w14:paraId="4113BD49">
      <w:pPr>
        <w:spacing w:line="360" w:lineRule="auto"/>
        <w:ind w:firstLine="480" w:firstLineChars="200"/>
        <w:jc w:val="left"/>
        <w:rPr>
          <w:sz w:val="24"/>
          <w:szCs w:val="24"/>
        </w:rPr>
      </w:pPr>
      <w:r>
        <w:rPr>
          <w:sz w:val="24"/>
          <w:szCs w:val="24"/>
        </w:rPr>
        <w:t>总体而言，本次调频收音机课程设计让我真正体验到从纸面方案到可用实物的完整过程，不仅加深了对高频电子技术和单片机应用的理解，也提高了电路设计、焊接装配、程序编写、故障排查以及技术文档撰写等多方面能力。这些宝贵的实践经验，将为今后继续学习和从事相关专业工作打下坚实的基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新宋体">
    <w:panose1 w:val="02010609030101010101"/>
    <w:charset w:val="86"/>
    <w:family w:val="modern"/>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20DDD">
    <w:pPr>
      <w:pStyle w:val="11"/>
      <w:framePr w:wrap="around" w:vAnchor="text" w:hAnchor="margin" w:xAlign="center" w:y="1"/>
      <w:rPr>
        <w:rStyle w:val="17"/>
      </w:rPr>
    </w:pPr>
    <w:r>
      <w:fldChar w:fldCharType="begin"/>
    </w:r>
    <w:r>
      <w:rPr>
        <w:rStyle w:val="17"/>
      </w:rPr>
      <w:instrText xml:space="preserve">PAGE  </w:instrText>
    </w:r>
    <w:r>
      <w:fldChar w:fldCharType="separate"/>
    </w:r>
    <w:r>
      <w:rPr>
        <w:rStyle w:val="17"/>
      </w:rPr>
      <w:t>II</w:t>
    </w:r>
    <w:r>
      <w:fldChar w:fldCharType="end"/>
    </w:r>
  </w:p>
  <w:p w14:paraId="418ABB8A">
    <w:pPr>
      <w:pStyle w:val="11"/>
      <w:jc w:val="center"/>
    </w:pPr>
  </w:p>
  <w:p w14:paraId="02497853">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92E72">
    <w:pPr>
      <w:pStyle w:val="11"/>
      <w:framePr w:wrap="around" w:vAnchor="text" w:hAnchor="margin" w:xAlign="center" w:y="1"/>
      <w:rPr>
        <w:rStyle w:val="17"/>
      </w:rPr>
    </w:pPr>
    <w:r>
      <w:fldChar w:fldCharType="begin"/>
    </w:r>
    <w:r>
      <w:rPr>
        <w:rStyle w:val="17"/>
      </w:rPr>
      <w:instrText xml:space="preserve">PAGE  </w:instrText>
    </w:r>
    <w:r>
      <w:fldChar w:fldCharType="end"/>
    </w:r>
  </w:p>
  <w:p w14:paraId="7E37B86E">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5D007">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0A797">
    <w:pPr>
      <w:pStyle w:val="11"/>
      <w:jc w:val="center"/>
    </w:pPr>
    <w:r>
      <w:rPr>
        <w:rFonts w:hint="eastAsia"/>
      </w:rPr>
      <w:t>Ⅰ</w:t>
    </w:r>
  </w:p>
  <w:p w14:paraId="4D2A35BB">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DF41A">
    <w:pPr>
      <w:pStyle w:val="11"/>
      <w:jc w:val="center"/>
      <w:rPr>
        <w:rFonts w:ascii="宋体" w:hAnsi="宋体"/>
        <w:lang w:val="zh-CN"/>
      </w:rPr>
    </w:pPr>
    <w:r>
      <w:rPr>
        <w:rFonts w:hint="eastAsia" w:ascii="宋体" w:hAnsi="宋体"/>
        <w:lang w:val="zh-CN"/>
      </w:rPr>
      <w:t>第</w:t>
    </w:r>
    <w:r>
      <w:rPr>
        <w:rFonts w:ascii="宋体" w:hAnsi="宋体"/>
        <w:vanish/>
        <w:highlight w:val="yellow"/>
        <w:lang w:val="zh-CN"/>
      </w:rPr>
      <w:t>&lt;</w:t>
    </w:r>
    <w:r>
      <w:rPr>
        <w:rFonts w:ascii="宋体" w:hAnsi="宋体"/>
        <w:lang w:val="zh-CN"/>
      </w:rPr>
      <w:fldChar w:fldCharType="begin"/>
    </w:r>
    <w:r>
      <w:rPr>
        <w:rFonts w:ascii="宋体" w:hAnsi="宋体"/>
        <w:lang w:val="zh-CN"/>
      </w:rPr>
      <w:instrText xml:space="preserve">PAGE</w:instrText>
    </w:r>
    <w:r>
      <w:rPr>
        <w:rFonts w:ascii="宋体" w:hAnsi="宋体"/>
        <w:lang w:val="zh-CN"/>
      </w:rPr>
      <w:fldChar w:fldCharType="separate"/>
    </w:r>
    <w:r>
      <w:rPr>
        <w:rFonts w:ascii="宋体" w:hAnsi="宋体"/>
        <w:lang w:val="zh-CN"/>
      </w:rPr>
      <w:t>1</w:t>
    </w:r>
    <w:r>
      <w:rPr>
        <w:rFonts w:ascii="宋体" w:hAnsi="宋体"/>
        <w:lang w:val="zh-CN"/>
      </w:rPr>
      <w:fldChar w:fldCharType="end"/>
    </w:r>
    <w:r>
      <w:rPr>
        <w:rFonts w:hint="eastAsia" w:ascii="宋体" w:hAnsi="宋体"/>
        <w:lang w:val="zh-CN"/>
      </w:rPr>
      <w:t>页  共33页</w:t>
    </w:r>
    <w:r>
      <w:rPr>
        <w:rFonts w:ascii="宋体" w:hAnsi="宋体"/>
        <w:vanish/>
        <w:highlight w:val="yellow"/>
        <w:lang w:val="zh-CN"/>
      </w:rPr>
      <w:t>&gt;</w:t>
    </w:r>
  </w:p>
  <w:p w14:paraId="5F3A7D5C">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F2286">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3AEDB">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33D6A">
    <w:pPr>
      <w:pStyle w:val="12"/>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E3BEC">
    <w:pPr>
      <w:pBdr>
        <w:bottom w:val="single" w:color="auto" w:sz="6" w:space="0"/>
      </w:pBdr>
      <w:tabs>
        <w:tab w:val="left" w:pos="1485"/>
        <w:tab w:val="center" w:pos="4153"/>
        <w:tab w:val="right" w:pos="8306"/>
      </w:tabs>
      <w:snapToGrid w:val="0"/>
      <w:jc w:val="distribute"/>
      <w:rPr>
        <w:rFonts w:ascii="黑体" w:eastAsia="黑体"/>
        <w:sz w:val="18"/>
        <w:szCs w:val="18"/>
      </w:rPr>
    </w:pPr>
    <w:r>
      <w:rPr>
        <w:rFonts w:hint="eastAsia"/>
      </w:rPr>
      <w:t xml:space="preserve">                   </w:t>
    </w:r>
    <w:r>
      <w:rPr>
        <w:rFonts w:hint="eastAsia" w:ascii="黑体" w:eastAsia="黑体"/>
        <w:szCs w:val="21"/>
      </w:rPr>
      <w:t xml:space="preserve">                           </w:t>
    </w:r>
    <w:r>
      <w:rPr>
        <w:rFonts w:hint="eastAsia" w:ascii="黑体" w:eastAsia="黑体"/>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9E2CD6"/>
    <w:multiLevelType w:val="multilevel"/>
    <w:tmpl w:val="019E2CD6"/>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14774071"/>
    <w:multiLevelType w:val="multilevel"/>
    <w:tmpl w:val="14774071"/>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22CB6D05"/>
    <w:multiLevelType w:val="multilevel"/>
    <w:tmpl w:val="22CB6D05"/>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3">
    <w:nsid w:val="27692A5E"/>
    <w:multiLevelType w:val="multilevel"/>
    <w:tmpl w:val="27692A5E"/>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4">
    <w:nsid w:val="2BF92A07"/>
    <w:multiLevelType w:val="multilevel"/>
    <w:tmpl w:val="2BF92A07"/>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5">
    <w:nsid w:val="2CE33D97"/>
    <w:multiLevelType w:val="multilevel"/>
    <w:tmpl w:val="2CE33D97"/>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6">
    <w:nsid w:val="3B685765"/>
    <w:multiLevelType w:val="multilevel"/>
    <w:tmpl w:val="3B685765"/>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7">
    <w:nsid w:val="471D63CD"/>
    <w:multiLevelType w:val="multilevel"/>
    <w:tmpl w:val="471D63C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47FC471F"/>
    <w:multiLevelType w:val="multilevel"/>
    <w:tmpl w:val="47FC471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9">
    <w:nsid w:val="4F9720FE"/>
    <w:multiLevelType w:val="multilevel"/>
    <w:tmpl w:val="4F9720F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52B071F2"/>
    <w:multiLevelType w:val="multilevel"/>
    <w:tmpl w:val="52B071F2"/>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1">
    <w:nsid w:val="63267BD3"/>
    <w:multiLevelType w:val="multilevel"/>
    <w:tmpl w:val="63267BD3"/>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2">
    <w:nsid w:val="68C22CE9"/>
    <w:multiLevelType w:val="multilevel"/>
    <w:tmpl w:val="68C22CE9"/>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3">
    <w:nsid w:val="6AB44F6E"/>
    <w:multiLevelType w:val="multilevel"/>
    <w:tmpl w:val="6AB44F6E"/>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4">
    <w:nsid w:val="6CDC0086"/>
    <w:multiLevelType w:val="multilevel"/>
    <w:tmpl w:val="6CDC008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5">
    <w:nsid w:val="6F6D6C8A"/>
    <w:multiLevelType w:val="multilevel"/>
    <w:tmpl w:val="6F6D6C8A"/>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6">
    <w:nsid w:val="79BE4372"/>
    <w:multiLevelType w:val="multilevel"/>
    <w:tmpl w:val="79BE4372"/>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7">
    <w:nsid w:val="7CE47949"/>
    <w:multiLevelType w:val="multilevel"/>
    <w:tmpl w:val="7CE47949"/>
    <w:lvl w:ilvl="0" w:tentative="0">
      <w:start w:val="1"/>
      <w:numFmt w:val="decimal"/>
      <w:lvlText w:val="%1."/>
      <w:lvlJc w:val="left"/>
      <w:pPr>
        <w:tabs>
          <w:tab w:val="left" w:pos="720"/>
        </w:tabs>
        <w:ind w:left="720" w:hanging="360"/>
      </w:pPr>
    </w:lvl>
    <w:lvl w:ilvl="1" w:tentative="0">
      <w:start w:val="1"/>
      <w:numFmt w:val="decimal"/>
      <w:lvlText w:val="（%2）"/>
      <w:lvlJc w:val="left"/>
      <w:pPr>
        <w:ind w:left="1800" w:hanging="720"/>
      </w:pPr>
      <w:rPr>
        <w:rFonts w:hint="default"/>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7"/>
  </w:num>
  <w:num w:numId="2">
    <w:abstractNumId w:val="17"/>
  </w:num>
  <w:num w:numId="3">
    <w:abstractNumId w:val="9"/>
  </w:num>
  <w:num w:numId="4">
    <w:abstractNumId w:val="8"/>
  </w:num>
  <w:num w:numId="5">
    <w:abstractNumId w:val="14"/>
  </w:num>
  <w:num w:numId="6">
    <w:abstractNumId w:val="12"/>
  </w:num>
  <w:num w:numId="7">
    <w:abstractNumId w:val="3"/>
  </w:num>
  <w:num w:numId="8">
    <w:abstractNumId w:val="2"/>
  </w:num>
  <w:num w:numId="9">
    <w:abstractNumId w:val="4"/>
  </w:num>
  <w:num w:numId="10">
    <w:abstractNumId w:val="10"/>
  </w:num>
  <w:num w:numId="11">
    <w:abstractNumId w:val="13"/>
  </w:num>
  <w:num w:numId="12">
    <w:abstractNumId w:val="0"/>
  </w:num>
  <w:num w:numId="13">
    <w:abstractNumId w:val="16"/>
  </w:num>
  <w:num w:numId="14">
    <w:abstractNumId w:val="11"/>
  </w:num>
  <w:num w:numId="15">
    <w:abstractNumId w:val="6"/>
  </w:num>
  <w:num w:numId="16">
    <w:abstractNumId w:val="1"/>
  </w:num>
  <w:num w:numId="17">
    <w:abstractNumId w:val="15"/>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168"/>
    <w:rsid w:val="00021969"/>
    <w:rsid w:val="00116E4C"/>
    <w:rsid w:val="00184EC1"/>
    <w:rsid w:val="00185076"/>
    <w:rsid w:val="001E187D"/>
    <w:rsid w:val="001F645C"/>
    <w:rsid w:val="00200C11"/>
    <w:rsid w:val="002C44C5"/>
    <w:rsid w:val="002F32FD"/>
    <w:rsid w:val="002F5CB9"/>
    <w:rsid w:val="003E04E0"/>
    <w:rsid w:val="00443C09"/>
    <w:rsid w:val="004620E3"/>
    <w:rsid w:val="00486A69"/>
    <w:rsid w:val="00544F3C"/>
    <w:rsid w:val="00560881"/>
    <w:rsid w:val="00584437"/>
    <w:rsid w:val="005C6FA3"/>
    <w:rsid w:val="00620C2C"/>
    <w:rsid w:val="006525FA"/>
    <w:rsid w:val="00683F1E"/>
    <w:rsid w:val="006854B5"/>
    <w:rsid w:val="006C240A"/>
    <w:rsid w:val="007174D0"/>
    <w:rsid w:val="007367CD"/>
    <w:rsid w:val="0077320B"/>
    <w:rsid w:val="007779CD"/>
    <w:rsid w:val="008B386A"/>
    <w:rsid w:val="00906E83"/>
    <w:rsid w:val="0091644B"/>
    <w:rsid w:val="00960B36"/>
    <w:rsid w:val="009A5F12"/>
    <w:rsid w:val="009C2229"/>
    <w:rsid w:val="009D33D2"/>
    <w:rsid w:val="009F2AD1"/>
    <w:rsid w:val="00A739E3"/>
    <w:rsid w:val="00AB53CA"/>
    <w:rsid w:val="00AE5099"/>
    <w:rsid w:val="00B14FEE"/>
    <w:rsid w:val="00B22992"/>
    <w:rsid w:val="00B463FF"/>
    <w:rsid w:val="00B52E45"/>
    <w:rsid w:val="00B63338"/>
    <w:rsid w:val="00B837A9"/>
    <w:rsid w:val="00C11386"/>
    <w:rsid w:val="00C32220"/>
    <w:rsid w:val="00C45C37"/>
    <w:rsid w:val="00C944D4"/>
    <w:rsid w:val="00D65013"/>
    <w:rsid w:val="00D651B7"/>
    <w:rsid w:val="00DA1168"/>
    <w:rsid w:val="00DD5A69"/>
    <w:rsid w:val="00DF01C8"/>
    <w:rsid w:val="00E047EB"/>
    <w:rsid w:val="00E22E22"/>
    <w:rsid w:val="00E50A41"/>
    <w:rsid w:val="00E75C3B"/>
    <w:rsid w:val="00EC4692"/>
    <w:rsid w:val="00F55FEA"/>
    <w:rsid w:val="00FD5170"/>
    <w:rsid w:val="00FE10A8"/>
    <w:rsid w:val="00FF4A15"/>
    <w:rsid w:val="20913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480" w:after="80"/>
      <w:jc w:val="center"/>
      <w:outlineLvl w:val="0"/>
    </w:pPr>
    <w:rPr>
      <w:rFonts w:asciiTheme="majorHAnsi" w:hAnsiTheme="majorHAnsi" w:eastAsiaTheme="majorEastAsia" w:cstheme="majorBidi"/>
      <w:b/>
      <w:color w:val="000000" w:themeColor="text1"/>
      <w:sz w:val="32"/>
      <w:szCs w:val="48"/>
      <w14:textFill>
        <w14:solidFill>
          <w14:schemeClr w14:val="tx1"/>
        </w14:solidFill>
      </w14:textFill>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b/>
      <w:color w:val="000000" w:themeColor="text1"/>
      <w:sz w:val="28"/>
      <w:szCs w:val="40"/>
      <w14:textFill>
        <w14:solidFill>
          <w14:schemeClr w14:val="tx1"/>
        </w14:solidFill>
      </w14:textFill>
    </w:rPr>
  </w:style>
  <w:style w:type="paragraph" w:styleId="4">
    <w:name w:val="heading 3"/>
    <w:basedOn w:val="1"/>
    <w:next w:val="1"/>
    <w:link w:val="20"/>
    <w:unhideWhenUsed/>
    <w:qFormat/>
    <w:uiPriority w:val="9"/>
    <w:pPr>
      <w:keepNext/>
      <w:keepLines/>
      <w:spacing w:before="160" w:after="80"/>
      <w:outlineLvl w:val="2"/>
    </w:pPr>
    <w:rPr>
      <w:rFonts w:asciiTheme="majorHAnsi" w:hAnsiTheme="majorHAnsi" w:eastAsiaTheme="majorEastAsia" w:cstheme="majorBidi"/>
      <w:b/>
      <w:color w:val="000000" w:themeColor="text1"/>
      <w:sz w:val="24"/>
      <w:szCs w:val="32"/>
      <w14:textFill>
        <w14:solidFill>
          <w14:schemeClr w14:val="tx1"/>
        </w14:solidFill>
      </w14:textFill>
    </w:rPr>
  </w:style>
  <w:style w:type="paragraph" w:styleId="5">
    <w:name w:val="heading 4"/>
    <w:basedOn w:val="1"/>
    <w:next w:val="1"/>
    <w:link w:val="21"/>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jc w:val="left"/>
    </w:pPr>
    <w:rPr>
      <w:sz w:val="18"/>
      <w:szCs w:val="18"/>
    </w:rPr>
  </w:style>
  <w:style w:type="paragraph" w:styleId="12">
    <w:name w:val="header"/>
    <w:basedOn w:val="1"/>
    <w:link w:val="36"/>
    <w:unhideWhenUsed/>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left"/>
    </w:pPr>
    <w:rPr>
      <w:rFonts w:asciiTheme="majorHAnsi" w:hAnsiTheme="majorHAnsi" w:eastAsiaTheme="majorEastAsia" w:cstheme="majorBidi"/>
      <w:spacing w:val="-10"/>
      <w:kern w:val="28"/>
      <w:szCs w:val="56"/>
    </w:rPr>
  </w:style>
  <w:style w:type="character" w:styleId="17">
    <w:name w:val="page number"/>
    <w:uiPriority w:val="0"/>
    <w:rPr>
      <w:rFonts w:ascii="Times New Roman" w:hAnsi="Times New Roman" w:eastAsia="宋体" w:cs="Times New Roman"/>
    </w:rPr>
  </w:style>
  <w:style w:type="character" w:customStyle="1" w:styleId="18">
    <w:name w:val="标题 1 字符"/>
    <w:basedOn w:val="16"/>
    <w:link w:val="2"/>
    <w:uiPriority w:val="9"/>
    <w:rPr>
      <w:rFonts w:asciiTheme="majorHAnsi" w:hAnsiTheme="majorHAnsi" w:eastAsiaTheme="majorEastAsia" w:cstheme="majorBidi"/>
      <w:b/>
      <w:color w:val="000000" w:themeColor="text1"/>
      <w:sz w:val="32"/>
      <w:szCs w:val="48"/>
      <w14:textFill>
        <w14:solidFill>
          <w14:schemeClr w14:val="tx1"/>
        </w14:solidFill>
      </w14:textFill>
    </w:rPr>
  </w:style>
  <w:style w:type="character" w:customStyle="1" w:styleId="19">
    <w:name w:val="标题 2 字符"/>
    <w:basedOn w:val="16"/>
    <w:link w:val="3"/>
    <w:uiPriority w:val="9"/>
    <w:rPr>
      <w:rFonts w:asciiTheme="majorHAnsi" w:hAnsiTheme="majorHAnsi" w:eastAsiaTheme="majorEastAsia" w:cstheme="majorBidi"/>
      <w:b/>
      <w:color w:val="000000" w:themeColor="text1"/>
      <w:sz w:val="28"/>
      <w:szCs w:val="40"/>
      <w14:textFill>
        <w14:solidFill>
          <w14:schemeClr w14:val="tx1"/>
        </w14:solidFill>
      </w14:textFill>
    </w:rPr>
  </w:style>
  <w:style w:type="character" w:customStyle="1" w:styleId="20">
    <w:name w:val="标题 3 字符"/>
    <w:basedOn w:val="16"/>
    <w:link w:val="4"/>
    <w:uiPriority w:val="9"/>
    <w:rPr>
      <w:rFonts w:asciiTheme="majorHAnsi" w:hAnsiTheme="majorHAnsi" w:eastAsiaTheme="majorEastAsia" w:cstheme="majorBidi"/>
      <w:b/>
      <w:color w:val="000000" w:themeColor="text1"/>
      <w:sz w:val="24"/>
      <w:szCs w:val="32"/>
      <w14:textFill>
        <w14:solidFill>
          <w14:schemeClr w14:val="tx1"/>
        </w14:solidFill>
      </w14:textFill>
    </w:rPr>
  </w:style>
  <w:style w:type="character" w:customStyle="1" w:styleId="21">
    <w:name w:val="标题 4 字符"/>
    <w:basedOn w:val="16"/>
    <w:link w:val="5"/>
    <w:uiPriority w:val="9"/>
    <w:rPr>
      <w:rFonts w:cstheme="majorBidi"/>
      <w:color w:val="104862" w:themeColor="accent1" w:themeShade="BF"/>
      <w:sz w:val="28"/>
      <w:szCs w:val="28"/>
    </w:rPr>
  </w:style>
  <w:style w:type="character" w:customStyle="1" w:styleId="22">
    <w:name w:val="标题 5 字符"/>
    <w:basedOn w:val="16"/>
    <w:link w:val="6"/>
    <w:semiHidden/>
    <w:uiPriority w:val="9"/>
    <w:rPr>
      <w:rFonts w:cstheme="majorBidi"/>
      <w:color w:val="104862" w:themeColor="accent1" w:themeShade="BF"/>
      <w:sz w:val="24"/>
      <w:szCs w:val="24"/>
    </w:rPr>
  </w:style>
  <w:style w:type="character" w:customStyle="1" w:styleId="23">
    <w:name w:val="标题 6 字符"/>
    <w:basedOn w:val="16"/>
    <w:link w:val="7"/>
    <w:semiHidden/>
    <w:uiPriority w:val="9"/>
    <w:rPr>
      <w:rFonts w:cstheme="majorBidi"/>
      <w:b/>
      <w:bCs/>
      <w:color w:val="104862" w:themeColor="accent1" w:themeShade="BF"/>
    </w:rPr>
  </w:style>
  <w:style w:type="character" w:customStyle="1" w:styleId="24">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6"/>
    <w:link w:val="14"/>
    <w:qFormat/>
    <w:uiPriority w:val="10"/>
    <w:rPr>
      <w:rFonts w:asciiTheme="majorHAnsi" w:hAnsiTheme="majorHAnsi" w:eastAsiaTheme="majorEastAsia" w:cstheme="majorBidi"/>
      <w:spacing w:val="-10"/>
      <w:kern w:val="28"/>
      <w:szCs w:val="56"/>
    </w:rPr>
  </w:style>
  <w:style w:type="character" w:customStyle="1" w:styleId="28">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6"/>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6"/>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6"/>
    <w:link w:val="33"/>
    <w:uiPriority w:val="30"/>
    <w:rPr>
      <w:i/>
      <w:iCs/>
      <w:color w:val="104862" w:themeColor="accent1" w:themeShade="BF"/>
    </w:rPr>
  </w:style>
  <w:style w:type="character" w:customStyle="1" w:styleId="35">
    <w:name w:val="Intense Reference"/>
    <w:basedOn w:val="16"/>
    <w:qFormat/>
    <w:uiPriority w:val="32"/>
    <w:rPr>
      <w:b/>
      <w:bCs/>
      <w:smallCaps/>
      <w:color w:val="104862" w:themeColor="accent1" w:themeShade="BF"/>
      <w:spacing w:val="5"/>
    </w:rPr>
  </w:style>
  <w:style w:type="character" w:customStyle="1" w:styleId="36">
    <w:name w:val="页眉 字符"/>
    <w:basedOn w:val="16"/>
    <w:link w:val="12"/>
    <w:uiPriority w:val="99"/>
    <w:rPr>
      <w:sz w:val="18"/>
      <w:szCs w:val="18"/>
    </w:rPr>
  </w:style>
  <w:style w:type="character" w:customStyle="1" w:styleId="37">
    <w:name w:val="页脚 字符"/>
    <w:basedOn w:val="16"/>
    <w:link w:val="11"/>
    <w:qFormat/>
    <w:uiPriority w:val="99"/>
    <w:rPr>
      <w:sz w:val="18"/>
      <w:szCs w:val="18"/>
    </w:rPr>
  </w:style>
  <w:style w:type="table" w:customStyle="1" w:styleId="38">
    <w:name w:val="List Table 4"/>
    <w:basedOn w:val="15"/>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9">
    <w:name w:val="List Table 4 Accent 1"/>
    <w:basedOn w:val="15"/>
    <w:qFormat/>
    <w:uiPriority w:val="49"/>
    <w:tblPr>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tblBorders>
    </w:tblPr>
    <w:tblStylePr w:type="firstRow">
      <w:rPr>
        <w:b/>
        <w:bCs/>
        <w:color w:val="FFFFFF" w:themeColor="background1"/>
        <w14:textFill>
          <w14:solidFill>
            <w14:schemeClr w14:val="bg1"/>
          </w14:solidFill>
        </w14:textFill>
      </w:r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tcBorders>
        <w:shd w:val="clear" w:color="auto" w:fill="156082" w:themeFill="accent1"/>
      </w:tcPr>
    </w:tblStylePr>
    <w:tblStylePr w:type="lastRow">
      <w:rPr>
        <w:b/>
        <w:bCs/>
      </w:rPr>
      <w:tcPr>
        <w:tcBorders>
          <w:top w:val="double" w:color="45B0E1" w:themeColor="accent1" w:themeTint="99" w:sz="4" w:space="0"/>
        </w:tcBorders>
      </w:tcPr>
    </w:tblStylePr>
    <w:tblStylePr w:type="firstCol">
      <w:rPr>
        <w:b/>
        <w:bCs/>
      </w:rPr>
    </w:tblStylePr>
    <w:tblStylePr w:type="lastCol">
      <w:rPr>
        <w:b/>
        <w:bCs/>
      </w:rPr>
    </w:tblStylePr>
    <w:tblStylePr w:type="band1Vert">
      <w:tcPr>
        <w:shd w:val="clear" w:color="auto" w:fill="C1E4F5" w:themeFill="accent1" w:themeFillTint="33"/>
      </w:tcPr>
    </w:tblStylePr>
    <w:tblStylePr w:type="band1Horz">
      <w:tcPr>
        <w:shd w:val="clear" w:color="auto" w:fill="C1E4F5" w:themeFill="accen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C4B73-EDB8-45DF-9C89-D7D930E3A88C}">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11937</Words>
  <Characters>14402</Characters>
  <Lines>490</Lines>
  <Paragraphs>474</Paragraphs>
  <TotalTime>618</TotalTime>
  <ScaleCrop>false</ScaleCrop>
  <LinksUpToDate>false</LinksUpToDate>
  <CharactersWithSpaces>15586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2025-11-12T05:11:00Z</dcterms:created>
  <dc:creator>博文 樊</dc:creator>
  <cp:lastModifiedBy>Lenovo</cp:lastModifiedBy>
  <dcterms:modified xsi:type="dcterms:W3CDTF">2025-12-09T10:35:43Z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eyJoZGlkIjoiZTdkYTM1ZDEyYzAyYjAxODdiOWRlYjJjN2Y4ZjFkNTgifQ==</vt:lpwstr>
  </property>
  <property fmtid="{D5CDD505-2E9C-101B-9397-08002B2CF9AE}" pid="3" name="KSOProductBuildVer">
    <vt:lpwstr>2052-12.1.0.21171</vt:lpwstr>
  </property>
  <property fmtid="{D5CDD505-2E9C-101B-9397-08002B2CF9AE}" pid="4" name="ICV">
    <vt:lpwstr>19228E6BB2FD4F189707BD947FC4F9C4_12</vt:lpwstr>
  </property>
</Properties>
</file>