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40" w:lineRule="auto" w:before="0"/>
        <w:jc w:val="center"/>
      </w:pPr>
      <w:r>
        <w:rPr>
          <w:rFonts w:ascii="Microsoft YaHei" w:hAnsi="Microsoft YaHei" w:eastAsia="Microsoft YaHei"/>
          <w:b/>
          <w:color w:val="34241D"/>
          <w:sz w:val="40"/>
        </w:rPr>
        <w:t>校园服务助理项目说明书</w:t>
      </w:r>
    </w:p>
    <w:p>
      <w:pPr>
        <w:spacing w:after="40" w:line="240" w:lineRule="auto" w:before="0"/>
        <w:jc w:val="center"/>
      </w:pPr>
      <w:r>
        <w:rPr>
          <w:rFonts w:ascii="Microsoft YaHei" w:hAnsi="Microsoft YaHei" w:eastAsia="Microsoft YaHei"/>
          <w:b w:val="0"/>
          <w:color w:val="39756B"/>
          <w:sz w:val="21"/>
        </w:rPr>
        <w:t>面向校内办事场景的可信问答与事项导航系统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4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项目单位</w:t>
            </w:r>
          </w:p>
        </w:tc>
        <w:tc>
          <w:tcPr>
            <w:tcW w:type="dxa" w:w="2232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指导老师</w:t>
            </w:r>
          </w:p>
        </w:tc>
        <w:tc>
          <w:tcPr>
            <w:tcW w:type="dxa" w:w="4248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项目成员</w:t>
            </w:r>
          </w:p>
        </w:tc>
      </w:tr>
      <w:tr>
        <w:tc>
          <w:tcPr>
            <w:tcW w:type="dxa" w:w="3384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苏州大学计算机科学与技术学院</w:t>
              <w:br/>
              <w:t>软件工程专业</w:t>
            </w:r>
          </w:p>
        </w:tc>
        <w:tc>
          <w:tcPr>
            <w:tcW w:type="dxa" w:w="223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刘安</w:t>
            </w:r>
          </w:p>
        </w:tc>
        <w:tc>
          <w:tcPr>
            <w:tcW w:type="dxa" w:w="424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范誉（队长）</w:t>
              <w:br/>
              <w:t>徐梓凯</w:t>
              <w:br/>
              <w:t>柯常瑞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一 项目概述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校园办事信息分散在学校官网、部门通知、公众号、办事大厅和群聊中。学生往往能够找到“某个通知”，却难以快速确认自己是否适用、需要准备什么以及下一步应该做什么。校园服务助理拟将经过整理和核验的校园公开资料组织为知识库，接受学生的自然语言提问，返回带有来源和风险提示的结构化办事卡片。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项目的核心判断是：校园服务的关键不是再做一个搜索框，而是建立一条可追溯、可继续、可拒答的服务链路。系统在证据不足、来源过期或信息冲突时，不输出确定结论；在问题信息不完整时，先追问最关键的参数。</w:t>
      </w: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二 建设目标与范围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shd w:fill="34241D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960"/>
            <w:shd w:fill="34241D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首期内容</w:t>
            </w:r>
          </w:p>
        </w:tc>
        <w:tc>
          <w:tcPr>
            <w:tcW w:type="dxa" w:w="4392"/>
            <w:shd w:fill="34241D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验收重点</w:t>
            </w:r>
          </w:p>
        </w:tc>
      </w:tr>
      <w:tr>
        <w:tc>
          <w:tcPr>
            <w:tcW w:type="dxa" w:w="15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P0 必做</w:t>
            </w:r>
          </w:p>
        </w:tc>
        <w:tc>
          <w:tcPr>
            <w:tcW w:type="dxa" w:w="396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学生证补办、校园卡补办、宿舍报修、请假办理</w:t>
            </w:r>
          </w:p>
        </w:tc>
        <w:tc>
          <w:tcPr>
            <w:tcW w:type="dxa" w:w="439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事项识别、来源检索、结构化卡片、反馈闭环</w:t>
            </w:r>
          </w:p>
        </w:tc>
      </w:tr>
      <w:tr>
        <w:tc>
          <w:tcPr>
            <w:tcW w:type="dxa" w:w="15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P1 扩展</w:t>
            </w:r>
          </w:p>
        </w:tc>
        <w:tc>
          <w:tcPr>
            <w:tcW w:type="dxa" w:w="396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奖学金、助学金、转专业、毕业手续</w:t>
            </w:r>
          </w:p>
        </w:tc>
        <w:tc>
          <w:tcPr>
            <w:tcW w:type="dxa" w:w="439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P0 稳定后逐项扩展，不以数量替代质量</w:t>
            </w:r>
          </w:p>
        </w:tc>
      </w:tr>
      <w:tr>
        <w:tc>
          <w:tcPr>
            <w:tcW w:type="dxa" w:w="15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明确不做</w:t>
            </w:r>
          </w:p>
        </w:tc>
        <w:tc>
          <w:tcPr>
            <w:tcW w:type="dxa" w:w="396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真实代登录、代申请、缴费、未授权内部数据、敏感信息存储</w:t>
            </w:r>
          </w:p>
        </w:tc>
        <w:tc>
          <w:tcPr>
            <w:tcW w:type="dxa" w:w="439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保持系统边界，避免把原型误认为正式业务系统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三 用户价值</w:t>
      </w:r>
    </w:p>
    <w:p>
      <w:pPr>
        <w:pStyle w:val="ListBullet"/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7"/>
        </w:rPr>
        <w:t>让新生和普通学生用自然语言找到事项、条件、材料、步骤、地点和时间。</w:t>
      </w:r>
    </w:p>
    <w:p>
      <w:pPr>
        <w:pStyle w:val="ListBullet"/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7"/>
        </w:rPr>
        <w:t>让知识维护者能够看到来源、发布日期、适用范围、过期状态和用户反馈。</w:t>
      </w:r>
    </w:p>
    <w:p>
      <w:pPr>
        <w:pStyle w:val="ListBullet"/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7"/>
        </w:rPr>
        <w:t>让答辩和评测能够复现：固定问题、固定来源版本、固定输出状态和固定验收指标。</w:t>
      </w: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四 总体架构与核心流程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系统采用“前端界面—业务服务—知识能力”三层结构。用户浏览器负责首页、问答、办事卡片、来源和反馈；FastAPI 后端负责会话、事项、Agent 适配、反馈与日志；MySQL 保存事项、来源、会话和反馈；AgentArts 与校园知识库负责意图识别、知识检索和受控生成。AgentArts 是方案中的目标架构能力，云端连通和问答效果需要在后续阶段验证。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shd w:fill="39756B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672"/>
            <w:shd w:fill="39756B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主要组件</w:t>
            </w:r>
          </w:p>
        </w:tc>
        <w:tc>
          <w:tcPr>
            <w:tcW w:type="dxa" w:w="4536"/>
            <w:shd w:fill="39756B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职责</w:t>
            </w:r>
          </w:p>
        </w:tc>
      </w:tr>
      <w:tr>
        <w:tc>
          <w:tcPr>
            <w:tcW w:type="dxa" w:w="165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交互层</w:t>
            </w:r>
          </w:p>
        </w:tc>
        <w:tc>
          <w:tcPr>
            <w:tcW w:type="dxa" w:w="367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Vue 3 + TypeScript + Vite + Vue Router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输入问题，展示回答、追问、拒答、来源和反馈状态</w:t>
            </w:r>
          </w:p>
        </w:tc>
      </w:tr>
      <w:tr>
        <w:tc>
          <w:tcPr>
            <w:tcW w:type="dxa" w:w="165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服务层</w:t>
            </w:r>
          </w:p>
        </w:tc>
        <w:tc>
          <w:tcPr>
            <w:tcW w:type="dxa" w:w="367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FastAPI + Pydantic + SQLAlchemy 2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会话管理、接口校验、事项服务、Agent 适配和异常兜底</w:t>
            </w:r>
          </w:p>
        </w:tc>
      </w:tr>
      <w:tr>
        <w:tc>
          <w:tcPr>
            <w:tcW w:type="dxa" w:w="165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数据层</w:t>
            </w:r>
          </w:p>
        </w:tc>
        <w:tc>
          <w:tcPr>
            <w:tcW w:type="dxa" w:w="367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MySQL 8 + Alembic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事项、来源文档、会话消息、反馈和版本状态</w:t>
            </w:r>
          </w:p>
        </w:tc>
      </w:tr>
      <w:tr>
        <w:tc>
          <w:tcPr>
            <w:tcW w:type="dxa" w:w="165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知识能力</w:t>
            </w:r>
          </w:p>
        </w:tc>
        <w:tc>
          <w:tcPr>
            <w:tcW w:type="dxa" w:w="367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AgentArts / LLM + 校园知识库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意图识别、来源检索、结构化生成和证据不足判断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五 典型问答链路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4536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系统行为</w:t>
            </w:r>
          </w:p>
        </w:tc>
        <w:tc>
          <w:tcPr>
            <w:tcW w:type="dxa" w:w="4320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用户可见结果</w:t>
            </w:r>
          </w:p>
        </w:tc>
      </w:tr>
      <w:tr>
        <w:tc>
          <w:tcPr>
            <w:tcW w:type="dxa" w:w="100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1 输入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接收自然语言问题并进行安全检查</w:t>
            </w:r>
          </w:p>
        </w:tc>
        <w:tc>
          <w:tcPr>
            <w:tcW w:type="dxa" w:w="43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问题进入当前会话</w:t>
            </w:r>
          </w:p>
        </w:tc>
      </w:tr>
      <w:tr>
        <w:tc>
          <w:tcPr>
            <w:tcW w:type="dxa" w:w="100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2 识别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判断事项和缺失参数</w:t>
            </w:r>
          </w:p>
        </w:tc>
        <w:tc>
          <w:tcPr>
            <w:tcW w:type="dxa" w:w="43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识别成功或提出澄清问题</w:t>
            </w:r>
          </w:p>
        </w:tc>
      </w:tr>
      <w:tr>
        <w:tc>
          <w:tcPr>
            <w:tcW w:type="dxa" w:w="100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3 召回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检索可用、未过期、与事项关联的来源</w:t>
            </w:r>
          </w:p>
        </w:tc>
        <w:tc>
          <w:tcPr>
            <w:tcW w:type="dxa" w:w="43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保留来源标题、日期和官方链接</w:t>
            </w:r>
          </w:p>
        </w:tc>
      </w:tr>
      <w:tr>
        <w:tc>
          <w:tcPr>
            <w:tcW w:type="dxa" w:w="100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4 生成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按固定结构生成条件、材料、步骤等字段</w:t>
            </w:r>
          </w:p>
        </w:tc>
        <w:tc>
          <w:tcPr>
            <w:tcW w:type="dxa" w:w="43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展示可执行办事卡片</w:t>
            </w:r>
          </w:p>
        </w:tc>
      </w:tr>
      <w:tr>
        <w:tc>
          <w:tcPr>
            <w:tcW w:type="dxa" w:w="100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5 校验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检查来源、关键字段和状态</w:t>
            </w:r>
          </w:p>
        </w:tc>
        <w:tc>
          <w:tcPr>
            <w:tcW w:type="dxa" w:w="43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回答、证据不足、冲突或异常</w:t>
            </w:r>
          </w:p>
        </w:tc>
      </w:tr>
      <w:tr>
        <w:tc>
          <w:tcPr>
            <w:tcW w:type="dxa" w:w="1008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6 反馈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记录匿名反馈和失败原因</w:t>
            </w:r>
          </w:p>
        </w:tc>
        <w:tc>
          <w:tcPr>
            <w:tcW w:type="dxa" w:w="43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用户评价，团队更新知识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六 数据与安全边界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数据库当前围绕五类核心对象组织：service_items 事项表、source_documents 来源文档表、conversations 会话表、conversation_messages 消息明细表和 feedback 反馈表。来源文档关联事项；消息关联会话并在删除会话时级联清理；反馈保留与会话的关联完整性。</w:t>
      </w:r>
    </w:p>
    <w:p>
      <w:pPr>
        <w:pStyle w:val="ListBullet"/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7"/>
        </w:rPr>
        <w:t>只使用学校公开资料或获得授权的资料，记录来源标题、发布部门、日期、有效期、适用范围和官方 URL。</w:t>
      </w:r>
    </w:p>
    <w:p>
      <w:pPr>
        <w:pStyle w:val="ListBullet"/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7"/>
        </w:rPr>
        <w:t>不保存姓名、学号、身份证号、银行卡号、账号密码等不必要的敏感信息；云端密钥只放在后端环境变量。</w:t>
      </w:r>
    </w:p>
    <w:p>
      <w:pPr>
        <w:pStyle w:val="ListBullet"/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7"/>
        </w:rPr>
        <w:t>第一版不自动提交正式申请，不对政策审批作承诺；奖助、学籍等事项以学校最终审核为准。</w:t>
      </w: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七 初步评测方案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评测阶段只报告已经执行的结果；以下为开题阶段设定的验收目标。主测试集共40题，覆盖标准问法8题、口语表达8题、信息不全6题、错字4题、跨事项4题、库外问题5题、冲突或过期来源3题和不安全输入2题；另设10条库外专项题检验拒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20"/>
            <w:shd w:fill="34241D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232"/>
            <w:shd w:fill="34241D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5112"/>
            <w:shd w:fill="34241D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测试方式</w:t>
            </w:r>
          </w:p>
        </w:tc>
      </w:tr>
      <w:tr>
        <w:tc>
          <w:tcPr>
            <w:tcW w:type="dxa" w:w="25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意图识别准确率</w:t>
            </w:r>
          </w:p>
        </w:tc>
        <w:tc>
          <w:tcPr>
            <w:tcW w:type="dxa" w:w="223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≥ 90%</w:t>
            </w:r>
          </w:p>
        </w:tc>
        <w:tc>
          <w:tcPr>
            <w:tcW w:type="dxa" w:w="51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40题标注集，人工核对预期事项</w:t>
            </w:r>
          </w:p>
        </w:tc>
      </w:tr>
      <w:tr>
        <w:tc>
          <w:tcPr>
            <w:tcW w:type="dxa" w:w="25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来源正确率</w:t>
            </w:r>
          </w:p>
        </w:tc>
        <w:tc>
          <w:tcPr>
            <w:tcW w:type="dxa" w:w="223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≥ 95%</w:t>
            </w:r>
          </w:p>
        </w:tc>
        <w:tc>
          <w:tcPr>
            <w:tcW w:type="dxa" w:w="51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检查 URL、来源状态、日期和事项关联</w:t>
            </w:r>
          </w:p>
        </w:tc>
      </w:tr>
      <w:tr>
        <w:tc>
          <w:tcPr>
            <w:tcW w:type="dxa" w:w="25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关键字段完整率</w:t>
            </w:r>
          </w:p>
        </w:tc>
        <w:tc>
          <w:tcPr>
            <w:tcW w:type="dxa" w:w="223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≥ 90%</w:t>
            </w:r>
          </w:p>
        </w:tc>
        <w:tc>
          <w:tcPr>
            <w:tcW w:type="dxa" w:w="51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检查条件、材料、步骤、地点、时间和风险提示</w:t>
            </w:r>
          </w:p>
        </w:tc>
      </w:tr>
      <w:tr>
        <w:tc>
          <w:tcPr>
            <w:tcW w:type="dxa" w:w="25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库外拒答率</w:t>
            </w:r>
          </w:p>
        </w:tc>
        <w:tc>
          <w:tcPr>
            <w:tcW w:type="dxa" w:w="223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≥ 90%</w:t>
            </w:r>
          </w:p>
        </w:tc>
        <w:tc>
          <w:tcPr>
            <w:tcW w:type="dxa" w:w="51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10条专项题，检查是否避免编造</w:t>
            </w:r>
          </w:p>
        </w:tc>
      </w:tr>
      <w:tr>
        <w:tc>
          <w:tcPr>
            <w:tcW w:type="dxa" w:w="25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性能与稳定性</w:t>
            </w:r>
          </w:p>
        </w:tc>
        <w:tc>
          <w:tcPr>
            <w:tcW w:type="dxa" w:w="223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8秒以内；连续成功5次</w:t>
            </w:r>
          </w:p>
        </w:tc>
        <w:tc>
          <w:tcPr>
            <w:tcW w:type="dxa" w:w="511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典型回答连续20次，现场演示按固定脚本复现</w:t>
            </w:r>
          </w:p>
        </w:tc>
      </w:tr>
    </w:tbl>
    <w:p>
      <w:pPr>
        <w:spacing w:after="40" w:before="0" w:line="240" w:lineRule="auto"/>
      </w:pP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拟选对比对象包括关键词检索、FAQ 页面和无检索的通用问答。三组使用同一问题集、同一来源时点和同一人工标注规则；两名成员独立判断，分歧交由第三人仲裁。评测结果记录问题、预期状态、实际回答、来源、耗时、反馈和失败原因。</w:t>
      </w: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八 团队分工与实施计划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39756B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成员</w:t>
            </w:r>
          </w:p>
        </w:tc>
        <w:tc>
          <w:tcPr>
            <w:tcW w:type="dxa" w:w="2952"/>
            <w:shd w:fill="39756B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主责方向</w:t>
            </w:r>
          </w:p>
        </w:tc>
        <w:tc>
          <w:tcPr>
            <w:tcW w:type="dxa" w:w="4536"/>
            <w:shd w:fill="39756B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关键交付</w:t>
            </w:r>
          </w:p>
        </w:tc>
      </w:tr>
      <w:tr>
        <w:tc>
          <w:tcPr>
            <w:tcW w:type="dxa" w:w="237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范誉（队长）</w:t>
            </w:r>
          </w:p>
        </w:tc>
        <w:tc>
          <w:tcPr>
            <w:tcW w:type="dxa" w:w="295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统筹、交互与前端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进度协调、页面设计、前端开发、界面测试和产品演示</w:t>
            </w:r>
          </w:p>
        </w:tc>
      </w:tr>
      <w:tr>
        <w:tc>
          <w:tcPr>
            <w:tcW w:type="dxa" w:w="237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徐梓凯</w:t>
            </w:r>
          </w:p>
        </w:tc>
        <w:tc>
          <w:tcPr>
            <w:tcW w:type="dxa" w:w="295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后端架构与智能体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数据库、接口、Agent 工作流、技术测试和部署</w:t>
            </w:r>
          </w:p>
        </w:tc>
      </w:tr>
      <w:tr>
        <w:tc>
          <w:tcPr>
            <w:tcW w:type="dxa" w:w="237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柯常瑞</w:t>
            </w:r>
          </w:p>
        </w:tc>
        <w:tc>
          <w:tcPr>
            <w:tcW w:type="dxa" w:w="2952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产品与知识工程</w:t>
            </w:r>
          </w:p>
        </w:tc>
        <w:tc>
          <w:tcPr>
            <w:tcW w:type="dxa" w:w="4536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需求调研、资料核验、知识库设计、测试用例和内容验收</w:t>
            </w:r>
          </w:p>
        </w:tc>
      </w:tr>
    </w:tbl>
    <w:p>
      <w:pPr>
        <w:spacing w:after="4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7920"/>
            <w:shd w:fill="BF451E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计划交付</w:t>
            </w:r>
          </w:p>
        </w:tc>
      </w:tr>
      <w:tr>
        <w:tc>
          <w:tcPr>
            <w:tcW w:type="dxa" w:w="1944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第1–2周</w:t>
            </w:r>
          </w:p>
        </w:tc>
        <w:tc>
          <w:tcPr>
            <w:tcW w:type="dxa" w:w="79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确定P0范围；整理4项知识；完成静态前端和最小知识实验</w:t>
            </w:r>
          </w:p>
        </w:tc>
      </w:tr>
      <w:tr>
        <w:tc>
          <w:tcPr>
            <w:tcW w:type="dxa" w:w="1944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第3–4周</w:t>
            </w:r>
          </w:p>
        </w:tc>
        <w:tc>
          <w:tcPr>
            <w:tcW w:type="dxa" w:w="79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完成后端骨架、数据库接口、AgentArts工作流和20题链路测试</w:t>
            </w:r>
          </w:p>
        </w:tc>
      </w:tr>
      <w:tr>
        <w:tc>
          <w:tcPr>
            <w:tcW w:type="dxa" w:w="1944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第5–6周</w:t>
            </w:r>
          </w:p>
        </w:tc>
        <w:tc>
          <w:tcPr>
            <w:tcW w:type="dxa" w:w="79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前后端联调；实现追问、拒答、反馈；扩展P1并完成40题评测集</w:t>
            </w:r>
          </w:p>
        </w:tc>
      </w:tr>
      <w:tr>
        <w:tc>
          <w:tcPr>
            <w:tcW w:type="dxa" w:w="1944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第7–8周</w:t>
            </w:r>
          </w:p>
        </w:tc>
        <w:tc>
          <w:tcPr>
            <w:tcW w:type="dxa" w:w="7920"/>
            <w:tcBorders>
              <w:top w:val="single" w:sz="6" w:space="0" w:color="E5D2C5"/>
              <w:left w:val="single" w:sz="6" w:space="0" w:color="E5D2C5"/>
              <w:bottom w:val="single" w:sz="6" w:space="0" w:color="E5D2C5"/>
              <w:right w:val="single" w:sz="6" w:space="0" w:color="E5D2C5"/>
              <w:insideH w:val="single" w:sz="6" w:space="0" w:color="E5D2C5"/>
              <w:insideV w:val="single" w:sz="6" w:space="0" w:color="E5D2C5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center"/>
            <w:shd w:fill="FFF9F3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34241D"/>
                <w:sz w:val="15"/>
              </w:rPr>
              <w:t>部署、README、答辩材料、备用演示、最终评测和连续5次演示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spacing w:after="40" w:line="240" w:lineRule="auto" w:before="0"/>
      </w:pPr>
      <w:r>
        <w:rPr>
          <w:rFonts w:ascii="Microsoft YaHei" w:hAnsi="Microsoft YaHei" w:eastAsia="Microsoft YaHei"/>
          <w:b/>
          <w:color w:val="BF451E"/>
          <w:sz w:val="26"/>
        </w:rPr>
        <w:t>九 预期成果与参考来源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项目完成后形成可运行的前端原型、FastAPI 后端、数据库迁移与模型、知识库条目、接口说明、测试报告、系统架构图、答辩 PPT 和演示脚本。项目不把原型截图或目标架构描述为已经完成的云端能力，所有未验证内容在提交材料中标注为计划或目标。</w:t>
      </w:r>
    </w:p>
    <w:p>
      <w:pPr>
        <w:spacing w:after="40" w:line="240" w:lineRule="auto" w:before="0"/>
      </w:pPr>
      <w:r>
        <w:rPr>
          <w:rFonts w:ascii="Microsoft YaHei" w:hAnsi="Microsoft YaHei" w:eastAsia="Microsoft YaHei"/>
          <w:b w:val="0"/>
          <w:color w:val="34241D"/>
          <w:sz w:val="18"/>
        </w:rPr>
        <w:t>主要依据：项目仓库 plans/校园办事小秘书实施方案.md、backend/app/models 中的 ORM 模型、frontend 中的 Vue 3 原型代码，以及 Vue.js、Vite、TypeScript、FastAPI、Pydantic、SQLAlchemy、MySQL、Alembic 和 ppt-master 等开源项目文档。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color w:val="BF451E"/>
          <w:sz w:val="24"/>
        </w:rPr>
        <w:t>十 交付清单与最终验收</w:t>
      </w:r>
    </w:p>
    <w:p>
      <w:pPr>
        <w:spacing w:after="40" w:line="240" w:lineRule="auto"/>
      </w:pPr>
      <w:r>
        <w:rPr>
          <w:rFonts w:ascii="Microsoft YaHei" w:hAnsi="Microsoft YaHei" w:eastAsia="Microsoft YaHei"/>
          <w:b w:val="0"/>
          <w:color w:val="34241D"/>
          <w:sz w:val="18"/>
        </w:rPr>
        <w:t>项目最终交付以“可运行、可复现、可核验”为标准。原型截图用于说明当前前端界面，云端 AgentArts 连通、真实来源覆盖率和最终评测结果必须在完成对应测试后再确认。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0"/>
            <w:shd w:fill="BF451E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0"/>
            <w:shd w:fill="BF451E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0"/>
            <w:shd w:fill="BF451E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可运行原型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Vue 前端、问答入口、办事卡片、来源和反馈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本地启动并完成演示脚本</w:t>
            </w:r>
          </w:p>
        </w:tc>
      </w:tr>
      <w:tr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shd w:fill="FFF9F3"/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后端与数据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shd w:fill="FFF9F3"/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FastAPI、数据库模型、迁移和接口说明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shd w:fill="FFF9F3"/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健康检查、核心接口测试通过</w:t>
            </w:r>
          </w:p>
        </w:tc>
      </w:tr>
      <w:tr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知识与规则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P0事项条目、来源元数据、状态和兜底规则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每条内容可定位来源</w:t>
            </w:r>
          </w:p>
        </w:tc>
      </w:tr>
      <w:tr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shd w:fill="FFF9F3"/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评测材料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shd w:fill="FFF9F3"/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40题主集、10题拒答专项、记录表和报告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shd w:fill="FFF9F3"/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指标定义、结果和失败原因完整</w:t>
            </w:r>
          </w:p>
        </w:tc>
      </w:tr>
      <w:tr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答辩材料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PPT、架构图、原型截图和演示脚本</w:t>
            </w:r>
          </w:p>
        </w:tc>
        <w:tc>
          <w:tcPr>
            <w:tcW w:type="dxa" w:w="0"/>
            <w:tcBorders>
              <w:top w:val="single" w:sz="5" w:color="E5D2C5"/>
              <w:left w:val="single" w:sz="5" w:color="E5D2C5"/>
              <w:bottom w:val="single" w:sz="5" w:color="E5D2C5"/>
              <w:right w:val="single" w:sz="5" w:color="E5D2C5"/>
              <w:insideH w:val="single" w:sz="5" w:color="E5D2C5"/>
              <w:insideV w:val="single" w:sz="5" w:color="E5D2C5"/>
            </w:tcBorders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34241D"/>
                <w:sz w:val="16"/>
              </w:rPr>
              <w:t>三位成员分工与贡献可说明</w:t>
            </w:r>
          </w:p>
        </w:tc>
      </w:tr>
    </w:tbl>
    <w:p>
      <w:pPr>
        <w:spacing w:after="40" w:line="240" w:lineRule="auto"/>
      </w:pPr>
      <w:r>
        <w:rPr>
          <w:rFonts w:ascii="Microsoft YaHei" w:hAnsi="Microsoft YaHei" w:eastAsia="Microsoft YaHei"/>
          <w:b w:val="0"/>
          <w:color w:val="34241D"/>
          <w:sz w:val="18"/>
        </w:rPr>
        <w:t>最终结论：先把学生证补办、校园卡补办、宿舍报修和请假四项P0事项做成可追溯闭环，再依据评测结果扩展P1事项。范誉（队长）负责统筹和前端，徐梓凯负责后端与智能体，柯常瑞负责产品与知识工程，三人共同完成测试、答辩和版本交付。</w:t>
      </w:r>
    </w:p>
    <w:sectPr w:rsidR="00FC693F" w:rsidRPr="0006063C" w:rsidSect="00034616">
      <w:footerReference w:type="default" r:id="rId9"/>
      <w:pgSz w:w="12240" w:h="15840"/>
      <w:pgMar w:top="547" w:right="893" w:bottom="547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65F52"/>
        <w:sz w:val="17"/>
      </w:rPr>
      <w:t>校园服务助理  |  项目说明书  |  苏州大学软件工程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24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24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3424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校园服务助理项目说明书</dc:title>
  <dc:subject>校园服务助理开题项目说明</dc:subject>
  <dc:creator>苏州大学软件工程项目组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