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SC_result_table"/>
    <w:p>
      <w:pPr>
        <w:pStyle w:val="TableCaption"/>
      </w:pPr>
      <w:r>
        <w:t xml:space="preserve">Crystallinity(</w:t>
      </w:r>
      <m:oMath>
        <m:sSub>
          <m:e>
            <m:r>
              <m:t>χ</m:t>
            </m:r>
          </m:e>
          <m:sub>
            <m:r>
              <m:t>c</m:t>
            </m:r>
          </m:sub>
        </m:sSub>
      </m:oMath>
      <w:r>
        <w:t xml:space="preserve">) and thermal stability of components in PCL/PLA blends</w:t>
      </w:r>
    </w:p>
    <w:tbl>
      <w:tblPr>
        <w:tblStyle w:val="Table"/>
        <w:tblW w:type="pct" w:w="0.0"/>
        <w:tblLook w:firstRow="1" w:lastRow="0" w:firstColumn="0" w:lastColumn="0" w:noHBand="0" w:noVBand="0"/>
        <w:tblCaption w:val="Crystallinity(\chi_c) and thermal stability of components in PCL/PLA blend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χ</m:t>
                  </m:r>
                </m:e>
                <m:sub>
                  <m:r>
                    <m:t>P</m:t>
                  </m:r>
                  <m:r>
                    <m:t>C</m:t>
                  </m:r>
                  <m:r>
                    <m:t>L</m:t>
                  </m:r>
                </m:sub>
              </m:sSub>
            </m:oMath>
            <w:r>
              <w:t xml:space="preserve"> </w:t>
            </w:r>
            <w:r>
              <w:t xml:space="preserve">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χ</m:t>
                  </m:r>
                </m:e>
                <m:sub>
                  <m:r>
                    <m:t>P</m:t>
                  </m:r>
                  <m:r>
                    <m:t>L</m:t>
                  </m:r>
                  <m:r>
                    <m:t>A</m:t>
                  </m:r>
                </m:sub>
              </m:sSub>
            </m:oMath>
            <w:r>
              <w:t xml:space="preserve">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Sup>
                <m:e>
                  <m:r>
                    <m:t>T</m:t>
                  </m:r>
                </m:e>
                <m:sub>
                  <m:r>
                    <m:t>m</m:t>
                  </m:r>
                </m:sub>
                <m:sup>
                  <m:r>
                    <m:t>P</m:t>
                  </m:r>
                  <m:r>
                    <m:t>C</m:t>
                  </m:r>
                  <m:r>
                    <m:t>L</m:t>
                  </m:r>
                </m:sup>
              </m:sSubSup>
            </m:oMath>
            <w:r>
              <w:t xml:space="preserve">(</w:t>
            </w:r>
            <m:oMath>
              <m:sSup>
                <m:e>
                  <m:r>
                    <m:rPr>
                      <m:sty m:val="p"/>
                    </m:rPr>
                    <m:t>​</m:t>
                  </m:r>
                </m:e>
                <m:sup>
                  <m:r>
                    <m:rPr>
                      <m:sty m:val="p"/>
                    </m:rPr>
                    <m:t>o</m:t>
                  </m:r>
                </m:sup>
              </m:sSup>
              <m:r>
                <m:rPr>
                  <m:sty m:val="p"/>
                </m:rPr>
                <m:t>C</m:t>
              </m:r>
            </m:oMath>
            <w:r>
              <w:t xml:space="preserve">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Sup>
                <m:e>
                  <m:r>
                    <m:t>T</m:t>
                  </m:r>
                </m:e>
                <m:sub>
                  <m:r>
                    <m:t>d</m:t>
                  </m:r>
                </m:sub>
                <m:sup>
                  <m:r>
                    <m:t>P</m:t>
                  </m:r>
                  <m:r>
                    <m:t>C</m:t>
                  </m:r>
                  <m:r>
                    <m:t>L</m:t>
                  </m:r>
                </m:sup>
              </m:sSubSup>
            </m:oMath>
            <w:r>
              <w:t xml:space="preserve">(</w:t>
            </w:r>
            <m:oMath>
              <m:sSup>
                <m:e>
                  <m:r>
                    <m:rPr>
                      <m:sty m:val="p"/>
                    </m:rPr>
                    <m:t>​</m:t>
                  </m:r>
                </m:e>
                <m:sup>
                  <m:r>
                    <m:rPr>
                      <m:sty m:val="p"/>
                    </m:rPr>
                    <m:t>o</m:t>
                  </m:r>
                </m:sup>
              </m:sSup>
              <m:r>
                <m:rPr>
                  <m:sty m:val="p"/>
                </m:rPr>
                <m:t>C</m:t>
              </m:r>
            </m:oMath>
            <w:r>
              <w:t xml:space="preserve">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χ</m:t>
                  </m:r>
                </m:e>
                <m:sub>
                  <m:r>
                    <m:t>P</m:t>
                  </m:r>
                  <m:r>
                    <m:t>C</m:t>
                  </m:r>
                  <m:r>
                    <m:t>L</m:t>
                  </m:r>
                </m:sub>
              </m:sSub>
            </m:oMath>
            <w:r>
              <w:t xml:space="preserve">(%)(WAXS)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χ</m:t>
                  </m:r>
                </m:e>
                <m:sub>
                  <m:r>
                    <m:t>P</m:t>
                  </m:r>
                  <m:r>
                    <m:t>L</m:t>
                  </m:r>
                  <m:r>
                    <m:t>A</m:t>
                  </m:r>
                </m:sub>
              </m:sSub>
            </m:oMath>
            <w:r>
              <w:t xml:space="preserve">(%)(WAXS)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0%</w:t>
            </w:r>
          </w:p>
        </w:tc>
        <w:tc>
          <w:p>
            <w:pPr>
              <w:pStyle w:val="Compact"/>
              <w:jc w:val="center"/>
            </w:pPr>
            <w:r>
              <w:t xml:space="preserve">17.8</w:t>
            </w:r>
          </w:p>
        </w:tc>
        <w:tc>
          <w:p>
            <w:pPr>
              <w:pStyle w:val="Compact"/>
              <w:jc w:val="center"/>
            </w:pPr>
            <w:r>
              <w:t xml:space="preserve">6.13</w:t>
            </w:r>
          </w:p>
        </w:tc>
        <w:tc>
          <w:p>
            <w:pPr>
              <w:pStyle w:val="Compact"/>
              <w:jc w:val="center"/>
            </w:pPr>
            <w:r>
              <w:t xml:space="preserve">60.2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27.65</w:t>
            </w:r>
          </w:p>
        </w:tc>
        <w:tc>
          <w:p>
            <w:pPr>
              <w:pStyle w:val="Compact"/>
              <w:jc w:val="center"/>
            </w:pPr>
            <w:r>
              <w:t xml:space="preserve">4.81</w:t>
            </w:r>
          </w:p>
        </w:tc>
        <w:tc>
          <w:p>
            <w:pPr>
              <w:pStyle w:val="Compact"/>
              <w:jc w:val="center"/>
            </w:pPr>
            <w:r>
              <w:t xml:space="preserve">9.48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21.6</w:t>
            </w:r>
          </w:p>
        </w:tc>
        <w:tc>
          <w:p>
            <w:pPr>
              <w:pStyle w:val="Compact"/>
              <w:jc w:val="center"/>
            </w:pPr>
            <w:r>
              <w:t xml:space="preserve">4.77</w:t>
            </w:r>
          </w:p>
        </w:tc>
        <w:tc>
          <w:p>
            <w:pPr>
              <w:pStyle w:val="Compact"/>
              <w:jc w:val="center"/>
            </w:pPr>
            <w:r>
              <w:t xml:space="preserve">60.3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31.95</w:t>
            </w:r>
          </w:p>
        </w:tc>
        <w:tc>
          <w:p>
            <w:pPr>
              <w:pStyle w:val="Compact"/>
              <w:jc w:val="center"/>
            </w:pPr>
            <w:r>
              <w:t xml:space="preserve">6.41</w:t>
            </w:r>
          </w:p>
        </w:tc>
        <w:tc>
          <w:p>
            <w:pPr>
              <w:pStyle w:val="Compact"/>
              <w:jc w:val="center"/>
            </w:pPr>
            <w:r>
              <w:t xml:space="preserve">5.42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24.1</w:t>
            </w:r>
          </w:p>
        </w:tc>
        <w:tc>
          <w:p>
            <w:pPr>
              <w:pStyle w:val="Compact"/>
              <w:jc w:val="center"/>
            </w:pPr>
            <w:r>
              <w:t xml:space="preserve">4.87</w:t>
            </w:r>
          </w:p>
        </w:tc>
        <w:tc>
          <w:p>
            <w:pPr>
              <w:pStyle w:val="Compact"/>
              <w:jc w:val="center"/>
            </w:pPr>
            <w:r>
              <w:t xml:space="preserve">61.1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34.00</w:t>
            </w:r>
          </w:p>
        </w:tc>
        <w:tc>
          <w:p>
            <w:pPr>
              <w:pStyle w:val="Compact"/>
              <w:jc w:val="center"/>
            </w:pPr>
            <w:r>
              <w:t xml:space="preserve">7.84</w:t>
            </w:r>
          </w:p>
        </w:tc>
        <w:tc>
          <w:p>
            <w:pPr>
              <w:pStyle w:val="Compact"/>
              <w:jc w:val="center"/>
            </w:pPr>
            <w:r>
              <w:t xml:space="preserve">5.81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23.3</w:t>
            </w:r>
          </w:p>
        </w:tc>
        <w:tc>
          <w:p>
            <w:pPr>
              <w:pStyle w:val="Compact"/>
              <w:jc w:val="center"/>
            </w:pPr>
            <w:r>
              <w:t xml:space="preserve">5.60</w:t>
            </w:r>
          </w:p>
        </w:tc>
        <w:tc>
          <w:p>
            <w:pPr>
              <w:pStyle w:val="Compact"/>
              <w:jc w:val="center"/>
            </w:pPr>
            <w:r>
              <w:t xml:space="preserve">59.2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31.00</w:t>
            </w:r>
          </w:p>
        </w:tc>
        <w:tc>
          <w:p>
            <w:pPr>
              <w:pStyle w:val="Compact"/>
              <w:jc w:val="center"/>
            </w:pPr>
            <w:r>
              <w:t xml:space="preserve">7.21</w:t>
            </w:r>
          </w:p>
        </w:tc>
        <w:tc>
          <w:p>
            <w:pPr>
              <w:pStyle w:val="Compact"/>
              <w:jc w:val="center"/>
            </w:pPr>
            <w:r>
              <w:t xml:space="preserve">8.68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p>
            <w:pPr>
              <w:pStyle w:val="Compact"/>
              <w:jc w:val="center"/>
            </w:pPr>
            <w:r>
              <w:t xml:space="preserve">28.6</w:t>
            </w:r>
          </w:p>
        </w:tc>
        <w:tc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p>
            <w:pPr>
              <w:pStyle w:val="Compact"/>
              <w:jc w:val="center"/>
            </w:pPr>
            <w:r>
              <w:t xml:space="preserve">63.4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33.20</w:t>
            </w:r>
          </w:p>
        </w:tc>
        <w:tc>
          <w:p>
            <w:pPr>
              <w:pStyle w:val="Compact"/>
              <w:jc w:val="center"/>
            </w:pPr>
            <w:r>
              <w:t xml:space="preserve">4.56</w:t>
            </w:r>
          </w:p>
        </w:tc>
        <w:tc>
          <w:p>
            <w:pPr>
              <w:pStyle w:val="Compact"/>
              <w:jc w:val="center"/>
            </w:pPr>
            <w:r>
              <w:t xml:space="preserve">9.34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125%</w:t>
            </w:r>
          </w:p>
        </w:tc>
        <w:tc>
          <w:p>
            <w:pPr>
              <w:pStyle w:val="Compact"/>
              <w:jc w:val="center"/>
            </w:pPr>
            <w:r>
              <w:t xml:space="preserve">28.8</w:t>
            </w:r>
          </w:p>
        </w:tc>
        <w:tc>
          <w:p>
            <w:pPr>
              <w:pStyle w:val="Compact"/>
              <w:jc w:val="center"/>
            </w:pPr>
            <w:r>
              <w:t xml:space="preserve">5.17</w:t>
            </w:r>
          </w:p>
        </w:tc>
        <w:tc>
          <w:p>
            <w:pPr>
              <w:pStyle w:val="Compact"/>
              <w:jc w:val="center"/>
            </w:pPr>
            <w:r>
              <w:t xml:space="preserve">62.0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30.09</w:t>
            </w:r>
          </w:p>
        </w:tc>
        <w:tc>
          <w:p>
            <w:pPr>
              <w:pStyle w:val="Compact"/>
              <w:jc w:val="center"/>
            </w:pPr>
            <w:r>
              <w:t xml:space="preserve">6.96</w:t>
            </w:r>
          </w:p>
        </w:tc>
        <w:tc>
          <w:p>
            <w:pPr>
              <w:pStyle w:val="Compact"/>
              <w:jc w:val="center"/>
            </w:pPr>
            <w:r>
              <w:t xml:space="preserve">7.98</w:t>
            </w:r>
          </w:p>
        </w:tc>
      </w:tr>
      <w:tr>
        <w:tc>
          <w:p>
            <w:pPr>
              <w:pStyle w:val="Compact"/>
              <w:jc w:val="center"/>
            </w:pPr>
            <w:bookmarkStart w:id="20" w:name="DSC_result_table"/>
            <w:r>
              <w:t xml:space="preserve">[DSC_result_table]</w:t>
            </w:r>
            <w:bookmarkEnd w:id="20"/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21"/>
    <w:p>
      <w:pPr>
        <w:pStyle w:val="BodyText"/>
      </w:pPr>
      <m:oMath>
        <m:sSub>
          <m:e>
            <m:r>
              <m:t>χ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calculated using</w:t>
      </w:r>
      <w:r>
        <w:t xml:space="preserve"> </w:t>
      </w:r>
      <m:oMath>
        <m:sSubSup>
          <m:e>
            <m:r>
              <m:t>Δ</m:t>
            </m:r>
          </m:e>
          <m:sub>
            <m:r>
              <m:t>m</m:t>
            </m:r>
          </m:sub>
          <m:sup>
            <m:r>
              <m:t>c</m:t>
            </m:r>
          </m:sup>
        </m:sSubSup>
      </m:oMath>
      <w:r>
        <w:t xml:space="preserve"> </w:t>
      </w:r>
      <w:r>
        <w:t xml:space="preserve">of PCL of 139.5(</w:t>
      </w:r>
      <m:oMath>
        <m:r>
          <m:rPr>
            <m:sty m:val="p"/>
          </m:rPr>
          <m:t>J</m:t>
        </m:r>
        <m:r>
          <m:rPr>
            <m:sty m:val="p"/>
          </m:rPr>
          <m:t>⋅</m:t>
        </m:r>
        <m:sSup>
          <m:e>
            <m:r>
              <m:rPr>
                <m:sty m:val="p"/>
              </m:rPr>
              <m:t>g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</m:oMath>
      <w:r>
        <w:t xml:space="preserve">),</w:t>
      </w:r>
      <w:r>
        <w:t xml:space="preserve"> </w:t>
      </w:r>
      <m:oMath>
        <m:sSubSup>
          <m:e>
            <m:r>
              <m:t>Δ</m:t>
            </m:r>
          </m:e>
          <m:sub>
            <m:r>
              <m:t>m</m:t>
            </m:r>
          </m:sub>
          <m:sup>
            <m:r>
              <m:t>c</m:t>
            </m:r>
          </m:sup>
        </m:sSubSup>
      </m:oMath>
      <w:r>
        <w:t xml:space="preserve"> </w:t>
      </w:r>
      <w:r>
        <w:t xml:space="preserve">of PLA of 79(</w:t>
      </w:r>
      <m:oMath>
        <m:r>
          <m:rPr>
            <m:sty m:val="p"/>
          </m:rPr>
          <m:t>J</m:t>
        </m:r>
        <m:r>
          <m:rPr>
            <m:sty m:val="p"/>
          </m:rPr>
          <m:t>⋅</m:t>
        </m:r>
        <m:sSup>
          <m:e>
            <m:r>
              <m:rPr>
                <m:sty m:val="p"/>
              </m:rPr>
              <m:t>g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</m:oMath>
      <w:r>
        <w:t xml:space="preserve">).</w:t>
      </w:r>
    </w:p>
    <w:p>
      <w:pPr>
        <w:pStyle w:val="BodyText"/>
      </w:pPr>
      <w:r>
        <w:t xml:space="preserve">In MDI jade, R is the</w:t>
      </w:r>
      <w:r>
        <w:t xml:space="preserve"> </w:t>
      </w:r>
      <w:r>
        <w:rPr>
          <w:i/>
        </w:rPr>
        <w:t xml:space="preserve">residual errors of fit</w:t>
      </w:r>
      <w:r>
        <w:t xml:space="preserve"> </w:t>
      </w:r>
      <w:r>
        <w:t xml:space="preserve">when crystallinity was calculated.</w:t>
      </w:r>
    </w:p>
    <w:p>
      <w:pPr>
        <w:pStyle w:val="TableCaption"/>
      </w:pPr>
      <w:r>
        <w:t xml:space="preserve">SAXS analysis of PCL/PLA blends</w:t>
      </w:r>
    </w:p>
    <w:tbl>
      <w:tblPr>
        <w:tblStyle w:val="Table"/>
        <w:tblW w:type="pct" w:w="0.0"/>
        <w:tblLook w:firstRow="1" w:lastRow="0" w:firstColumn="0" w:lastColumn="0" w:noHBand="0" w:noVBand="0"/>
        <w:tblCaption w:val="SAXS analysis of PCL/PLA blend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q</w:t>
            </w:r>
            <w:r>
              <w:t xml:space="preserve">(</w:t>
            </w:r>
            <m:oMath>
              <m:r>
                <m:rPr>
                  <m:sty m:val="p"/>
                </m:rPr>
                <m:t>n</m:t>
              </m:r>
              <m:sSup>
                <m:e>
                  <m:r>
                    <m:rPr>
                      <m:sty m:val="p"/>
                    </m:rPr>
                    <m:t>m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1</m:t>
                  </m:r>
                </m:sup>
              </m:sSup>
            </m:oMath>
            <w:r>
              <w:t xml:space="preserve">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Lamllar width(nm)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Herman factor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0%</w:t>
            </w:r>
          </w:p>
        </w:tc>
        <w:tc>
          <w:p>
            <w:pPr>
              <w:pStyle w:val="Compact"/>
              <w:jc w:val="center"/>
            </w:pPr>
            <w:r>
              <w:t xml:space="preserve">0.3663</w:t>
            </w:r>
          </w:p>
        </w:tc>
        <w:tc>
          <w:p>
            <w:pPr>
              <w:pStyle w:val="Compact"/>
              <w:jc w:val="center"/>
            </w:pPr>
            <w:r>
              <w:t xml:space="preserve">17.15</w:t>
            </w:r>
          </w:p>
        </w:tc>
        <w:tc>
          <w:p>
            <w:pPr>
              <w:pStyle w:val="Compact"/>
              <w:jc w:val="center"/>
            </w:pPr>
            <w:r>
              <w:t xml:space="preserve">0.2841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0.3948</w:t>
            </w:r>
          </w:p>
        </w:tc>
        <w:tc>
          <w:p>
            <w:pPr>
              <w:pStyle w:val="Compact"/>
              <w:jc w:val="center"/>
            </w:pPr>
            <w:r>
              <w:t xml:space="preserve">15.91</w:t>
            </w:r>
          </w:p>
        </w:tc>
        <w:tc>
          <w:p>
            <w:pPr>
              <w:pStyle w:val="Compact"/>
              <w:jc w:val="center"/>
            </w:pPr>
            <w:r>
              <w:t xml:space="preserve">0.2323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0.3948</w:t>
            </w:r>
          </w:p>
        </w:tc>
        <w:tc>
          <w:p>
            <w:pPr>
              <w:pStyle w:val="Compact"/>
              <w:jc w:val="center"/>
            </w:pPr>
            <w:r>
              <w:t xml:space="preserve">15.91</w:t>
            </w:r>
          </w:p>
        </w:tc>
        <w:tc>
          <w:p>
            <w:pPr>
              <w:pStyle w:val="Compact"/>
              <w:jc w:val="center"/>
            </w:pPr>
            <w:r>
              <w:t xml:space="preserve">0.2709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0.3995</w:t>
            </w:r>
          </w:p>
        </w:tc>
        <w:tc>
          <w:p>
            <w:pPr>
              <w:pStyle w:val="Compact"/>
              <w:jc w:val="center"/>
            </w:pPr>
            <w:r>
              <w:t xml:space="preserve">15.72</w:t>
            </w:r>
          </w:p>
        </w:tc>
        <w:tc>
          <w:p>
            <w:pPr>
              <w:pStyle w:val="Compact"/>
              <w:jc w:val="center"/>
            </w:pPr>
            <w:r>
              <w:t xml:space="preserve">0.3236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p>
            <w:pPr>
              <w:pStyle w:val="Compact"/>
              <w:jc w:val="center"/>
            </w:pPr>
            <w:r>
              <w:t xml:space="preserve">0.3901</w:t>
            </w:r>
          </w:p>
        </w:tc>
        <w:tc>
          <w:p>
            <w:pPr>
              <w:pStyle w:val="Compact"/>
              <w:jc w:val="center"/>
            </w:pPr>
            <w:r>
              <w:t xml:space="preserve">16.10</w:t>
            </w:r>
          </w:p>
        </w:tc>
        <w:tc>
          <w:p>
            <w:pPr>
              <w:pStyle w:val="Compact"/>
              <w:jc w:val="center"/>
            </w:pPr>
            <w:r>
              <w:t xml:space="preserve">0.4562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125%</w:t>
            </w:r>
          </w:p>
        </w:tc>
        <w:tc>
          <w:p>
            <w:pPr>
              <w:pStyle w:val="Compact"/>
              <w:jc w:val="center"/>
            </w:pPr>
            <w:r>
              <w:t xml:space="preserve">0.3922</w:t>
            </w:r>
          </w:p>
        </w:tc>
        <w:tc>
          <w:p>
            <w:pPr>
              <w:pStyle w:val="Compact"/>
              <w:jc w:val="center"/>
            </w:pPr>
            <w:r>
              <w:t xml:space="preserve">16.02</w:t>
            </w:r>
          </w:p>
        </w:tc>
        <w:tc>
          <w:p>
            <w:pPr>
              <w:pStyle w:val="Compact"/>
              <w:jc w:val="center"/>
            </w:pPr>
            <w:r>
              <w:t xml:space="preserve">0.5971</w:t>
            </w:r>
          </w:p>
        </w:tc>
      </w:tr>
    </w:tbl>
    <w:p/>
    <w:p>
      <w:pPr>
        <w:pStyle w:val="TableCaption"/>
      </w:pPr>
      <w:r>
        <w:t xml:space="preserve">Dynamic properties of the PCL/PLA blends</w:t>
      </w:r>
    </w:p>
    <w:tbl>
      <w:tblPr>
        <w:tblStyle w:val="Table"/>
        <w:tblW w:type="pct" w:w="0.0"/>
        <w:tblLook w:firstRow="1" w:lastRow="0" w:firstColumn="0" w:lastColumn="0" w:noHBand="0" w:noVBand="0"/>
        <w:tblCaption w:val="Dynamic properties of the PCL/PLA blend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Young’s Modulus(Mpa)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Tensile Strength(Mpa)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Elongation at break(%)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0%</w:t>
            </w:r>
          </w:p>
        </w:tc>
        <w:tc>
          <w:p>
            <w:pPr>
              <w:pStyle w:val="Compact"/>
              <w:jc w:val="center"/>
            </w:pPr>
            <w:r>
              <w:t xml:space="preserve">3799</w:t>
            </w:r>
          </w:p>
        </w:tc>
        <w:tc>
          <w:p>
            <w:pPr>
              <w:pStyle w:val="Compact"/>
              <w:jc w:val="center"/>
            </w:pPr>
            <w:r>
              <w:t xml:space="preserve">12.14</w:t>
            </w:r>
          </w:p>
        </w:tc>
        <w:tc>
          <w:p>
            <w:pPr>
              <w:pStyle w:val="Compact"/>
              <w:jc w:val="center"/>
            </w:pPr>
            <w:r>
              <w:t xml:space="preserve">13.26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4239</w:t>
            </w:r>
          </w:p>
        </w:tc>
        <w:tc>
          <w:p>
            <w:pPr>
              <w:pStyle w:val="Compact"/>
              <w:jc w:val="center"/>
            </w:pPr>
            <w:r>
              <w:t xml:space="preserve">13.56</w:t>
            </w:r>
          </w:p>
        </w:tc>
        <w:tc>
          <w:p>
            <w:pPr>
              <w:pStyle w:val="Compact"/>
              <w:jc w:val="center"/>
            </w:pPr>
            <w:r>
              <w:t xml:space="preserve">9.406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4880</w:t>
            </w:r>
          </w:p>
        </w:tc>
        <w:tc>
          <w:p>
            <w:pPr>
              <w:pStyle w:val="Compact"/>
              <w:jc w:val="center"/>
            </w:pPr>
            <w:r>
              <w:t xml:space="preserve">17.99</w:t>
            </w:r>
          </w:p>
        </w:tc>
        <w:tc>
          <w:p>
            <w:pPr>
              <w:pStyle w:val="Compact"/>
              <w:jc w:val="center"/>
            </w:pPr>
            <w:r>
              <w:t xml:space="preserve">10.43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6017</w:t>
            </w:r>
          </w:p>
        </w:tc>
        <w:tc>
          <w:p>
            <w:pPr>
              <w:pStyle w:val="Compact"/>
              <w:jc w:val="center"/>
            </w:pPr>
            <w:r>
              <w:t xml:space="preserve">21.30</w:t>
            </w:r>
          </w:p>
        </w:tc>
        <w:tc>
          <w:p>
            <w:pPr>
              <w:pStyle w:val="Compact"/>
              <w:jc w:val="center"/>
            </w:pPr>
            <w:r>
              <w:t xml:space="preserve">9.893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p>
            <w:pPr>
              <w:pStyle w:val="Compact"/>
              <w:jc w:val="center"/>
            </w:pPr>
            <w:r>
              <w:t xml:space="preserve">7499</w:t>
            </w:r>
          </w:p>
        </w:tc>
        <w:tc>
          <w:p>
            <w:pPr>
              <w:pStyle w:val="Compact"/>
              <w:jc w:val="center"/>
            </w:pPr>
            <w:r>
              <w:t xml:space="preserve">18.75</w:t>
            </w:r>
          </w:p>
        </w:tc>
        <w:tc>
          <w:p>
            <w:pPr>
              <w:pStyle w:val="Compact"/>
              <w:jc w:val="center"/>
            </w:pPr>
            <w:r>
              <w:t xml:space="preserve">9.573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125%</w:t>
            </w:r>
          </w:p>
        </w:tc>
        <w:tc>
          <w:p>
            <w:pPr>
              <w:pStyle w:val="Compact"/>
              <w:jc w:val="center"/>
            </w:pPr>
            <w:r>
              <w:t xml:space="preserve">5730</w:t>
            </w:r>
          </w:p>
        </w:tc>
        <w:tc>
          <w:p>
            <w:pPr>
              <w:pStyle w:val="Compact"/>
              <w:jc w:val="center"/>
            </w:pPr>
            <w:r>
              <w:t xml:space="preserve">20.10</w:t>
            </w:r>
          </w:p>
        </w:tc>
        <w:tc>
          <w:p>
            <w:pPr>
              <w:pStyle w:val="Compact"/>
              <w:jc w:val="center"/>
            </w:pPr>
            <w:r>
              <w:t xml:space="preserve">7.667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2021-03-08T14:50:55Z</dcterms:created>
  <dcterms:modified xsi:type="dcterms:W3CDTF">2021-03-08T14:50:55Z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