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  <w:pBdr>
          <w:bottom w:val="single" w:sz="6" w:space="1" w:color="222222"/>
        </w:pBdr>
      </w:pPr>
      <w:r>
        <w:rPr>
          <w:rFonts w:ascii="Calibri" w:hAnsi="Calibri" w:eastAsia="Noto Sans CJK SC"/>
          <w:b/>
          <w:sz w:val="16"/>
        </w:rPr>
        <w:t>Fin4120 Fixed Income — One-Page Cheat Sheet</w:t>
      </w:r>
    </w:p>
    <w:p>
      <w:pPr>
        <w:spacing w:before="60" w:after="20" w:line="240" w:lineRule="auto"/>
        <w:shd w:val="clear" w:color="auto" w:fill="E8E8E8"/>
      </w:pPr>
      <w:r>
        <w:rPr>
          <w:rFonts w:ascii="Calibri" w:hAnsi="Calibri" w:eastAsia="Noto Sans CJK SC"/>
          <w:b/>
          <w:sz w:val="13"/>
        </w:rPr>
        <w:t>1. Bond Basics / Sectors / Features / Risks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组成:</w:t>
      </w:r>
      <w:r>
        <w:rPr>
          <w:rFonts w:ascii="Calibri" w:hAnsi="Calibri" w:eastAsia="Noto Sans CJK SC"/>
          <w:b w:val="0"/>
          <w:sz w:val="11"/>
        </w:rPr>
        <w:t xml:space="preserve"> par value, coupon rate, maturity, coupon payment (US通常 semiannual).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US sectors:</w:t>
      </w:r>
      <w:r>
        <w:rPr>
          <w:rFonts w:ascii="Calibri" w:hAnsi="Calibri" w:eastAsia="Noto Sans CJK SC"/>
          <w:b w:val="0"/>
          <w:sz w:val="11"/>
        </w:rPr>
        <w:t xml:space="preserve"> Treasury(gov, T-bills≤1yr, mainly IR risk); Agency(GSEs/两房, credit); Municipal(local, tax-free, 1–30+yr, +call risk); Corporate(CP&lt;1yr, +liquidity); ABS/MBS(prepayment); Eurobonds(外币, FX).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China:</w:t>
      </w:r>
      <w:r>
        <w:rPr>
          <w:rFonts w:ascii="Calibri" w:hAnsi="Calibri" w:eastAsia="Noto Sans CJK SC"/>
          <w:b w:val="0"/>
          <w:sz w:val="11"/>
        </w:rPr>
        <w:t xml:space="preserve"> Gov, Policy Bank, Corporate, Bank, ABS, Panda Bonds. 监管: Interbank vs Exchange; 证监会≈SEC(listed); 银保监; 发改委(SOE bonds).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Structured bonds:</w:t>
      </w:r>
      <w:r>
        <w:rPr>
          <w:rFonts w:ascii="Calibri" w:hAnsi="Calibri" w:eastAsia="Noto Sans CJK SC"/>
          <w:b w:val="0"/>
          <w:sz w:val="11"/>
        </w:rPr>
        <w:t xml:space="preserve"> designed for specific investor need (derivative / securitization).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Features:</w:t>
      </w:r>
      <w:r>
        <w:rPr>
          <w:rFonts w:ascii="Calibri" w:hAnsi="Calibri" w:eastAsia="Noto Sans CJK SC"/>
          <w:b w:val="0"/>
          <w:sz w:val="11"/>
        </w:rPr>
        <w:t xml:space="preserve"> Amortizing(分期, safer lump, +reinvest risk) vs Nonamortizing(到期一次) vs Zero(长期目标). Callable→issuer受益; Puttable/Convertible/Exchangeable→investor受益.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Risks — Market:</w:t>
      </w:r>
      <w:r>
        <w:rPr>
          <w:rFonts w:ascii="Calibri" w:hAnsi="Calibri" w:eastAsia="Noto Sans CJK SC"/>
          <w:b w:val="0"/>
          <w:sz w:val="11"/>
        </w:rPr>
        <w:t xml:space="preserve"> rate, reinvest, inflation, FX, YC, volatility. </w:t>
      </w:r>
      <w:r>
        <w:rPr>
          <w:rFonts w:ascii="Calibri" w:hAnsi="Calibri" w:eastAsia="Noto Sans CJK SC"/>
          <w:b/>
          <w:sz w:val="11"/>
        </w:rPr>
        <w:t>Issuer:</w:t>
      </w:r>
      <w:r>
        <w:rPr>
          <w:rFonts w:ascii="Calibri" w:hAnsi="Calibri" w:eastAsia="Noto Sans CJK SC"/>
          <w:b w:val="0"/>
          <w:sz w:val="11"/>
        </w:rPr>
        <w:t xml:space="preserve"> credit, call, liquidity, event, tax.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Naming:</w:t>
      </w:r>
      <w:r>
        <w:rPr>
          <w:rFonts w:ascii="Calibri" w:hAnsi="Calibri" w:eastAsia="Noto Sans CJK SC"/>
          <w:b w:val="0"/>
          <w:sz w:val="11"/>
        </w:rPr>
        <w:t xml:space="preserve"> Tesla 4.5s 1/1/2025 = issuer, 4.5% coupon, matures 1/1/2025. CUSIP = US/CA ID.</w:t>
      </w:r>
    </w:p>
    <w:p>
      <w:pPr>
        <w:spacing w:before="60" w:after="20" w:line="240" w:lineRule="auto"/>
        <w:shd w:val="clear" w:color="auto" w:fill="E8E8E8"/>
      </w:pPr>
      <w:r>
        <w:rPr>
          <w:rFonts w:ascii="Calibri" w:hAnsi="Calibri" w:eastAsia="Noto Sans CJK SC"/>
          <w:b/>
          <w:sz w:val="13"/>
        </w:rPr>
        <w:t>2. Pricing / Price–Yield / Floaters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Annuity:</w:t>
      </w:r>
      <w:r>
        <w:rPr>
          <w:rFonts w:ascii="Calibri" w:hAnsi="Calibri" w:eastAsia="Noto Sans CJK SC"/>
          <w:b w:val="0"/>
          <w:sz w:val="11"/>
        </w:rPr>
        <w:t xml:space="preserve"> FV=C[((1+r)^n−1)/r]; PV=C[1−(1+r)^(−n)]/r. Bond P = Σ CF_t/(1+y)^t.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Yield:</w:t>
      </w:r>
      <w:r>
        <w:rPr>
          <w:rFonts w:ascii="Calibri" w:hAnsi="Calibri" w:eastAsia="Noto Sans CJK SC"/>
          <w:b w:val="0"/>
          <w:sz w:val="11"/>
        </w:rPr>
        <w:t xml:space="preserve"> rate making PV = market price (moves with price; ≠ coupon).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Price–yield:</w:t>
      </w:r>
      <w:r>
        <w:rPr>
          <w:rFonts w:ascii="Calibri" w:hAnsi="Calibri" w:eastAsia="Noto Sans CJK SC"/>
          <w:b w:val="0"/>
          <w:sz w:val="11"/>
        </w:rPr>
        <w:t xml:space="preserve"> inverse &amp; convex (同等Δr, P升幅度&gt;P降 → 对investor有利).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Price change drivers:</w:t>
      </w:r>
      <w:r>
        <w:rPr>
          <w:rFonts w:ascii="Calibri" w:hAnsi="Calibri" w:eastAsia="Noto Sans CJK SC"/>
          <w:b w:val="0"/>
          <w:sz w:val="11"/>
        </w:rPr>
        <w:t xml:space="preserve"> (1) credit (2) market yield (3) </w:t>
      </w:r>
      <w:r>
        <w:rPr>
          <w:rFonts w:ascii="Calibri" w:hAnsi="Calibri" w:eastAsia="Noto Sans CJK SC"/>
          <w:b/>
          <w:sz w:val="11"/>
        </w:rPr>
        <w:t>pull-to-par</w:t>
      </w:r>
      <w:r>
        <w:rPr>
          <w:rFonts w:ascii="Calibri" w:hAnsi="Calibri" w:eastAsia="Noto Sans CJK SC"/>
          <w:b w:val="0"/>
          <w:sz w:val="11"/>
        </w:rPr>
        <w:t xml:space="preserve"> (P→par as T→0; TVM diminishing).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Floater:</w:t>
      </w:r>
      <w:r>
        <w:rPr>
          <w:rFonts w:ascii="Calibri" w:hAnsi="Calibri" w:eastAsia="Noto Sans CJK SC"/>
          <w:b w:val="0"/>
          <w:sz w:val="11"/>
        </w:rPr>
        <w:t xml:space="preserve"> coupon = reference + quoted spread. P≈par if required spread≈quoted spread.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Inverse floater:</w:t>
      </w:r>
      <w:r>
        <w:rPr>
          <w:rFonts w:ascii="Calibri" w:hAnsi="Calibri" w:eastAsia="Noto Sans CJK SC"/>
          <w:b w:val="0"/>
          <w:sz w:val="11"/>
        </w:rPr>
        <w:t xml:space="preserve"> coupon = constant − reference. No-arb: Collateral = Inverse + Floater ⇒ P_inv=P_coll−P_floater.</w:t>
      </w:r>
    </w:p>
    <w:p>
      <w:pPr>
        <w:spacing w:before="60" w:after="20" w:line="240" w:lineRule="auto"/>
        <w:shd w:val="clear" w:color="auto" w:fill="E8E8E8"/>
      </w:pPr>
      <w:r>
        <w:rPr>
          <w:rFonts w:ascii="Calibri" w:hAnsi="Calibri" w:eastAsia="Noto Sans CJK SC"/>
          <w:b/>
          <w:sz w:val="13"/>
        </w:rPr>
        <w:t>3. Quotes / AI / Dirty–Clean / Day-Count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Treasury quotes in 32nds:</w:t>
      </w:r>
      <w:r>
        <w:rPr>
          <w:rFonts w:ascii="Calibri" w:hAnsi="Calibri" w:eastAsia="Noto Sans CJK SC"/>
          <w:b w:val="0"/>
          <w:sz w:val="11"/>
        </w:rPr>
        <w:t xml:space="preserve"> 99-16 = 99+16/32=99.5; 99-24+ = 99+24/32+1/64. Corp/Muni often 1/8s.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AI</w:t>
      </w:r>
      <w:r>
        <w:rPr>
          <w:rFonts w:ascii="Calibri" w:hAnsi="Calibri" w:eastAsia="Noto Sans CJK SC"/>
          <w:b w:val="0"/>
          <w:sz w:val="11"/>
        </w:rPr>
        <w:t xml:space="preserve"> = (days since last coupon / days in coupon period) × coupon. Seller earns daily interest.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Day-count:</w:t>
      </w:r>
      <w:r>
        <w:rPr>
          <w:rFonts w:ascii="Calibri" w:hAnsi="Calibri" w:eastAsia="Noto Sans CJK SC"/>
          <w:b w:val="0"/>
          <w:sz w:val="11"/>
        </w:rPr>
        <w:t xml:space="preserve"> actual/actual (Treasury); 30/360 (corp, muni).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Dirty (invoice) = Clean (quoted) + AI.</w:t>
      </w:r>
      <w:r>
        <w:rPr>
          <w:rFonts w:ascii="Calibri" w:hAnsi="Calibri" w:eastAsia="Noto Sans CJK SC"/>
          <w:b w:val="0"/>
          <w:sz w:val="11"/>
        </w:rPr>
      </w:r>
    </w:p>
    <w:p>
      <w:pPr>
        <w:spacing w:before="60" w:after="20" w:line="240" w:lineRule="auto"/>
        <w:shd w:val="clear" w:color="auto" w:fill="E8E8E8"/>
      </w:pPr>
      <w:r>
        <w:rPr>
          <w:rFonts w:ascii="Calibri" w:hAnsi="Calibri" w:eastAsia="Noto Sans CJK SC"/>
          <w:b/>
          <w:sz w:val="13"/>
        </w:rPr>
        <w:t>4. Yield Measures / DM / Horizon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  <w:t>EAR = (1+y_per)^m−1.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CY</w:t>
      </w:r>
      <w:r>
        <w:rPr>
          <w:rFonts w:ascii="Calibri" w:hAnsi="Calibri" w:eastAsia="Noto Sans CJK SC"/>
          <w:b w:val="0"/>
          <w:sz w:val="11"/>
        </w:rPr>
        <w:t xml:space="preserve"> = annual coupon / price (ignores ΔP &amp; reinvest). </w:t>
      </w:r>
      <w:r>
        <w:rPr>
          <w:rFonts w:ascii="Calibri" w:hAnsi="Calibri" w:eastAsia="Noto Sans CJK SC"/>
          <w:b/>
          <w:sz w:val="11"/>
        </w:rPr>
        <w:t>YTM</w:t>
      </w:r>
      <w:r>
        <w:rPr>
          <w:rFonts w:ascii="Calibri" w:hAnsi="Calibri" w:eastAsia="Noto Sans CJK SC"/>
          <w:b w:val="0"/>
          <w:sz w:val="11"/>
        </w:rPr>
        <w:t xml:space="preserve"> includes CG/CL + reinvest assumption.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YTC / YTP / YTS; YTW</w:t>
      </w:r>
      <w:r>
        <w:rPr>
          <w:rFonts w:ascii="Calibri" w:hAnsi="Calibri" w:eastAsia="Noto Sans CJK SC"/>
          <w:b w:val="0"/>
          <w:sz w:val="11"/>
        </w:rPr>
        <w:t xml:space="preserve"> = min{YTM,YTC,YTP,YTS} (worst for investor). Among them: YTC often highest (call risk), YTP often lowest.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  <w:t>Discount bond: coupon rate &lt; CY &lt; YTM. Premium: reverse.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Portfolio yield:</w:t>
      </w:r>
      <w:r>
        <w:rPr>
          <w:rFonts w:ascii="Calibri" w:hAnsi="Calibri" w:eastAsia="Noto Sans CJK SC"/>
          <w:b w:val="0"/>
          <w:sz w:val="11"/>
        </w:rPr>
        <w:t xml:space="preserve"> aggregate period CFs, solve one IRR.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Floater DM:</w:t>
      </w:r>
      <w:r>
        <w:rPr>
          <w:rFonts w:ascii="Calibri" w:hAnsi="Calibri" w:eastAsia="Noto Sans CJK SC"/>
          <w:b w:val="0"/>
          <w:sz w:val="11"/>
        </w:rPr>
        <w:t xml:space="preserve"> (1) assume constant reference (2) try DM (3) discount CFs at ref+DM (4) iterate until PV=price. Limits: static ref; ignores caps/floors. YTM assumes fixed CFs; DM captures floater variability.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Horizon analysis</w:t>
      </w:r>
      <w:r>
        <w:rPr>
          <w:rFonts w:ascii="Calibri" w:hAnsi="Calibri" w:eastAsia="Noto Sans CJK SC"/>
          <w:b w:val="0"/>
          <w:sz w:val="11"/>
        </w:rPr>
        <w:t xml:space="preserve"> (horizon h): (1) FV of coupons+reinvest @ reinvest rate (2) PV of remaining CFs @ resale yield → sale price (3) Total FV = (1)+(2) (4) solve P(1+y)^h=Total FV (5) if semi, annualize to EAR. If reinvest rate &lt; YTM ⇒ total return &lt; YTM.</w:t>
      </w:r>
    </w:p>
    <w:p>
      <w:pPr>
        <w:spacing w:before="60" w:after="20" w:line="240" w:lineRule="auto"/>
        <w:shd w:val="clear" w:color="auto" w:fill="E8E8E8"/>
      </w:pPr>
      <w:r>
        <w:rPr>
          <w:rFonts w:ascii="Calibri" w:hAnsi="Calibri" w:eastAsia="Noto Sans CJK SC"/>
          <w:b/>
          <w:sz w:val="13"/>
        </w:rPr>
        <w:t>5. Treasury / Auction / WI / STRIPS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Types:</w:t>
      </w:r>
      <w:r>
        <w:rPr>
          <w:rFonts w:ascii="Calibri" w:hAnsi="Calibri" w:eastAsia="Noto Sans CJK SC"/>
          <w:b w:val="0"/>
          <w:sz w:val="11"/>
        </w:rPr>
        <w:t xml:space="preserve"> T-bills(≤1yr, discount); T-notes(2–10yr); T-bonds(&gt;10yr); FRN(~2yr); TIPS(5/10/30, fixed real rate).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Primary:</w:t>
      </w:r>
      <w:r>
        <w:rPr>
          <w:rFonts w:ascii="Calibri" w:hAnsi="Calibri" w:eastAsia="Noto Sans CJK SC"/>
          <w:b w:val="0"/>
          <w:sz w:val="11"/>
        </w:rPr>
        <w:t xml:space="preserve"> competitive (yield+qty) vs noncompetitive (qty only). </w:t>
      </w:r>
      <w:r>
        <w:rPr>
          <w:rFonts w:ascii="Calibri" w:hAnsi="Calibri" w:eastAsia="Noto Sans CJK SC"/>
          <w:b/>
          <w:sz w:val="11"/>
        </w:rPr>
        <w:t>Single-price auction:</w:t>
      </w:r>
      <w:r>
        <w:rPr>
          <w:rFonts w:ascii="Calibri" w:hAnsi="Calibri" w:eastAsia="Noto Sans CJK SC"/>
          <w:b w:val="0"/>
          <w:sz w:val="11"/>
        </w:rPr>
        <w:t xml:space="preserve"> all pay stop-out (highest accepted yield). Reopening: extra issue of existing (lower cost, more liquidity). Bid-to-cover = public bids / awarded.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Secondary:</w:t>
      </w:r>
      <w:r>
        <w:rPr>
          <w:rFonts w:ascii="Calibri" w:hAnsi="Calibri" w:eastAsia="Noto Sans CJK SC"/>
          <w:b w:val="0"/>
          <w:sz w:val="11"/>
        </w:rPr>
        <w:t xml:space="preserve"> OTC dealers. On-the-run = most recent; Off-the-run = older. </w:t>
      </w:r>
      <w:r>
        <w:rPr>
          <w:rFonts w:ascii="Calibri" w:hAnsi="Calibri" w:eastAsia="Noto Sans CJK SC"/>
          <w:b/>
          <w:sz w:val="11"/>
        </w:rPr>
        <w:t>WI:</w:t>
      </w:r>
      <w:r>
        <w:rPr>
          <w:rFonts w:ascii="Calibri" w:hAnsi="Calibri" w:eastAsia="Noto Sans CJK SC"/>
          <w:b w:val="0"/>
          <w:sz w:val="11"/>
        </w:rPr>
        <w:t xml:space="preserve"> trade before issuance (price discovery / hedge).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STRIPS:</w:t>
      </w:r>
      <w:r>
        <w:rPr>
          <w:rFonts w:ascii="Calibri" w:hAnsi="Calibri" w:eastAsia="Noto Sans CJK SC"/>
          <w:b w:val="0"/>
          <w:sz w:val="11"/>
        </w:rPr>
        <w:t xml:space="preserve"> strip coupons+principal into zeros. Uses: duration/CF control; spot curve source; arb-free link coupon↔zeros.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GSE / Agency:</w:t>
      </w:r>
      <w:r>
        <w:rPr>
          <w:rFonts w:ascii="Calibri" w:hAnsi="Calibri" w:eastAsia="Noto Sans CJK SC"/>
          <w:b w:val="0"/>
          <w:sz w:val="11"/>
        </w:rPr>
        <w:t xml:space="preserve"> housing/农业/基建; GNMA vs Fannie/Freddie. China≈政策性银行债.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Breakeven inflation</w:t>
      </w:r>
      <w:r>
        <w:rPr>
          <w:rFonts w:ascii="Calibri" w:hAnsi="Calibri" w:eastAsia="Noto Sans CJK SC"/>
          <w:b w:val="0"/>
          <w:sz w:val="11"/>
        </w:rPr>
        <w:t xml:space="preserve"> ≈ y_nominal Treas − y_real TIPS ≈ E[inflation]. TIPS nominal ≈ real + actual inflation.</w:t>
      </w:r>
    </w:p>
    <w:p>
      <w:pPr>
        <w:spacing w:before="60" w:after="20" w:line="240" w:lineRule="auto"/>
        <w:shd w:val="clear" w:color="auto" w:fill="E8E8E8"/>
      </w:pPr>
      <w:r>
        <w:rPr>
          <w:rFonts w:ascii="Calibri" w:hAnsi="Calibri" w:eastAsia="Noto Sans CJK SC"/>
          <w:b/>
          <w:sz w:val="13"/>
        </w:rPr>
        <w:t>6. Corporate Debt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3 pillars:</w:t>
      </w:r>
      <w:r>
        <w:rPr>
          <w:rFonts w:ascii="Calibri" w:hAnsi="Calibri" w:eastAsia="Noto Sans CJK SC"/>
          <w:b w:val="0"/>
          <w:sz w:val="11"/>
        </w:rPr>
        <w:t xml:space="preserve"> Bank loans (private); Money-market debt (short); Capital-market debt (bonds/MTN).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Waterfall:</w:t>
      </w:r>
      <w:r>
        <w:rPr>
          <w:rFonts w:ascii="Calibri" w:hAnsi="Calibri" w:eastAsia="Noto Sans CJK SC"/>
          <w:b w:val="0"/>
          <w:sz w:val="11"/>
        </w:rPr>
        <w:t xml:space="preserve"> Secured ≻ Unsecured ≻ Subordinated ≻ Equity.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Credit vs Default:</w:t>
      </w:r>
      <w:r>
        <w:rPr>
          <w:rFonts w:ascii="Calibri" w:hAnsi="Calibri" w:eastAsia="Noto Sans CJK SC"/>
          <w:b w:val="0"/>
          <w:sz w:val="11"/>
        </w:rPr>
        <w:t xml:space="preserve"> credit = broader (rating, perception, conditions); default = miss payments. Crisis/rating cut ⇒ credit↑ but default not necessarily.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DLR = d(1−R)</w:t>
      </w:r>
      <w:r>
        <w:rPr>
          <w:rFonts w:ascii="Calibri" w:hAnsi="Calibri" w:eastAsia="Noto Sans CJK SC"/>
          <w:b w:val="0"/>
          <w:sz w:val="11"/>
        </w:rPr>
        <w:t xml:space="preserve"> where d=default rate, R=recovery. Spread≈compensate DLR (+liquidity/risk premia). IG vs HY: HY higher d &amp; DLR; still can outperform if spread &gt; expected DLR.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Term vs Serial</w:t>
      </w:r>
      <w:r>
        <w:rPr>
          <w:rFonts w:ascii="Calibri" w:hAnsi="Calibri" w:eastAsia="Noto Sans CJK SC"/>
          <w:b w:val="0"/>
          <w:sz w:val="11"/>
        </w:rPr>
        <w:t xml:space="preserve"> (chunks by maturity). Senior unsecured = promise, no collateral.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Traditional call</w:t>
      </w:r>
      <w:r>
        <w:rPr>
          <w:rFonts w:ascii="Calibri" w:hAnsi="Calibri" w:eastAsia="Noto Sans CJK SC"/>
          <w:b w:val="0"/>
          <w:sz w:val="11"/>
        </w:rPr>
        <w:t xml:space="preserve"> (par+premium, discount @ market r → issuer-friendly) vs </w:t>
      </w:r>
      <w:r>
        <w:rPr>
          <w:rFonts w:ascii="Calibri" w:hAnsi="Calibri" w:eastAsia="Noto Sans CJK SC"/>
          <w:b/>
          <w:sz w:val="11"/>
        </w:rPr>
        <w:t>Make-whole</w:t>
      </w:r>
      <w:r>
        <w:rPr>
          <w:rFonts w:ascii="Calibri" w:hAnsi="Calibri" w:eastAsia="Noto Sans CJK SC"/>
          <w:b w:val="0"/>
          <w:sz w:val="11"/>
        </w:rPr>
        <w:t xml:space="preserve"> (PV remaining @ Treas+spread → investor-friendlier).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Sinking fund</w:t>
      </w:r>
      <w:r>
        <w:rPr>
          <w:rFonts w:ascii="Calibri" w:hAnsi="Calibri" w:eastAsia="Noto Sans CJK SC"/>
          <w:b w:val="0"/>
          <w:sz w:val="11"/>
        </w:rPr>
        <w:t xml:space="preserve"> (retire portion/yr, often random) vs Serial (specified maturities).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PIK:</w:t>
      </w:r>
      <w:r>
        <w:rPr>
          <w:rFonts w:ascii="Calibri" w:hAnsi="Calibri" w:eastAsia="Noto Sans CJK SC"/>
          <w:b w:val="0"/>
          <w:sz w:val="11"/>
        </w:rPr>
        <w:t xml:space="preserve"> pay interest with more bonds (riskier). </w:t>
      </w:r>
      <w:r>
        <w:rPr>
          <w:rFonts w:ascii="Calibri" w:hAnsi="Calibri" w:eastAsia="Noto Sans CJK SC"/>
          <w:b/>
          <w:sz w:val="11"/>
        </w:rPr>
        <w:t>MTN:</w:t>
      </w:r>
      <w:r>
        <w:rPr>
          <w:rFonts w:ascii="Calibri" w:hAnsi="Calibri" w:eastAsia="Noto Sans CJK SC"/>
          <w:b w:val="0"/>
          <w:sz w:val="11"/>
        </w:rPr>
        <w:t xml:space="preserve"> “bond vending machine” — high setup, then fast/flexible issuance. Structured note = debt + derivative (customize; mkt/complexity/liq risk).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CP:</w:t>
      </w:r>
      <w:r>
        <w:rPr>
          <w:rFonts w:ascii="Calibri" w:hAnsi="Calibri" w:eastAsia="Noto Sans CJK SC"/>
          <w:b w:val="0"/>
          <w:sz w:val="11"/>
        </w:rPr>
        <w:t xml:space="preserve"> short-term unsecured, NOT a bond. Bank loans privately negotiated. Syndication: multi-bank one borrower. </w:t>
      </w:r>
      <w:r>
        <w:rPr>
          <w:rFonts w:ascii="Calibri" w:hAnsi="Calibri" w:eastAsia="Noto Sans CJK SC"/>
          <w:b/>
          <w:sz w:val="11"/>
        </w:rPr>
        <w:t>CLO:</w:t>
      </w:r>
      <w:r>
        <w:rPr>
          <w:rFonts w:ascii="Calibri" w:hAnsi="Calibri" w:eastAsia="Noto Sans CJK SC"/>
          <w:b w:val="0"/>
          <w:sz w:val="11"/>
        </w:rPr>
        <w:t xml:space="preserve"> pool loans → tranches; complexity+leverage = risky.</w:t>
      </w:r>
    </w:p>
    <w:p>
      <w:pPr>
        <w:spacing w:before="60" w:after="20" w:line="240" w:lineRule="auto"/>
        <w:shd w:val="clear" w:color="auto" w:fill="E8E8E8"/>
      </w:pPr>
      <w:r>
        <w:rPr>
          <w:rFonts w:ascii="Calibri" w:hAnsi="Calibri" w:eastAsia="Noto Sans CJK SC"/>
          <w:b/>
          <w:sz w:val="13"/>
        </w:rPr>
        <w:t>7. International Bonds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Why:</w:t>
      </w:r>
      <w:r>
        <w:rPr>
          <w:rFonts w:ascii="Calibri" w:hAnsi="Calibri" w:eastAsia="Noto Sans CJK SC"/>
          <w:b w:val="0"/>
          <w:sz w:val="11"/>
        </w:rPr>
        <w:t xml:space="preserve"> diversify, alpha sources, FX hedge decisions.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Internal</w:t>
      </w:r>
      <w:r>
        <w:rPr>
          <w:rFonts w:ascii="Calibri" w:hAnsi="Calibri" w:eastAsia="Noto Sans CJK SC"/>
          <w:b w:val="0"/>
          <w:sz w:val="11"/>
        </w:rPr>
        <w:t xml:space="preserve"> (issued&amp;traded in-country): Domestic; Foreign in local ccy (Yankee, Panda, Samurai…).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External:</w:t>
      </w:r>
      <w:r>
        <w:rPr>
          <w:rFonts w:ascii="Calibri" w:hAnsi="Calibri" w:eastAsia="Noto Sans CJK SC"/>
          <w:b w:val="0"/>
          <w:sz w:val="11"/>
        </w:rPr>
        <w:t xml:space="preserve"> Eurobond (outside issuer’s home; often bearer/euroccy); Global (multi-market simultaneous).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  <w:t>USD return ≈ local return + FX return; FX↓ hurts unhedged $ investor. Hedge tools: forwards/futures, FX swaps, options; natural hedge (match ccy liabilities).</w:t>
      </w:r>
    </w:p>
    <w:p>
      <w:pPr>
        <w:spacing w:before="60" w:after="20" w:line="240" w:lineRule="auto"/>
        <w:shd w:val="clear" w:color="auto" w:fill="E8E8E8"/>
      </w:pPr>
      <w:r>
        <w:rPr>
          <w:rFonts w:ascii="Calibri" w:hAnsi="Calibri" w:eastAsia="Noto Sans CJK SC"/>
          <w:b/>
          <w:sz w:val="13"/>
        </w:rPr>
        <w:t>8. Yield Curve / PCA / Policy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  <w:t>y ≈ market r but can deviate (noise, liquidity, tax).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Shapes:</w:t>
      </w:r>
      <w:r>
        <w:rPr>
          <w:rFonts w:ascii="Calibri" w:hAnsi="Calibri" w:eastAsia="Noto Sans CJK SC"/>
          <w:b w:val="0"/>
          <w:sz w:val="11"/>
        </w:rPr>
        <w:t xml:space="preserve"> Quasi-flat (stable/uncertain); Increasing (growth/inflation); Decreasing/inverted (recession signal — lock long yields expecting cuts); Humped (mixed / policy shift).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  <w:t>Economic outlook → anticipated CB policy → YC shape.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Theories (brief):</w:t>
      </w:r>
      <w:r>
        <w:rPr>
          <w:rFonts w:ascii="Calibri" w:hAnsi="Calibri" w:eastAsia="Noto Sans CJK SC"/>
          <w:b w:val="0"/>
          <w:sz w:val="11"/>
        </w:rPr>
        <w:t xml:space="preserve"> Expectations (long = avg expected shorts); Liquidity preference (y(T)=E[r̄]+LPP(T), LPP′&gt;0); Preferred habitat / segmentation (supply–demand by maturity).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Properties:</w:t>
      </w:r>
      <w:r>
        <w:rPr>
          <w:rFonts w:ascii="Calibri" w:hAnsi="Calibri" w:eastAsia="Noto Sans CJK SC"/>
          <w:b w:val="0"/>
          <w:sz w:val="11"/>
        </w:rPr>
        <w:t xml:space="preserve"> r≥0; mean reversion dr=a[b−r]dt+…; imperfect corr (↓ with maturity gap; short≈1-factor OK); short more volatile than long.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PCA (~95%+):</w:t>
      </w:r>
      <w:r>
        <w:rPr>
          <w:rFonts w:ascii="Calibri" w:hAnsi="Calibri" w:eastAsia="Noto Sans CJK SC"/>
          <w:b w:val="0"/>
          <w:sz w:val="11"/>
        </w:rPr>
        <w:t xml:space="preserve"> Δy ≈ β1 Level + β2 Slope + β3 Curvature. Level≈parallel; Slope=twist; Curvature=butterfly. Y=X_std V_k.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PCA steps:</w:t>
      </w:r>
      <w:r>
        <w:rPr>
          <w:rFonts w:ascii="Calibri" w:hAnsi="Calibri" w:eastAsia="Noto Sans CJK SC"/>
          <w:b w:val="0"/>
          <w:sz w:val="11"/>
        </w:rPr>
        <w:t xml:space="preserve"> standardize → Cov Σ → eigen Σv=λv → sort → V_k → project.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Policy tools:</w:t>
      </w:r>
      <w:r>
        <w:rPr>
          <w:rFonts w:ascii="Calibri" w:hAnsi="Calibri" w:eastAsia="Noto Sans CJK SC"/>
          <w:b w:val="0"/>
          <w:sz w:val="11"/>
        </w:rPr>
        <w:t xml:space="preserve"> QE (buy long bonds → y_long↓ + liquidity); YCC (pin a tenor); Forward guidance (expectations); IOR (short rates).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  <w:t>YC indicates: health/stress, expectations, risk premia, policy transmission, segmentation (banks short vs pensions long → humps).</w:t>
      </w:r>
    </w:p>
    <w:p>
      <w:pPr>
        <w:spacing w:before="60" w:after="20" w:line="240" w:lineRule="auto"/>
        <w:shd w:val="clear" w:color="auto" w:fill="E8E8E8"/>
      </w:pPr>
      <w:r>
        <w:rPr>
          <w:rFonts w:ascii="Calibri" w:hAnsi="Calibri" w:eastAsia="Noto Sans CJK SC"/>
          <w:b/>
          <w:sz w:val="13"/>
        </w:rPr>
        <w:t>9. Zero Curve: Bootstrap / Interp / Spline / NS / Par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DF:</w:t>
      </w:r>
      <w:r>
        <w:rPr>
          <w:rFonts w:ascii="Calibri" w:hAnsi="Calibri" w:eastAsia="Noto Sans CJK SC"/>
          <w:b w:val="0"/>
          <w:sz w:val="11"/>
        </w:rPr>
        <w:t xml:space="preserve"> for zeros DF(t)=P(t)/F. Spot (annual): z(t)=DF(t)^(−1/t)−1. Coupon P=Σ c·DF(t_i)+F·DF(T).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Linear system:</w:t>
      </w:r>
      <w:r>
        <w:rPr>
          <w:rFonts w:ascii="Calibri" w:hAnsi="Calibri" w:eastAsia="Noto Sans CJK SC"/>
          <w:b w:val="0"/>
          <w:sz w:val="11"/>
        </w:rPr>
        <w:t xml:space="preserve"> P=F·B ⇒ B=F^(−1)P (needs aligned coupon dates).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Bootstrap:</w:t>
      </w:r>
      <w:r>
        <w:rPr>
          <w:rFonts w:ascii="Calibri" w:hAnsi="Calibri" w:eastAsia="Noto Sans CJK SC"/>
          <w:b w:val="0"/>
          <w:sz w:val="11"/>
        </w:rPr>
        <w:t xml:space="preserve"> use known short zeros/DFs; strip known coupons; solve next DF; roll forward.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Interpolation:</w:t>
      </w:r>
      <w:r>
        <w:rPr>
          <w:rFonts w:ascii="Calibri" w:hAnsi="Calibri" w:eastAsia="Noto Sans CJK SC"/>
          <w:b w:val="0"/>
          <w:sz w:val="11"/>
        </w:rPr>
        <w:t xml:space="preserve"> linear / cubic spline on DF or spots to fill gaps. </w:t>
      </w:r>
      <w:r>
        <w:rPr>
          <w:rFonts w:ascii="Calibri" w:hAnsi="Calibri" w:eastAsia="Noto Sans CJK SC"/>
          <w:b/>
          <w:sz w:val="11"/>
        </w:rPr>
        <w:t>Limit:</w:t>
      </w:r>
      <w:r>
        <w:rPr>
          <w:rFonts w:ascii="Calibri" w:hAnsi="Calibri" w:eastAsia="Noto Sans CJK SC"/>
          <w:b w:val="0"/>
          <w:sz w:val="11"/>
        </w:rPr>
        <w:t xml:space="preserve"> linear spot interp assumes z″=0 → miss curvature → coupon-bond mispricing (bootstrap z can differ by tens of bp).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Indirect fit:</w:t>
      </w:r>
      <w:r>
        <w:rPr>
          <w:rFonts w:ascii="Calibri" w:hAnsi="Calibri" w:eastAsia="Noto Sans CJK SC"/>
          <w:b w:val="0"/>
          <w:sz w:val="11"/>
        </w:rPr>
        <w:t xml:space="preserve"> β=arg min Σ w_j(P_j−P̂_j)^2 — smooth &amp; robust, but model misspecification risk.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Spline on DF:</w:t>
      </w:r>
      <w:r>
        <w:rPr>
          <w:rFonts w:ascii="Calibri" w:hAnsi="Calibri" w:eastAsia="Noto Sans CJK SC"/>
          <w:b w:val="0"/>
          <w:sz w:val="11"/>
        </w:rPr>
        <w:t xml:space="preserve"> piece cubic B(0,t); constraints at knots (value, B′, B″ continuous) + B(0,0)=1. Internalized: B(s)=1+c0 s+b0 s^2+a0 s^3+(a1−a0)(s−1)_+^3+… (fewer free params). Segments: fit error + complexity penalty.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Nelson–Siegel:</w:t>
      </w:r>
      <w:r>
        <w:rPr>
          <w:rFonts w:ascii="Calibri" w:hAnsi="Calibri" w:eastAsia="Noto Sans CJK SC"/>
          <w:b w:val="0"/>
          <w:sz w:val="11"/>
        </w:rPr>
        <w:t xml:space="preserve"> R(t,T)=β0+β1[(1−e^(−λτ))/(λτ)]+β2[(1−e^(−λτ))/(λτ)−e^(−λτ)], τ=T−t. β0=level (long), β1=slope, β2=curvature, λ=hump location. Fit min Σ(R_mkt−R_model)^2; λ nonlinear ⇒ BFGS (or fix λ→OLS). Pros: 4 params, interpretable, smooth. Cons: complex shapes; λ hard; static fit ≠ forecast.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Spline vs NS:</w:t>
      </w:r>
      <w:r>
        <w:rPr>
          <w:rFonts w:ascii="Calibri" w:hAnsi="Calibri" w:eastAsia="Noto Sans CJK SC"/>
          <w:b w:val="0"/>
          <w:sz w:val="11"/>
        </w:rPr>
        <w:t xml:space="preserve"> spline accurate but can overfit; NS clearer hedge/meaning but may misprice long end.</w:t>
      </w:r>
    </w:p>
    <w:p>
      <w:pPr>
        <w:spacing w:before="0" w:after="20" w:line="252" w:lineRule="auto"/>
      </w:pPr>
      <w:r>
        <w:rPr>
          <w:rFonts w:ascii="Calibri" w:hAnsi="Calibri" w:eastAsia="Noto Sans CJK SC"/>
          <w:b w:val="0"/>
          <w:sz w:val="11"/>
        </w:rPr>
      </w:r>
      <w:r>
        <w:rPr>
          <w:rFonts w:ascii="Calibri" w:hAnsi="Calibri" w:eastAsia="Noto Sans CJK SC"/>
          <w:b/>
          <w:sz w:val="11"/>
        </w:rPr>
        <w:t>Par yield:</w:t>
      </w:r>
      <w:r>
        <w:rPr>
          <w:rFonts w:ascii="Calibri" w:hAnsi="Calibri" w:eastAsia="Noto Sans CJK SC"/>
          <w:b w:val="0"/>
          <w:sz w:val="11"/>
        </w:rPr>
        <w:t xml:space="preserve"> coupon rate that makes price = par (face).</w:t>
      </w:r>
    </w:p>
    <w:sectPr w:rsidR="00FC693F" w:rsidRPr="0006063C" w:rsidSect="00034616">
      <w:pgSz w:w="11906" w:h="16838"/>
      <w:pgMar w:top="340" w:right="340" w:bottom="340" w:left="340" w:header="720" w:footer="720" w:gutter="0"/>
      <w:docGrid w:linePitch="360"/>
      <w:cols w:num="3" w:space="85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