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5.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(graded or cut lattices) are too large to resolve at every design change, yet lose the scale separation homogenisation needs: for a layer clamped at its cut, a homogenised model underestimates compliance by 27%. Exact condensation factorises every geometry's interior; learned substructures keep few or fixed boundary degrees of freedom, and component reduced-basis methods a shared discrete space. Here a learned model acts on all box-face and cut-band degrees of freedom, tens of thousands per cell, of components whose discrete space changes with geometry, yet keeps static condensation's structure. A geometry-conditioned network, exactly linear in the retained displacement and admissible by construction, computes the interior extension for every retained set, forming neither extension nor condensed matrix.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which the error reaches through the stiffness derivative. For cut Schwarz-P cells, the method reaches, relative to a stabilised cut finite element model, a mean energy error of 0.074% and assembled compliance and sensitivity errors below 0.28% and 1.5%; eight-cell lattice analysis with sensitivities is about ten times faster than direct solution. Thickness optimisation of an eight-cell lattice reproduces the exact-condensation design; on the clamped 24-cell layer, the NICE design has 2.4% lower exact compliance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through its cut band, the homogenised model examined there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through its cut band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central idea is a division of tasks within static condensation. The approximation is placed in the interior extension; the extension is a network that is exactly linear in the retained displacement and admissible by construction, so that its energy defines a Ritz approximation of the condensed stiffness; a fixed equilibrium correction inside that energy removes much of the error the network leaves; and the error that remains is followed through the energy share and the stiffness derivative to the compliance and the design sensitivity. Each part rests on established ground.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w:t>
      </w:r>
    </w:p>
    <w:p>
      <w:pPr>
        <w:pStyle w:val="BodyText"/>
      </w:pPr>
      <w:r>
        <w:t xml:space="preserve">Learning supplies the trial field, and three obstacles shape how. An extension matrix formed for every geometry would cost one interior solve per retained degree of freedom. A network with one output per retained degree of freedom, as for learned shape functions, computes such a matrix column by column, with an output dimension fixed by the retained set it was built for. And a solution map that is nonlinear in its input, as most neural operators learn, gives up superposition and with it the quadratic condensed energy on which the structure rests.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w:t>
      </w:r>
    </w:p>
    <w:p>
      <w:pPr>
        <w:pStyle w:val="BodyText"/>
      </w:pPr>
      <w:r>
        <w:t xml:space="preserve">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or nonnegatively shifted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5.4 to 265 times the error of NICE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 In the language of multigrid, the corrected extension</w:t>
      </w:r>
      <w:r>
        <w:t xml:space="preserve"> </w:t>
      </w:r>
      <m:oMath>
        <m:r>
          <m:t>F</m:t>
        </m:r>
      </m:oMath>
      <w:r>
        <w:t xml:space="preserve"> </w:t>
      </w:r>
      <w:r>
        <w:t xml:space="preserve">is a geometry-conditioned prolongation from the retained to the active DOFs and</w:t>
      </w:r>
      <w:r>
        <w:t xml:space="preserve"> </w:t>
      </w:r>
      <m:oMath>
        <m:acc>
          <m:accPr>
            <m:chr m:val="̂"/>
          </m:accPr>
          <m:e>
            <m:r>
              <m:t>S</m:t>
            </m:r>
          </m:e>
        </m:acc>
        <m:r>
          <m:rPr>
            <m:sty m:val="p"/>
          </m:rPr>
          <m:t>=</m:t>
        </m:r>
        <m:sSup>
          <m:e>
            <m:r>
              <m:t>F</m:t>
            </m:r>
          </m:e>
          <m:sup>
            <m:r>
              <m:t>T</m:t>
            </m:r>
          </m:sup>
        </m:sSup>
        <m:r>
          <m:t>K</m:t>
        </m:r>
        <m:r>
          <m:t>F</m:t>
        </m:r>
      </m:oMath>
      <w:r>
        <w:t xml:space="preserve"> </w:t>
      </w:r>
      <w:r>
        <w:t xml:space="preserve">its Galerkin operator, as for learned prolongations, which are likewise nonlinear in the operator and linear in the vector they act on</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Here the prolongation is a component model rather than part of a solver: it serves retained sets that change with the cut, and its Galerkin operator is assembled into the lattice and differentiated in design.</w:t>
      </w:r>
    </w:p>
    <w:p>
      <w:pPr>
        <w:pStyle w:val="BodyText"/>
      </w:pPr>
      <w:r>
        <w:t xml:space="preserve">The contributions of this work are fourfold and follow this division.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The network architecture: a geometry-conditioned extension that is exactly linear in the retained displacement and nonlinear only in the geometry, whose weights act on stencil slots, channels and grid levels rather than on individual degrees of freedom, and in which the retained values and rigid-body motion are imposed by construction. The relations of Section 3 therefore apply to the learned extension itself, and its transpose returns the work-conjugate force, so that the assembled operator is symmetric and the sensitivities are evaluated on the solution of this variational system.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a dense condensed matrix of a cell of median retained size (23,604 DOFs) would take 4.2 GiB in double precision (Sections 4.2 and 4.6, Table 1).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 4.3, 4.4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bounds only at the order of its square root and with constants that vary between cells and directions (Eq. (H.4)). Compliance accuracy is therefore not a sufficient check, and the local sensitivity must be verified on its own.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2 (Section 5.1) lists the settings of the examples, and Appendix A gives the integration and assembly details.</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DOFs of the box-face nodes of every positive-area material patch on the faces of the cell box and all displacement DOFs of active elements carrying a positive-area cut-surface patch (Appendix A.1).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and the supported</w:t>
      </w:r>
      <w:r>
        <w:t xml:space="preserve"> </w:t>
      </w:r>
      <m:oMath>
        <m:acc>
          <m:accPr>
            <m:chr m:val="̂"/>
          </m:accPr>
          <m:e>
            <m:r>
              <m:rPr>
                <m:scr m:val="double-struck"/>
                <m:sty m:val="p"/>
              </m:rPr>
              <m:t>K</m:t>
            </m:r>
          </m:e>
        </m:acc>
      </m:oMath>
      <w:r>
        <w:t xml:space="preserve"> </w:t>
      </w:r>
      <w:r>
        <w:t xml:space="preserve">of Eq. (3) must be positive definite, which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and the sensitivity relations (9)–(10) with their bounds (Appendices H.1 and H.2) are derived here for approximate extensions; Appendix B.3 rearranges the energy error as</w:t>
      </w:r>
      <w:r>
        <w:t xml:space="preserve"> </w:t>
      </w:r>
      <m:oMath>
        <m:r>
          <m:t>ε</m:t>
        </m:r>
        <m:r>
          <m:rPr>
            <m:sty m:val="p"/>
          </m:rPr>
          <m:t>=</m:t>
        </m:r>
        <m:sSup>
          <m:e>
            <m:r>
              <m:t>δ</m:t>
            </m:r>
          </m:e>
          <m:sup>
            <m:r>
              <m:t>2</m:t>
            </m:r>
          </m:sup>
        </m:sSup>
        <m:r>
          <m:t>κ</m:t>
        </m:r>
      </m:oMath>
      <w:r>
        <w:t xml:space="preserve"> </w:t>
      </w:r>
      <w:r>
        <w:t xml:space="preserve">(applied in Section 5.4).</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4.4); and, since the energy error bounds the sensitivity error of Eq. (9) only at the order</w:t>
      </w:r>
      <w:r>
        <w:t xml:space="preserve"> </w:t>
      </w:r>
      <m:oMath>
        <m:rad>
          <m:radPr>
            <m:degHide m:val="on"/>
          </m:radPr>
          <m:deg/>
          <m:e>
            <m:r>
              <m:t>ε</m:t>
            </m:r>
          </m:e>
        </m:rad>
      </m:oMath>
      <w:r>
        <w:t xml:space="preserve">, with constants that vary between cells and directions (Eq. (H.4)),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divides the task of condensation. The energy form, applied with the transpose of the complete extension, supplies the mechanical structure for any admissible extension (Section 4.1). A geometry-conditioned network, exactly linear in the retained displacement and admissible by construction, supplies the trial interior field (Section 4.2). A fixed correction</w:t>
      </w:r>
      <w:r>
        <w:t xml:space="preserve"> </w:t>
      </w:r>
      <m:oMath>
        <m:r>
          <m:rPr>
            <m:scr m:val="script"/>
            <m:sty m:val="p"/>
          </m:rPr>
          <m:t>W</m:t>
        </m:r>
      </m:oMath>
      <w:r>
        <w:t xml:space="preserve"> </w:t>
      </w:r>
      <w:r>
        <w:t xml:space="preserve">inside the same energy reduces the interior imbalance that the network leaves (Sections 4.3 and 4.4), and the network is trained through that correction (Section 4.5). Figure 2 shows how the parts define both the condensed action and the displacement recovered after assembly.</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or nonnegatively shifted coarse solve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4.2 constructs it with a geometry-conditioned network (Eq. (14)).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4.3 and 4.4)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4.3 and 4.4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Its approximation provides both a displacement field and, through its energy, the condensed operator on the complete retained space (Section 4.1), and the properties of this map, together with those of the cut cells, set the requirements on the architecture (Table 1). For every geometry the map is linear in</w:t>
      </w:r>
      <w:r>
        <w:t xml:space="preserve"> </w:t>
      </w:r>
      <m:oMath>
        <m:r>
          <m:t>q</m:t>
        </m:r>
      </m:oMath>
      <w:r>
        <w:t xml:space="preserve">. The relations of Section 3 apply to an approximation that is linear in</w:t>
      </w:r>
      <w:r>
        <w:t xml:space="preserve"> </w:t>
      </w:r>
      <m:oMath>
        <m:r>
          <m:t>q</m:t>
        </m:r>
      </m:oMath>
      <w:r>
        <w:t xml:space="preserve"> </w:t>
      </w:r>
      <w:r>
        <w:t xml:space="preserve">and restores the retained values, and the rigid-body kernel of Section 4.1 requires in addition that it reproduce rigid-body motion. The retained set has 2,679 to 45,900 DOFs and changes with the cut, so an extension matrix formed for every geometry costs one interior solve per retained DOF, and a network with one output per retained DOF would have to change its output dimension with the cut. The map is nonlocal, as is the solution operator of any elliptic problem, whereas the geometry that determines it varies within each background element: wall surfaces and the cut plane intersect the elements and in places leave nodes with little material support. Finally, the force of Eq. (12) requires the transpose of the complete extension.</w:t>
      </w:r>
    </w:p>
    <w:p>
      <w:pPr>
        <w:pStyle w:val="BodyText"/>
      </w:pPr>
      <w:r>
        <w:rPr>
          <w:b/>
          <w:bCs/>
        </w:rPr>
        <w:t xml:space="preserve">Table 1. Requirements on the learned extension and the architectural elements that meet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Reason</w:t>
            </w:r>
          </w:p>
        </w:tc>
        <w:tc>
          <w:tcPr/>
          <w:p>
            <w:pPr>
              <w:pStyle w:val="Compact"/>
            </w:pPr>
            <w:r>
              <w:t xml:space="preserve">Architectural element</w:t>
            </w:r>
          </w:p>
        </w:tc>
      </w:tr>
      <w:tr>
        <w:tc>
          <w:tcPr/>
          <w:p>
            <w:pPr>
              <w:pStyle w:val="Compact"/>
            </w:pPr>
            <w:r>
              <w:t xml:space="preserve">Linear in</w:t>
            </w:r>
            <w:r>
              <w:t xml:space="preserve"> </w:t>
            </w:r>
            <m:oMath>
              <m:r>
                <m:t>q</m:t>
              </m:r>
            </m:oMath>
            <w:r>
              <w:t xml:space="preserve"> </w:t>
            </w:r>
            <w:r>
              <w:t xml:space="preserve">at fixed geometry</w:t>
            </w:r>
          </w:p>
        </w:tc>
        <w:tc>
          <w:tcPr/>
          <w:p>
            <w:pPr>
              <w:pStyle w:val="Compact"/>
            </w:pPr>
            <w:r>
              <w:t xml:space="preserve">Quadratic condensed energy; Ritz approximation and error relations (Sections 3 and 4.1)</w:t>
            </w:r>
          </w:p>
        </w:tc>
        <w:tc>
          <w:tcPr/>
          <w:p>
            <w:pPr>
              <w:pStyle w:val="Compact"/>
            </w:pPr>
            <w:r>
              <w:t xml:space="preserve">Nonlinearity confined to the geometry branch; every operation on displacement features linear</w:t>
            </w:r>
          </w:p>
        </w:tc>
      </w:tr>
      <w:tr>
        <w:tc>
          <w:tcPr/>
          <w:p>
            <w:pPr>
              <w:pStyle w:val="Compact"/>
            </w:pPr>
            <w:r>
              <w:t xml:space="preserve">Retained values and rigid-body motion reproduced</w:t>
            </w:r>
          </w:p>
        </w:tc>
        <w:tc>
          <w:tcPr/>
          <w:p>
            <w:pPr>
              <w:pStyle w:val="Compact"/>
            </w:pPr>
            <w:r>
              <w:t xml:space="preserve">Admissibility assumed in Section 3; rigid-body kernel of</w:t>
            </w:r>
            <w:r>
              <w:t xml:space="preserve"> </w:t>
            </w:r>
            <m:oMath>
              <m:acc>
                <m:accPr>
                  <m:chr m:val="̂"/>
                </m:accPr>
                <m:e>
                  <m:r>
                    <m:t>S</m:t>
                  </m:r>
                </m:e>
              </m:acc>
            </m:oMath>
            <w:r>
              <w:t xml:space="preserve"> </w:t>
            </w:r>
            <w:r>
              <w:t xml:space="preserve">(Section 4.1)</w:t>
            </w:r>
          </w:p>
        </w:tc>
        <w:tc>
          <w:tcPr/>
          <w:p>
            <w:pPr>
              <w:pStyle w:val="Compact"/>
            </w:pPr>
            <w:r>
              <w:t xml:space="preserve">Rigid motion separated before learning and reconstructed, retained values overwritten at the output (Eq. (14)); retained features also reset after every interaction (Eq. (13))</w:t>
            </w:r>
          </w:p>
        </w:tc>
      </w:tr>
      <w:tr>
        <w:tc>
          <w:tcPr/>
          <w:p>
            <w:pPr>
              <w:pStyle w:val="Compact"/>
            </w:pPr>
            <w:r>
              <w:t xml:space="preserve">One network for the retained sets of the trained domain, which vary in size and pattern</w:t>
            </w:r>
          </w:p>
        </w:tc>
        <w:tc>
          <w:tcPr/>
          <w:p>
            <w:pPr>
              <w:pStyle w:val="Compact"/>
            </w:pPr>
            <w:r>
              <w:t xml:space="preserve">The retained set changes with the cut (2,679–45,900 DOFs)</w:t>
            </w:r>
          </w:p>
        </w:tc>
        <w:tc>
          <w:tcPr/>
          <w:p>
            <w:pPr>
              <w:pStyle w:val="Compact"/>
            </w:pPr>
            <w:r>
              <w:t xml:space="preserve">Weights on stencil slots, channels and grid levels; coefficients generated per stencil from the geometry</w:t>
            </w:r>
          </w:p>
        </w:tc>
      </w:tr>
      <w:tr>
        <w:tc>
          <w:tcPr/>
          <w:p>
            <w:pPr>
              <w:pStyle w:val="Compact"/>
            </w:pPr>
            <w:r>
              <w:t xml:space="preserve">Material distribution within background elements resolved</w:t>
            </w:r>
          </w:p>
        </w:tc>
        <w:tc>
          <w:tcPr/>
          <w:p>
            <w:pPr>
              <w:pStyle w:val="Compact"/>
            </w:pPr>
            <w:r>
              <w:t xml:space="preserve">Wall surfaces and the cut plane intersect the elements</w:t>
            </w:r>
          </w:p>
        </w:tc>
        <w:tc>
          <w:tcPr/>
          <w:p>
            <w:pPr>
              <w:pStyle w:val="Compact"/>
            </w:pPr>
            <w:r>
              <w:t xml:space="preserve">Element moments as geometry input; element and ghost-face stencils</w:t>
            </w:r>
          </w:p>
        </w:tc>
      </w:tr>
      <w:tr>
        <w:tc>
          <w:tcPr/>
          <w:p>
            <w:pPr>
              <w:pStyle w:val="Compact"/>
            </w:pPr>
            <w:r>
              <w:t xml:space="preserve">Long-range coupling represented</w:t>
            </w:r>
          </w:p>
        </w:tc>
        <w:tc>
          <w:tcPr/>
          <w:p>
            <w:pPr>
              <w:pStyle w:val="Compact"/>
            </w:pPr>
            <w:r>
              <w:t xml:space="preserve">The interior equilibrium map is nonlocal</w:t>
            </w:r>
          </w:p>
        </w:tc>
        <w:tc>
          <w:tcPr/>
          <w:p>
            <w:pPr>
              <w:pStyle w:val="Compact"/>
            </w:pPr>
            <w:r>
              <w:t xml:space="preserve">U-shaped latent hierarchy on grids of 65, 33, 17 and 9 positions per axis</w:t>
            </w:r>
          </w:p>
        </w:tc>
      </w:tr>
      <w:tr>
        <w:tc>
          <w:tcPr/>
          <w:p>
            <w:pPr>
              <w:pStyle w:val="Compact"/>
            </w:pPr>
            <w:r>
              <w:t xml:space="preserve">Nodes with little material support resolved</w:t>
            </w:r>
          </w:p>
        </w:tc>
        <w:tc>
          <w:tcPr/>
          <w:p>
            <w:pPr>
              <w:pStyle w:val="Compact"/>
            </w:pPr>
            <w:r>
              <w:t xml:space="preserve">Few, small stiffness entries couple them to the rest of the cell</w:t>
            </w:r>
          </w:p>
        </w:tc>
        <w:tc>
          <w:tcPr/>
          <w:p>
            <w:pPr>
              <w:pStyle w:val="Compact"/>
            </w:pPr>
            <w:r>
              <w:t xml:space="preserve">Additional local interactions on stencils containing weakly supported nodes</w:t>
            </w:r>
          </w:p>
        </w:tc>
      </w:tr>
      <w:tr>
        <w:tc>
          <w:tcPr/>
          <w:p>
            <w:pPr>
              <w:pStyle w:val="Compact"/>
            </w:pPr>
            <w:r>
              <w:t xml:space="preserve">Transpose of the extension available</w:t>
            </w:r>
          </w:p>
        </w:tc>
        <w:tc>
          <w:tcPr/>
          <w:p>
            <w:pPr>
              <w:pStyle w:val="Compact"/>
            </w:pPr>
            <w:r>
              <w:t xml:space="preserve">Work-conjugate force (Eq. (12))</w:t>
            </w:r>
          </w:p>
        </w:tc>
        <w:tc>
          <w:tcPr/>
          <w:p>
            <w:pPr>
              <w:pStyle w:val="Compact"/>
            </w:pPr>
            <w:r>
              <w:t xml:space="preserve">Linear displacement path transposed operation by operation (Appendix G.1, Eq. (E.1))</w:t>
            </w:r>
          </w:p>
        </w:tc>
      </w:tr>
    </w:tbl>
    <w:p>
      <w:pPr>
        <w:pStyle w:val="BodyText"/>
      </w:pPr>
      <w:r>
        <w:t xml:space="preserve">Rows 1, 2 and 7 hold by construction and are verified numerically in Section 5.2; rows 3–6 are design choices and were not ablated individually.</w:t>
      </w:r>
    </w:p>
    <w:p>
      <w:pPr>
        <w:pStyle w:val="BodyText"/>
      </w:pPr>
      <w:r>
        <w:t xml:space="preserve">These requirements split the network into two branches. A nonlinear geometry branch computes, once per geometry, the coefficients of a linear operator, and the displacement branch is that operator (Figure 3). Its data flow resembles that of an iterative solver for the interior problem with the retained displacement as Dirichlet data: each local interaction, Eq. (13), updates the interior features from their stencil neighbours with geometry-dependent coefficients while the retained features are reset to their lifted prescribed values, and the latent hierarchy carries information between distant parts of the cell, as coarse levels do in multigrid. Unlike a solver, the branch never applies the stiffness matrix or forms a residual, and the equilibrium field is not a fixed point of its layers; it is a fixed sequence of learned linear maps. The correction of Sections 4.3 and 4.4, in contrast, acts on the residual of the same interior problem with prescribed coefficients, and the network, trained through it (Section 4.5), is trained to supply the part of the interior field that a fixed number of these steps does not recover.</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node masks</w:t>
      </w:r>
      <w:r>
        <w:t xml:space="preserve"> </w:t>
      </w:r>
      <m:oMath>
        <m:sSub>
          <m:e>
            <m:r>
              <m:rPr>
                <m:scr m:val="sans-serif"/>
                <m:sty m:val="p"/>
              </m:rPr>
              <m:t>M</m:t>
            </m:r>
          </m:e>
          <m:sub>
            <m:r>
              <m:t>I</m:t>
            </m:r>
          </m:sub>
        </m:sSub>
        <m:r>
          <m:rPr>
            <m:sty m:val="p"/>
          </m:rPr>
          <m:t>,</m:t>
        </m:r>
        <m:sSub>
          <m:e>
            <m:r>
              <m:rPr>
                <m:scr m:val="sans-serif"/>
                <m:sty m:val="p"/>
              </m:rP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the first being the</w:t>
      </w:r>
      <w:r>
        <w:t xml:space="preserve"> </w:t>
      </w:r>
      <m:oMath>
        <m:sSub>
          <m:e>
            <m:r>
              <m:t>Q</m:t>
            </m:r>
          </m:e>
          <m:sub>
            <m:r>
              <m:t>2</m:t>
            </m:r>
          </m:sub>
        </m:sSub>
      </m:oMath>
      <w:r>
        <w:t xml:space="preserve"> </w:t>
      </w:r>
      <w:r>
        <w:t xml:space="preserve">node grid of the cell, supplies the long-range coupling; pairs of local interactions before and after it, and further pairs on stencils containing weakly supported nodes, complete the branch, and a linear map reconstructs nodal displacement (Figure 3b,c). The weights act on stencil slots,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For a given channel width and stencil size, one application costs work proportional to the number of element and ghost-face stencils and to the size of the fixed latent grids, independently of how many of the nodes are retained, and treats a batch of displacement directions at once.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from the final overwrite of the retained values, and rigid reproduction, from the rigid-body split,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(12) is the composition of the transposed operations in reverse order (Appendix G.1, Eq. (E.1)), so that, in exact arithmetic, the returned force is the derivative of the energy of the learned extension.</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r>
        <w:t xml:space="preserve"> </w:t>
      </w:r>
      <m:oMath>
        <m:r>
          <m:rPr>
            <m:scr m:val="script"/>
            <m:sty m:val="p"/>
          </m:rPr>
          <m:t>R</m:t>
        </m:r>
      </m:oMath>
      <w:r>
        <w:t xml:space="preserve"> </w:t>
      </w:r>
      <w:r>
        <w:t xml:space="preserve">and</w:t>
      </w:r>
      <w:r>
        <w:t xml:space="preserve"> </w:t>
      </w:r>
      <m:oMath>
        <m:r>
          <m:rPr>
            <m:scr m:val="script"/>
            <m:sty m:val="p"/>
          </m:rPr>
          <m:t>I</m:t>
        </m:r>
      </m:oMath>
      <w:r>
        <w:t xml:space="preserve"> </w:t>
      </w:r>
      <w:r>
        <w:t xml:space="preserve">in (c) denote restriction and prolongation.</w:t>
      </w:r>
    </w:p>
    <w:p>
      <w:pPr>
        <w:pStyle w:val="Heading3"/>
      </w:pPr>
      <w:r>
        <w:t xml:space="preserve">4.3.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8">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the smoothing of a tentative prolongation in smoothed aggregation</w:t>
      </w:r>
      <w:r>
        <w:t xml:space="preserve"> </w:t>
      </w:r>
      <w:hyperlink r:id="rId28">
        <w:r>
          <w:rPr>
            <w:rStyle w:val="Hyperlink"/>
          </w:rPr>
          <w:t xml:space="preserve">Vaněk et al. (1996)</w:t>
        </w:r>
      </w:hyperlink>
      <w:r>
        <w:t xml:space="preserve"> </w:t>
      </w:r>
      <w:r>
        <w:t xml:space="preserve">and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(15)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4.4.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 (Appendix F.1 treats a basis without it),</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t xml:space="preserve">If the coarse solve is exact, or uses the nonnegatively shifted inverse of Appendix F.1 (Eq. (D.6)),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towards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3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4.4 (written 8 /</w:t>
      </w:r>
      <w:r>
        <w:t xml:space="preserve"> </w:t>
      </w:r>
      <m:oMath>
        <m:sSub>
          <m:e>
            <m:r>
              <m:t>Q</m:t>
            </m:r>
          </m:e>
          <m:sub>
            <m:r>
              <m:t>1</m:t>
            </m:r>
          </m:sub>
        </m:sSub>
        <m:r>
          <m:rPr>
            <m:sty m:val="p"/>
          </m:rPr>
          <m:t>(</m:t>
        </m:r>
        <m:r>
          <m:t>17</m:t>
        </m:r>
        <m:r>
          <m:rPr>
            <m:sty m:val="p"/>
          </m:rPr>
          <m:t>)</m:t>
        </m:r>
      </m:oMath>
      <w:r>
        <w:t xml:space="preserve"> </w:t>
      </w:r>
      <w:r>
        <w:t xml:space="preserve">/ 8; Table 2).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 23,604 DOFs, would take 4.2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and so test the parts of the division stated in Section 1 in turn. Sections 5.1 and 5.2 define the geometries, variants and loads and verify the discrete reference and the deployed operator. Sections 5.3–5.5 examine the operator of a single cell and what the network and the correction each contribute: its dependence on geometry and loading, the components of its error, and what the correction removes at fixed network parameters. Sections 5.6 and 5.7 follow the error to the assembled response and test the error chain of Section 3 and the role of the complete retained space: compliance and local sensitivity in two-cell configurations, energy share, and an ablation of the retained representation. Sections 5.8 and 5.9 assemble lattices in which every cell is learned and compare their cost with whole-lattice direct and iterative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2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2.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DOFs of the box-face nodes of positive-area material patches on the box faces;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4.3)</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Section 5.9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3).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4.3 and 4.4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3.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pool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at most 153 of the 591 in their 15,000 steps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checkpoint selection. The target cells of the two-cell assemblies of Section 5.6 belong to these 20 selection geometries; nine further cells outside checkpoint selection are assembled there as an additional check. The principal variant was designated after all variants had been compared on the 80 validation geometries and the two-cell configurations (Table ST01); the sixteen cells of the lattices of Section 5.8 entered no selection step.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2,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4.3 is guaranteed by</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checkpoint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3;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2);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4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4 and U1); only in H2 does it reach that result. The learned field thus supplies the part of the interior equilibrium that smoothing and the coarse space do not reach even with eight times the smoothing 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5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3; 'Base network, corrected' is the base network with the correction applied at deployment, without retraining.</w:t>
      </w:r>
    </w:p>
    <w:p>
      <w:pPr>
        <w:pStyle w:val="BodyText"/>
      </w:pPr>
      <w:r>
        <w:rPr>
          <w:b/>
          <w:bCs/>
        </w:rPr>
        <w:t xml:space="preserve">Table 5.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5)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3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6 compares three routes. The exact routes solve six loads but do not evaluate sensitivities, which would add to their time; the solution of the six loads takes 3–4% of the total of route (a) (Supplementary Table ST12b).</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6.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Routes (a) and (b) solve six loads and do not evaluate sensitivities; route (c) solves three loads and evaluates them.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Whole-lattice iterative solvers were compared on the two eight-cell lattices, with the systems of route (a) and on the same CPU with 16 MPI processes (PETSc</w:t>
      </w:r>
      <w:r>
        <w:t xml:space="preserve"> </w:t>
      </w:r>
      <w:hyperlink r:id="rId106">
        <w:r>
          <w:rPr>
            <w:rStyle w:val="Hyperlink"/>
          </w:rPr>
          <w:t xml:space="preserve">Balay et al. (2026)</w:t>
        </w:r>
      </w:hyperlink>
      <w:r>
        <w:t xml:space="preserve">; Supplementary Note S3, Table ST12e). Conjugate gradients preconditioned by smoothed-aggregation algebraic multigrid</w:t>
      </w:r>
      <w:r>
        <w:t xml:space="preserve"> </w:t>
      </w:r>
      <w:hyperlink r:id="rId28">
        <w:r>
          <w:rPr>
            <w:rStyle w:val="Hyperlink"/>
          </w:rPr>
          <w:t xml:space="preserve">Vaněk et al. (1996)</w:t>
        </w:r>
      </w:hyperlink>
      <w:r>
        <w:t xml:space="preserve">, with the rigid-body modes of the DOF positions as near-null space, reach a relative residual of</w:t>
      </w:r>
      <w:r>
        <w:t xml:space="preserve"> </w:t>
      </w:r>
      <m:oMath>
        <m:sSup>
          <m:e>
            <m:r>
              <m:t>10</m:t>
            </m:r>
          </m:e>
          <m:sup>
            <m:r>
              <m:rPr>
                <m:sty m:val="p"/>
              </m:rPr>
              <m:t>−</m:t>
            </m:r>
            <m:r>
              <m:t>4</m:t>
            </m:r>
          </m:sup>
        </m:sSup>
      </m:oMath>
      <w:r>
        <w:t xml:space="preserve">, at which compliance and energy norm differ from the converged solution by less than</w:t>
      </w:r>
      <w:r>
        <w:t xml:space="preserve"> </w:t>
      </w:r>
      <m:oMath>
        <m:r>
          <m:t>5</m:t>
        </m:r>
        <m:r>
          <m:rPr>
            <m:sty m:val="p"/>
          </m:rPr>
          <m:t>×</m:t>
        </m:r>
        <m:sSup>
          <m:e>
            <m:r>
              <m:t>10</m:t>
            </m:r>
          </m:e>
          <m:sup>
            <m:r>
              <m:rPr>
                <m:sty m:val="p"/>
              </m:rPr>
              <m:t>−</m:t>
            </m:r>
            <m:r>
              <m:t>10</m:t>
            </m:r>
          </m:sup>
        </m:sSup>
      </m:oMath>
      <w:r>
        <w:t xml:space="preserve"> </w:t>
      </w:r>
      <w:r>
        <w:t xml:space="preserve">and</w:t>
      </w:r>
      <w:r>
        <w:t xml:space="preserve"> </w:t>
      </w:r>
      <m:oMath>
        <m:r>
          <m:t>2.2</m:t>
        </m:r>
        <m:r>
          <m:rPr>
            <m:sty m:val="p"/>
          </m:rPr>
          <m:t>×</m:t>
        </m:r>
        <m:sSup>
          <m:e>
            <m:r>
              <m:t>10</m:t>
            </m:r>
          </m:e>
          <m:sup>
            <m:r>
              <m:rPr>
                <m:sty m:val="p"/>
              </m:rPr>
              <m:t>−</m:t>
            </m:r>
            <m:r>
              <m:t>5</m:t>
            </m:r>
          </m:sup>
        </m:sSup>
      </m:oMath>
      <w:r>
        <w:t xml:space="preserve">, in 52 to 84 s per load after a setup of 35 and 39 s. For the three loads of route (c) the solution takes 221 and 278 s, and the analysis, with the setup and assembly of route (a), 637 and 752 s, eight and seven times as long as NICE; for the six loads of route (a) the solution takes 432 and 478 s, against 452 and 568 s for the symbolic analysis, factorisation and solution of route (a). Classical algebraic multigrid (BoomerAMG</w:t>
      </w:r>
      <w:r>
        <w:t xml:space="preserve"> </w:t>
      </w:r>
      <w:hyperlink r:id="rId107">
        <w:r>
          <w:rPr>
            <w:rStyle w:val="Hyperlink"/>
          </w:rPr>
          <w:t xml:space="preserve">Falgout &amp; Yang (2002)</w:t>
        </w:r>
      </w:hyperlink>
      <w:r>
        <w:t xml:space="preserve">, nodal coarsening) gave an indefinite preconditioner for the</w:t>
      </w:r>
      <w:r>
        <w:t xml:space="preserve"> </w:t>
      </w:r>
      <m:oMath>
        <m:r>
          <m:t>2</m:t>
        </m:r>
        <m:r>
          <m:rPr>
            <m:sty m:val="p"/>
          </m:rPr>
          <m:t>×</m:t>
        </m:r>
        <m:r>
          <m:t>2</m:t>
        </m:r>
        <m:r>
          <m:rPr>
            <m:sty m:val="p"/>
          </m:rPr>
          <m:t>×</m:t>
        </m:r>
        <m:r>
          <m:t>2</m:t>
        </m:r>
      </m:oMath>
      <w:r>
        <w:t xml:space="preserve"> </w:t>
      </w:r>
      <w:r>
        <w:t xml:space="preserve">lattice with its default smoother and needed 250 to 260 iterations and 405 to 481 s per load to reach</w:t>
      </w:r>
      <w:r>
        <w:t xml:space="preserve"> </w:t>
      </w:r>
      <m:oMath>
        <m:sSup>
          <m:e>
            <m:r>
              <m:t>10</m:t>
            </m:r>
          </m:e>
          <m:sup>
            <m:r>
              <m:rPr>
                <m:sty m:val="p"/>
              </m:rPr>
              <m:t>−</m:t>
            </m:r>
            <m:r>
              <m:t>4</m:t>
            </m:r>
          </m:sup>
        </m:sSup>
      </m:oMath>
      <w:r>
        <w:t xml:space="preserve"> </w:t>
      </w:r>
      <w:r>
        <w:t xml:space="preserve">for the</w:t>
      </w:r>
      <w:r>
        <w:t xml:space="preserve"> </w:t>
      </w:r>
      <m:oMath>
        <m:r>
          <m:t>3</m:t>
        </m:r>
        <m:r>
          <m:rPr>
            <m:sty m:val="p"/>
          </m:rPr>
          <m:t>×</m:t>
        </m:r>
        <m:r>
          <m:t>3</m:t>
        </m:r>
        <m:r>
          <m:rPr>
            <m:sty m:val="p"/>
          </m:rPr>
          <m:t>×</m:t>
        </m:r>
        <m:r>
          <m:t>1</m:t>
        </m:r>
      </m:oMath>
      <w:r>
        <w:t xml:space="preserve"> </w:t>
      </w:r>
      <w:r>
        <w:t xml:space="preserve">lattice. For BDDC</w:t>
      </w:r>
      <w:r>
        <w:t xml:space="preserve"> </w:t>
      </w:r>
      <w:hyperlink r:id="rId108">
        <w:r>
          <w:rPr>
            <w:rStyle w:val="Hyperlink"/>
          </w:rPr>
          <w:t xml:space="preserve">Dohrmann (2003)</w:t>
        </w:r>
      </w:hyperlink>
      <w:r>
        <w:t xml:space="preserve"> </w:t>
      </w:r>
      <w:r>
        <w:t xml:space="preserve">with exact local solvers and one subdomain per cell, factorising every cell's Dirichlet matrix and complete Neumann matrix with the configuration of route (a) takes 449 and 523 s, without the treatment of the primal constraints, the coarse problem and the iterations; a PETSc BDDC setup with MUMPS local and coarse solvers on eight processes exceeded 90 GiB. Every fine-scale route repeats the cell setup and the assembly of the whole-lattice system, 416 and 474 s in route (a) (Table ST12b), which alone take 5.3 and 4.5 times as long as the NICE analysis.</w:t>
      </w:r>
    </w:p>
    <w:p>
      <w:pPr>
        <w:pStyle w:val="BodyText"/>
      </w:pPr>
      <w:r>
        <w:t xml:space="preserve">In a design iteration the geometry of every cell changes, so every cell's preparation (its interior factorisation, or its network encoding and correction setup) is repeated, as in the analyses of Table 6;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Section 3.3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9">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7,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with 12 instead of 6 elements per cell and axis it underestimates it by 25.8%, and a hundredfold penalty changes the macroscale compliance by less than 0.001% (Supplementary Note S6.3). The fine-scale model clamps the whole cut band, a support at least as stiff as one acting on the cut surface alone; this lowers the exact compliance and so narrows the difference rather than widening it. The macroscale compliance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examined here thus underestimates the compliance of the cut layer by about a quarter on either macroscale mesh and leads to a design that is less stiff on the cut geometry.</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7,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7.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6,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the plate of Section 5.10 is clamped through it, a support for which the homogenised model needs a separate constraint on the plane of the cut. It also has a cost. In the lattices, whose cut surfaces are traction-free, its DOFs off the box faces account for 37 to 50% of the free retained DOFs (Table ST12a), and the assembled solve on the retained DOFs takes most of the time of a NICE analysis (Table ST12d).</w:t>
      </w:r>
    </w:p>
    <w:p>
      <w:pPr>
        <w:pStyle w:val="BodyText"/>
      </w:pPr>
      <w:r>
        <w:t xml:space="preserve">The representation is what makes the complete retained space learnable (Table 1). Weights that act on stencil slots, channels and grid levels let one network of about</w:t>
      </w:r>
      <w:r>
        <w:t xml:space="preserve"> </w:t>
      </w:r>
      <m:oMath>
        <m:r>
          <m:t>6</m:t>
        </m:r>
        <m:r>
          <m:rPr>
            <m:sty m:val="p"/>
          </m:rPr>
          <m:t>×</m:t>
        </m:r>
        <m:sSup>
          <m:e>
            <m:r>
              <m:t>10</m:t>
            </m:r>
          </m:e>
          <m:sup>
            <m:r>
              <m:t>5</m:t>
            </m:r>
          </m:sup>
        </m:sSup>
      </m:oMath>
      <w:r>
        <w:t xml:space="preserve"> </w:t>
      </w:r>
      <w:r>
        <w:t xml:space="preserve">parameters serve every retained set, and the same network, unchanged, served the 80 validation geometries, the sixteen cells of the lattices and the cut cells of the plate clamped through its cut band (Sections 5.3, 5.8 and 5.10). Exact linearity in the retained displacement gives superposition; with the rigid-body split and the overwrite of the retained values in Eq. (14), it makes the extension admissible and rigid-body reproducing by construction, so that the relations of Section 3 apply to the network itself and its transpose returns the work-conjugate force. Because the correction is linear and fixed for each geometry, the network can be trained through it (Section 4.5).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variational structure makes the role of each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4.4).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comparable budget: under the same correction, a harmonic start leaves 5.4 to 265 times the error of NICE on the five cells of Table 4, and eight times the smoothing work closes the gap to the corrected learned field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both at the common</w:t>
      </w:r>
      <w:r>
        <w:t xml:space="preserve"> </w:t>
      </w:r>
      <m:oMath>
        <m:r>
          <m:t>q</m:t>
        </m:r>
      </m:oMath>
      <w:r>
        <w:t xml:space="preserve">. The complete derivative of Eq. (10)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contains in addition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and less time than whole-lattice conjugate gradients with algebraic multigrid (Section 5.9). The advantage comes from where the interior is resolved: the exact routes, direct or iterative, solve the fine-scale problem of every cell or of the whole lattice, whereas NICE resolves each interior by a network evaluation and a fixed number of correction steps and solves the assembled problem only on the retained DOFs, 139,002 and 143,685 for the eight-cell lattices instead of 1.83 and 2.11 million.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converge to the exact discrete solution but repeat the fine-scale setup and assembly of every cell (Section 5.9).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and underestimates the compliance (Eq. (7)); its compliance is not a conservative estimate.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Where the cut surfaces carry no loads or supports, the retained cut band enlarges the assembled system, by 37 to 50% of the free retained DOFs in the lattices examined; a reduced representation of the cut band was not tested.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were compared on the two eight-cell lattices only, with algebraic multigrid</w:t>
      </w:r>
      <w:r>
        <w:t xml:space="preserve"> </w:t>
      </w:r>
      <w:hyperlink r:id="rId28">
        <w:r>
          <w:rPr>
            <w:rStyle w:val="Hyperlink"/>
          </w:rPr>
          <w:t xml:space="preserve">Vaněk et al. (1996)</w:t>
        </w:r>
      </w:hyperlink>
      <w:r>
        <w:t xml:space="preserve">,</w:t>
      </w:r>
      <w:r>
        <w:t xml:space="preserve"> </w:t>
      </w:r>
      <w:hyperlink r:id="rId116">
        <w:r>
          <w:rPr>
            <w:rStyle w:val="Hyperlink"/>
          </w:rPr>
          <w:t xml:space="preserve">Henson &amp; Yang (2002)</w:t>
        </w:r>
      </w:hyperlink>
      <w:r>
        <w:t xml:space="preserve">,</w:t>
      </w:r>
      <w:r>
        <w:t xml:space="preserve"> </w:t>
      </w:r>
      <w:hyperlink r:id="rId107">
        <w:r>
          <w:rPr>
            <w:rStyle w:val="Hyperlink"/>
          </w:rPr>
          <w:t xml:space="preserve">Falgout &amp; Yang (2002)</w:t>
        </w:r>
      </w:hyperlink>
      <w:r>
        <w:t xml:space="preserve"> </w:t>
      </w:r>
      <w:r>
        <w:t xml:space="preserve">in standard settings and with the local factorisation cost of BDDC with exact local solvers</w:t>
      </w:r>
      <w:r>
        <w:t xml:space="preserve"> </w:t>
      </w:r>
      <w:hyperlink r:id="rId108">
        <w:r>
          <w:rPr>
            <w:rStyle w:val="Hyperlink"/>
          </w:rPr>
          <w:t xml:space="preserve">Dohrmann (2003)</w:t>
        </w:r>
      </w:hyperlink>
      <w:r>
        <w:t xml:space="preserve"> </w:t>
      </w:r>
      <w:r>
        <w:t xml:space="preserve">(Section 5.9); FETI-DP</w:t>
      </w:r>
      <w:r>
        <w:t xml:space="preserve"> </w:t>
      </w:r>
      <w:hyperlink r:id="rId117">
        <w:r>
          <w:rPr>
            <w:rStyle w:val="Hyperlink"/>
          </w:rPr>
          <w:t xml:space="preserve">Farhat et al. (2001)</w:t>
        </w:r>
      </w:hyperlink>
      <w:r>
        <w:t xml:space="preserve"> </w:t>
      </w:r>
      <w:r>
        <w:t xml:space="preserve">and tuned multigrid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can carry the structure of static condensation on its complete, geometry-dependent retained space when the tasks are divided: the approximation is placed in the interior extension, the extension is a network that is exactly linear in the retained displacement and admissible by construction, and a fixed, geometry-specific two-grid correction inside the energy reduces the error the network leaves. Evaluated in the energy form with its transpose</w:t>
      </w:r>
      <w:r>
        <w:t xml:space="preserve"> </w:t>
      </w:r>
      <m:oMath>
        <m:sSup>
          <m:e>
            <m:r>
              <m:t>F</m:t>
            </m:r>
          </m:e>
          <m:sup>
            <m:r>
              <m:t>T</m:t>
            </m:r>
          </m:sup>
        </m:sSup>
      </m:oMath>
      <w:r>
        <w:t xml:space="preserve">, the corrected extension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or nonnegatively shifted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that differ in size and pattern without forming a matrix. Learning supplies the trial field, the variational form the structure and the correction the improvability. The three are complementary: under the same correction a harmonic start leaves 5.4 to 265 times the error of NICE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bounds only at the order of its square root; and in the cut cells examined a displacement error of about one percent lies in stiff directions and becomes an energy error of 1.8 to 35%. Accurate compliance therefore does not imply accurate local sensitivity, and the local sensitivity must be checked on its own.</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and 637–752 s for whole-lattice conjugate gradients with algebraic multigrid on 16 CPU processes. Driven by the field-based sensitivities, the method of moving asymptotes reproduces on an eight-cell lattice the design obtained with exact condensation to within 0.0051 in every corner parameter. On a 24-cell plate clamped through its cut band,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3,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a conical Gauss–Jacobi product rule of four points per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and the integrand that the templates expand in monomials is</w:t>
      </w:r>
      <w:r>
        <w:t xml:space="preserve"> </w:t>
      </w:r>
      <m:oMath>
        <m:sSup>
          <m:e>
            <m:r>
              <m:t>B</m:t>
            </m:r>
          </m:e>
          <m:sup>
            <m:r>
              <m:t>T</m:t>
            </m:r>
          </m:sup>
        </m:sSup>
        <m:r>
          <m:rPr>
            <m:scr m:val="sans-serif"/>
            <m:sty m:val="p"/>
          </m:rPr>
          <m:t>C</m:t>
        </m:r>
        <m:r>
          <m:t>B</m:t>
        </m:r>
      </m:oMath>
      <w:r>
        <w:t xml:space="preserve">, with</w:t>
      </w:r>
      <w:r>
        <w:t xml:space="preserve"> </w:t>
      </w:r>
      <m:oMath>
        <m:r>
          <m:t>B</m:t>
        </m:r>
      </m:oMath>
      <w:r>
        <w:t xml:space="preserve"> </w:t>
      </w:r>
      <w:r>
        <w:t xml:space="preserve">the strain–displacement matrix and</w:t>
      </w:r>
      <w:r>
        <w:t xml:space="preserve"> </w:t>
      </w:r>
      <m:oMath>
        <m:r>
          <m:rPr>
            <m:scr m:val="sans-serif"/>
            <m:sty m:val="p"/>
          </m:rPr>
          <m:t>C</m:t>
        </m:r>
      </m:oMath>
      <w:r>
        <w:t xml:space="preserve"> </w:t>
      </w:r>
      <w:r>
        <w:t xml:space="preserve">the elasticity tensor, so each numerically integrated</w:t>
      </w:r>
      <w:r>
        <w:t xml:space="preserve"> </w:t>
      </w:r>
      <m:oMath>
        <m:sSub>
          <m:e>
            <m:r>
              <m:t>K</m:t>
            </m:r>
          </m:e>
          <m:sub>
            <m:r>
              <m:t>e</m:t>
            </m:r>
          </m:sub>
        </m:sSub>
      </m:oMath>
      <w:r>
        <w:t xml:space="preserve"> </w:t>
      </w:r>
      <w:r>
        <w:t xml:space="preserve">is a positive combination of positive semidefinite matrices; hence</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extension therefore cannot add zero-energy modes to the condensed operator; a mode beyond the retained rigid-body modes could only be one of the discrete model itself, which Appendix A.1 excludes under its connectivity condition and the assumption that the numerically integrated element matrices keep the rigid-body kernel. For the lattices of Table 6,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(14),</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(15))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(16).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4.4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towards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(14)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6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4.2 (Figure 3a), carry no displacement-direction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(13)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3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(14).</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2026-10-05T04:41:18Z</dcterms:created>
  <dcterms:modified xsi:type="dcterms:W3CDTF">2026-10-05T04:41:18Z</dcterms:modified>
</cp:coreProperties>
</file>

<file path=docProps/custom.xml><?xml version="1.0" encoding="utf-8"?>
<Properties xmlns="http://schemas.openxmlformats.org/officeDocument/2006/custom-properties" xmlns:vt="http://schemas.openxmlformats.org/officeDocument/2006/docPropsVTypes"/>
</file>