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Lattices trimmed to a part's shape have cut cells that can carry supports and loads, each with its own geometry. Modelling every wall makes each design iteration a fine-scale analysis of the structure; homogenisation is inaccurate where cells are not small relative to it. Static condensation of each cell as a superelement keeps its fine scale but needs an interior factorisation for every geometry. NICE avoids it, retaining the degrees of freedom on the cell faces and in the elements cut by the trimming plane. A network taking the cell geometry as input predicts the interior displacements, one fixed two-grid cycle reduces interior force imbalance, and the condensed stiffness follows from the strain energy of the corrected field. The prediction is linear in the retained displacements and reproduces them and rigid-body motions exactly. The condensed stiffness is therefore symmetric positive semidefinite with zero energy only for rigid-body motions, never softer than the exact one, with error quadratic in the interior displacement error. Under stated conditions the correction cannot increase this error. Because accurate compliance does not ensure accurate sensitivities, both are trained and checked. For cut Schwarz-P cells, the mean energy error over 80 validation geometries is 0.074%, and an eight-cell analysis with sensitivities is about ten times faster than direct solution. Thickness optimisation reproduces the exact-condensation design of an eight-cell lattice. For a 24-cell layer clamped at its cut, where homogenisation underestimates the compliance by 27%, NICE agrees with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Graded lattices</w:t>
      </w:r>
      <w:r>
        <w:t xml:space="preserve"> </w:t>
      </w:r>
      <w:hyperlink r:id="rId9">
        <w:r>
          <w:rPr>
            <w:rStyle w:val="Hyperlink"/>
          </w:rPr>
          <w:t xml:space="preserve">Yu et al. (2019)</w:t>
        </w:r>
      </w:hyperlink>
      <w:r>
        <w:t xml:space="preserve"> </w:t>
      </w:r>
      <w:r>
        <w:t xml:space="preserve">and lattices trimmed to the shape of a part consist of many cells of different geometry. Their thickness design faces two competing requirements. The structure is large and must be reanalysed at every design iteration. Yet the quantities that drive the design are local, for example the stiffness of a cut cell next to a support or the sensitivity of the compliance to a wall thickness. Homogenisation replaces the cells by an equivalent material; it is inexpensive and is the usual basis for the design of graded lattices</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t xml:space="preserve">. Its accuracy is limited, however, where the cells are not small compared with the scale on which the field varies, in particular at supports, at loads and in cells cut by the part boundary. For the plate of Section 5.10, a single layer of cells clamped at its cut (Figure 1), the homogenised model underestimates the compliance of the uniform starting design by 27%, whereas the method of this paper underestimates it by 0.011%. A fine-scale analysis of every wall avoids this error and is feasible with large-scale parallel solvers</w:t>
      </w:r>
      <w:r>
        <w:t xml:space="preserve"> </w:t>
      </w:r>
      <w:hyperlink r:id="rId12">
        <w:r>
          <w:rPr>
            <w:rStyle w:val="Hyperlink"/>
          </w:rPr>
          <w:t xml:space="preserve">Aage et al. (2017)</w:t>
        </w:r>
      </w:hyperlink>
      <w:r>
        <w:t xml:space="preserve">, but since each design iteration changes every cell, it must be repeated at every iteration (Section 5.9).</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whose cut cells carry the support.</w:t>
      </w:r>
      <w:r>
        <w:t xml:space="preserve"> </w:t>
      </w:r>
      <w:r>
        <w:t xml:space="preserve">(a) Plan view of a single layer of</w:t>
      </w:r>
      <w:r>
        <w:t xml:space="preserve"> </w:t>
      </w:r>
      <m:oMath>
        <m:r>
          <m:t>8</m:t>
        </m:r>
        <m:r>
          <m:rPr>
            <m:sty m:val="p"/>
          </m:rPr>
          <m:t>×</m:t>
        </m:r>
        <m:r>
          <m:t>4</m:t>
        </m:r>
      </m:oMath>
      <w:r>
        <w:t xml:space="preserve"> </w:t>
      </w:r>
      <w:r>
        <w:t xml:space="preserve">Schwarz-P cells (Eq. (1), uniform</w:t>
      </w:r>
      <w:r>
        <w:t xml:space="preserve"> </w:t>
      </w:r>
      <m:oMath>
        <m:r>
          <m:t>τ</m:t>
        </m:r>
        <m:r>
          <m:rPr>
            <m:sty m:val="p"/>
          </m:rPr>
          <m:t>=</m:t>
        </m:r>
        <m:r>
          <m:t>0.40</m:t>
        </m:r>
      </m:oMath>
      <w:r>
        <w:t xml:space="preserve">) trimmed by a plane. The layer has 16 uncut cells (light) and eight cut cells (dark); the part removed by the cut is drawn pale with a dashed outline. The plate is clamped at its cut: every degree of freedom of the cut-plane elements of every cut cell is fixed (hatched line). The end face carries an in-plane traction load of unit resultant (arrows). (b) The cut cell outlined in (a), with translucent walls and the cut plane. Of the 72,631 nodes of its</w:t>
      </w:r>
      <w:r>
        <w:t xml:space="preserve"> </w:t>
      </w:r>
      <m:oMath>
        <m:sSub>
          <m:e>
            <m:r>
              <m:t>Q</m:t>
            </m:r>
          </m:e>
          <m:sub>
            <m:r>
              <m:t>2</m:t>
            </m:r>
          </m:sub>
        </m:sSub>
      </m:oMath>
      <w:r>
        <w:t xml:space="preserve"> </w:t>
      </w:r>
      <w:r>
        <w:t xml:space="preserve">model, the 9,674 nodes on the cell faces (blue) and in the cut-plane elements (sand) are retained. All other nodes are interior and are eliminated by static condensation. The surfaces are reconstructed from Eq. (1) for visualisation only.</w:t>
      </w:r>
    </w:p>
    <w:p>
      <w:pPr>
        <w:pStyle w:val="BodyText"/>
      </w:pPr>
      <w:r>
        <w:t xml:space="preserve">Substructuring lies between these two approaches. Each cell is treated as a substructure, or superelement, and statically condensed onto the retained (master) degrees of freedom through which it connects to its neighbours, supports and loads</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t xml:space="preserve">. The assembled system contains only the retained degrees of freedom, and after its solution the interior displacements of each cell are recovered and used to evaluate local design quantities such as the sensitivities. Static condensation is exact, but it requires a factorisation of the interior stiffness matrix for every cell geometry.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Because every design iteration changes the geometry of every cell, these factorisations must be repeated at every iteration.</w:t>
      </w:r>
    </w:p>
    <w:p>
      <w:pPr>
        <w:pStyle w:val="BodyText"/>
      </w:pPr>
      <w:r>
        <w:t xml:space="preserve">Learned component models replace the interior solution by a neural network. Some map nodal displacements directly to nodal forces</w:t>
      </w:r>
      <w:r>
        <w:t xml:space="preserve"> </w:t>
      </w:r>
      <w:hyperlink r:id="rId18">
        <w:r>
          <w:rPr>
            <w:rStyle w:val="Hyperlink"/>
          </w:rPr>
          <w:t xml:space="preserve">Capuano &amp; Rimoli (2019)</w:t>
        </w:r>
      </w:hyperlink>
      <w:r>
        <w:t xml:space="preserve">. Learned substructures</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like finite elements. These methods describe the boundary displacement of each substructure by a few degrees of freedom, for example through linear or cubic Bézier interpolation, and the network outputs one shape function for each of them. Port reduction</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t xml:space="preserve">likewise reduces the degrees of freedom shared between components. Such a reduction restricts the displacement patterns that neighbouring substructures can exchange, and the resulting error cannot be removed by a better interior approximation. For cut cells, supports and loads on the cut surface act on all degrees of freedom of the cut-plane elements, so these degrees of freedom are retained as well. The number of retained degrees of freedom is then large and changes with the geometry, so that a network with one output per retained degree of freedom does not apply directly.</w:t>
      </w:r>
    </w:p>
    <w:p>
      <w:pPr>
        <w:pStyle w:val="BodyText"/>
      </w:pPr>
      <w:r>
        <w:t xml:space="preserve">This paper proposes NICE (neural-initialised static condensation with equilibrium correction). NICE keeps all degrees of freedom on the cell faces and in the cut-plane elements and approximates only the interior displacements. A neural network that takes the cell geometry as input predicts these displacements; it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After the prediction, one two-grid cycle of Chebyshev smoothing and coarse-grid correction</w:t>
      </w:r>
      <w:r>
        <w:t xml:space="preserve"> </w:t>
      </w:r>
      <w:hyperlink r:id="rId24">
        <w:r>
          <w:rPr>
            <w:rStyle w:val="Hyperlink"/>
          </w:rPr>
          <w:t xml:space="preserve">Xu (1992)</w:t>
        </w:r>
      </w:hyperlink>
      <w:r>
        <w:t xml:space="preserve"> </w:t>
      </w:r>
      <w:r>
        <w:t xml:space="preserve">is applied with the retained displacements held fixed, which reduces the interior force imbalance. The smoothing reduces the high-frequency part of the interior error, and the coarse-grid correction reduces its smooth part. This cycle is the equilibrium correction in the name of the method. The network and the correction together define a linear map from the retained displacements to the displacements of the whole cell. The condensed stiffness is computed from the strain energy of the resulting displacement field, and neither this map nor the condensed stiffness is formed as a matrix.</w:t>
      </w:r>
    </w:p>
    <w:p>
      <w:pPr>
        <w:pStyle w:val="BodyText"/>
      </w:pPr>
      <w:r>
        <w:t xml:space="preserve">Because the condensed stiffness is computed from the strain energy, it is symmetric positive semidefinite, and only the rigid-body modes have zero energy. By the principle of minimum potential energy, it is never softer than the exact condensed stiffness, and its error is quadratic in the interior displacement error. Exact static condensation is the special case of exact interior displacements. These properties hold for any interior approximation that is linear in the retained displacements and reproduces them and rigid-body motions, and therefore do not depend on how well the network is trained. Because the two-grid correction is a fixed linear operation, the corrected condensed stiffness keeps these properties. Under the conditions on the smoothing interval and the coarse solve stated in Proposition 2, its error does not exceed the error before the correction</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t xml:space="preserve">. The network is trained with the correction applied, and the two complement each other. Under the same correction, a graph-harmonic initial field, which has no trainable parameters, leaves 5.4 to 265 times the mean energy error of NICE (Section 5.5).</w:t>
      </w:r>
    </w:p>
    <w:p>
      <w:pPr>
        <w:pStyle w:val="BodyText"/>
      </w:pPr>
      <w:r>
        <w:t xml:space="preserve">An interior displacement error affects the compliance and the sensitivities differently. In the compliance, the error of each cell is weighted by the fraction of the strain energy that the cell carries. In the thickness sensitivity, it enters through the derivative of the stiffness matrix as a term linear in the interior displacement error, which the energy error bounds only at the order of its square root. A cell that carries a small fraction of the energy can therefore leave the compliance accurate while its sensitivity remains inaccurate. For any approximate static condensation used in design, an accurate compliance does not guarantee an accurate sensitivity. Similar observations have been made for approximate reanalysis and inexact solves in topology optimisation</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t xml:space="preserve">. Section 4 derives these relations for any interior approximation that meets the conditions above (Propositions 3 and 4). NICE is therefore trained and checked on compliance and sensitivity separately (Section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therefore act on the original degrees of freedom, although these change with the geometry, and can be applied without retraining (Sections 2, 5.7 and 5.10).</w:t>
      </w:r>
    </w:p>
    <w:p>
      <w:pPr>
        <w:pStyle w:val="Compact"/>
        <w:numPr>
          <w:ilvl w:val="0"/>
          <w:numId w:val="1001"/>
        </w:numPr>
      </w:pPr>
      <w:r>
        <w:t xml:space="preserve">A neural network predicts the interior displacements. By construction, its output is exactly linear in the retained displacements and reproduces them and rigid-body motions. Its size does not depend on the number of retained degrees of freedom, and it forms no matrix. The condensed stiffness computed from its strain energy is symmetric positive semidefinite and never softer than the exact one. Its error is quadratic in the interior displacement error (Sections 3.1, 3.2 and 3.6).</w:t>
      </w:r>
    </w:p>
    <w:p>
      <w:pPr>
        <w:pStyle w:val="Compact"/>
        <w:numPr>
          <w:ilvl w:val="0"/>
          <w:numId w:val="1001"/>
        </w:numPr>
      </w:pPr>
      <w:r>
        <w:t xml:space="preserve">A fixed two-grid correction inside the condensation reduces the error of a trained network without retraining. The correction keeps these properties for any discrete model with a symmetric positive semidefinite stiffness matrix and a positive definite interior block. Under the conditions of Proposition 2, it does not increase the energy error (Sections 3.3 and 3.4). In every example of Supplementary Table ST07, a larger number of smoothing steps reduced the energy error further (Section 5.5).</w:t>
      </w:r>
    </w:p>
    <w:p>
      <w:pPr>
        <w:pStyle w:val="Compact"/>
        <w:numPr>
          <w:ilvl w:val="0"/>
          <w:numId w:val="1001"/>
        </w:numPr>
      </w:pPr>
      <w:r>
        <w:t xml:space="preserve">The different routes by which the interior displacement error reaches the compliance and the sensitivities are derived. Both quantities are checked separately, and the thickness designs are verified against exact static condensation and compared with homogenisation (Sections 4, 5.6, 5.8 and 5.10).</w:t>
      </w:r>
    </w:p>
    <w:p>
      <w:pPr>
        <w:pStyle w:val="FirstParagraph"/>
      </w:pPr>
      <w:r>
        <w:t xml:space="preserve">Section 1.1 reviews related work. Section 2 describes the finite element model of the cut cells, static condensation, the design problem and the assumptions of the analysis.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examples cover the accuracy on 80 validation geometries and on two-cell assemblies, an ablation that restricts the cell-face displacements, and eight-cell lattices of cells not used in training or checkpoint selection. They also cover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Among learned substructures, problem-independent machine learning (PIML) has been studied most systematically. PIML predicts numerical shape functions of a substructure for a few boundary degrees of freedom and imposes constraints for rigid-body motion; its self-consistent form computes the substructure stiffness matrix as</w:t>
      </w:r>
      <w:r>
        <w:t xml:space="preserve"> </w:t>
      </w:r>
      <m:oMath>
        <m:sSup>
          <m:e>
            <m:r>
              <m:t>N</m:t>
            </m:r>
          </m:e>
          <m:sup>
            <m:r>
              <m:t>T</m:t>
            </m:r>
          </m:sup>
        </m:sSup>
        <m:r>
          <m:t>K</m:t>
        </m:r>
        <m:r>
          <m:t>N</m:t>
        </m:r>
      </m:oMath>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 Its variants train without precomputed shape-function data by minimising the potential energy</w:t>
      </w:r>
      <w:r>
        <w:t xml:space="preserve"> </w:t>
      </w:r>
      <w:hyperlink r:id="rId31">
        <w:r>
          <w:rPr>
            <w:rStyle w:val="Hyperlink"/>
          </w:rPr>
          <w:t xml:space="preserve">Huang et al. (2024)</w:t>
        </w:r>
      </w:hyperlink>
      <w:r>
        <w:t xml:space="preserve">, impose symmetry equivariance</w:t>
      </w:r>
      <w:r>
        <w:t xml:space="preserve"> </w:t>
      </w:r>
      <w:hyperlink r:id="rId32">
        <w:r>
          <w:rPr>
            <w:rStyle w:val="Hyperlink"/>
          </w:rPr>
          <w:t xml:space="preserve">Jiang, C. et al. (2026)</w:t>
        </w:r>
      </w:hyperlink>
      <w:r>
        <w:t xml:space="preserve">, treat isoparametric substructures</w:t>
      </w:r>
      <w:r>
        <w:t xml:space="preserve"> </w:t>
      </w:r>
      <w:hyperlink r:id="rId33">
        <w:r>
          <w:rPr>
            <w:rStyle w:val="Hyperlink"/>
          </w:rPr>
          <w:t xml:space="preserve">Zhang, L. et al. (2024)</w:t>
        </w:r>
      </w:hyperlink>
      <w:r>
        <w:t xml:space="preserve">, transfer learned substructures to complex three-dimensional design domains</w:t>
      </w:r>
      <w:r>
        <w:t xml:space="preserve"> </w:t>
      </w:r>
      <w:hyperlink r:id="rId34">
        <w:r>
          <w:rPr>
            <w:rStyle w:val="Hyperlink"/>
          </w:rPr>
          <w:t xml:space="preserve">Zhang et al. (2026)</w:t>
        </w:r>
      </w:hyperlink>
      <w:r>
        <w:t xml:space="preserve"> </w:t>
      </w:r>
      <w:r>
        <w:t xml:space="preserve">and optimise lattices</w:t>
      </w:r>
      <w:r>
        <w:t xml:space="preserve"> </w:t>
      </w:r>
      <w:hyperlink r:id="rId35">
        <w:r>
          <w:rPr>
            <w:rStyle w:val="Hyperlink"/>
          </w:rPr>
          <w:t xml:space="preserve">Xu et al. (2025)</w:t>
        </w:r>
      </w:hyperlink>
      <w:r>
        <w:t xml:space="preserve">. One variant joins oversampled numerical basis functions by an overlapping partition of unity and corrects the reconstructed fine-scale field by a few Jacobi-preconditioned conjugate gradient iterations on the global equilibrium equations</w:t>
      </w:r>
      <w:r>
        <w:t xml:space="preserve"> </w:t>
      </w:r>
      <w:hyperlink r:id="rId36">
        <w:r>
          <w:rPr>
            <w:rStyle w:val="Hyperlink"/>
          </w:rPr>
          <w:t xml:space="preserve">Guo et al. (2026b)</w:t>
        </w:r>
      </w:hyperlink>
      <w:r>
        <w:t xml:space="preserve">. A few boundary degrees of freedom per substructure keep the assembled model small enough for very large structures, and the resulting boundary model error is controlled by refining the partition, enriching the interpolation or oversampling. NICE lies at the other end of this trade-off: it keeps all retained degrees of freedom of a cell, which avoids this boundary model error but enlarges the assembled model. It learns the interior displacements of each geometry in a family whose discrete space changes with the cut, instead of numerical shape functions for a fixed set of boundary degrees of freedom. Another PIML variant replaces the linear interpolation of the boundary displacement by cubic Bézier interpolation and was compared, in the same study, with a variant that predicts numerical shape functions for every boundary node. For voxel substructures, the latter cost more than it saved and was less accurate on the larger substructures, because its network had to predict many more outputs</w:t>
      </w:r>
      <w:r>
        <w:t xml:space="preserve"> </w:t>
      </w:r>
      <w:hyperlink r:id="rId20">
        <w:r>
          <w:rPr>
            <w:rStyle w:val="Hyperlink"/>
          </w:rPr>
          <w:t xml:space="preserve">Guo et al. (2026a)</w:t>
        </w:r>
      </w:hyperlink>
      <w:r>
        <w:t xml:space="preserve">. In NICE, condensation still removes most unknowns, because the interior of a thin-walled cell is several times larger than its retained part; the cell of Figure 1b retains 9,674 of its 72,631 nodes. The network size of NICE does not grow with the number of retained degrees of freedom, and the two-grid correction reduces the error that the network leaves (Section 5.5).</w:t>
      </w:r>
    </w:p>
    <w:p>
      <w:pPr>
        <w:pStyle w:val="BodyText"/>
      </w:pPr>
      <w:r>
        <w:t xml:space="preserve">Closest to NICE are component models that keep a mechanical structure. A condensed stiffness can be computed from the strain energy of an approximate displacement field that is linear in the retained displacements and reproduces them and rigid-body motions. By the principle of minimum potential energy, this condensed stiffness is never softer than the exact one, and its error is quadratic in the interior displacement error (Section 3.1). The same property underlies static condensation itself</w:t>
      </w:r>
      <w:r>
        <w:t xml:space="preserve"> </w:t>
      </w:r>
      <w:hyperlink r:id="rId37">
        <w:r>
          <w:rPr>
            <w:rStyle w:val="Hyperlink"/>
          </w:rPr>
          <w:t xml:space="preserve">Toselli &amp; Widlund (2005)</w:t>
        </w:r>
      </w:hyperlink>
      <w:r>
        <w:t xml:space="preserve">, multiscale finite elements</w:t>
      </w:r>
      <w:r>
        <w:t xml:space="preserve"> </w:t>
      </w:r>
      <w:hyperlink r:id="rId38">
        <w:r>
          <w:rPr>
            <w:rStyle w:val="Hyperlink"/>
          </w:rPr>
          <w:t xml:space="preserve">Hou &amp; Wu (1997)</w:t>
        </w:r>
      </w:hyperlink>
      <w:r>
        <w:t xml:space="preserve">, component reduced-basis methods</w:t>
      </w:r>
      <w:r>
        <w:t xml:space="preserve"> </w:t>
      </w:r>
      <w:hyperlink r:id="rId39">
        <w:r>
          <w:rPr>
            <w:rStyle w:val="Hyperlink"/>
          </w:rPr>
          <w:t xml:space="preserve">Huynh et al. (2013)</w:t>
        </w:r>
      </w:hyperlink>
      <w:r>
        <w:t xml:space="preserve"> </w:t>
      </w:r>
      <w:r>
        <w:t xml:space="preserve">and learned shape functions evaluated as</w:t>
      </w:r>
      <w:r>
        <w:t xml:space="preserve"> </w:t>
      </w:r>
      <m:oMath>
        <m:sSup>
          <m:e>
            <m:r>
              <m:t>N</m:t>
            </m:r>
          </m:e>
          <m:sup>
            <m:r>
              <m:t>T</m:t>
            </m:r>
          </m:sup>
        </m:sSup>
        <m:r>
          <m:t>K</m:t>
        </m:r>
        <m:r>
          <m:t>N</m:t>
        </m:r>
      </m:oMath>
      <w:r>
        <w:t xml:space="preserve"> </w:t>
      </w:r>
      <w:hyperlink r:id="rId19">
        <w:r>
          <w:rPr>
            <w:rStyle w:val="Hyperlink"/>
          </w:rPr>
          <w:t xml:space="preserve">Huang et al. (2023)</w:t>
        </w:r>
      </w:hyperlink>
      <w:r>
        <w:t xml:space="preserve">. NICE applies it to network-predicted interior displacements on a set of retained degrees of freedom that changes with the cut. Learned and reduced component models differ in three respects: the exchange between a component and its neighbours, the representation of the interior and the place where the approximation is improved. The learned substructures of</w:t>
      </w:r>
      <w:r>
        <w:t xml:space="preserve"> </w:t>
      </w:r>
      <w:hyperlink r:id="rId19">
        <w:r>
          <w:rPr>
            <w:rStyle w:val="Hyperlink"/>
          </w:rPr>
          <w:t xml:space="preserve">Huang et al. (2023)</w:t>
        </w:r>
      </w:hyperlink>
      <w:r>
        <w:t xml:space="preserve"> </w:t>
      </w:r>
      <w:r>
        <w:t xml:space="preserve">and</w:t>
      </w:r>
      <w:r>
        <w:t xml:space="preserve"> </w:t>
      </w:r>
      <w:hyperlink r:id="rId20">
        <w:r>
          <w:rPr>
            <w:rStyle w:val="Hyperlink"/>
          </w:rPr>
          <w:t xml:space="preserve">Guo et al. (2026a)</w:t>
        </w:r>
      </w:hyperlink>
      <w:r>
        <w:t xml:space="preserve"> </w:t>
      </w:r>
      <w:r>
        <w:t xml:space="preserve">reduce what a component exchanges and learn shape functions for the reduced boundary. NICE keeps everything a component exchanges and learns only the response of the interior. It represents the interior by a network that takes the cell geometry as input and improves the approximation within the condensed stiffness that is assembled.</w:t>
      </w:r>
    </w:p>
    <w:p>
      <w:pPr>
        <w:pStyle w:val="BodyText"/>
      </w:pPr>
      <w:r>
        <w:t xml:space="preserve">As to what a component exchanges, component reduced-basis methods keep the complete interface in the condensation but represent the interior on a discrete space shared by the parameter family and construct reduced bases for it offline</w:t>
      </w:r>
      <w:r>
        <w:t xml:space="preserve"> </w:t>
      </w:r>
      <w:hyperlink r:id="rId39">
        <w:r>
          <w:rPr>
            <w:rStyle w:val="Hyperlink"/>
          </w:rPr>
          <w:t xml:space="preserve">Huynh et al. (2013)</w:t>
        </w:r>
      </w:hyperlink>
      <w:r>
        <w:t xml:space="preserve">. For lattices, such component-wise models have been reused in design optimisation, with error bounds on the displacement, the compliance and its sensitivity</w:t>
      </w:r>
      <w:r>
        <w:t xml:space="preserve"> </w:t>
      </w:r>
      <w:hyperlink r:id="rId40">
        <w:r>
          <w:rPr>
            <w:rStyle w:val="Hyperlink"/>
          </w:rPr>
          <w:t xml:space="preserve">McBane &amp; Choi (2021)</w:t>
        </w:r>
      </w:hyperlink>
      <w:r>
        <w:t xml:space="preserve">. For unfitted discretisations, solutions on varying active sets have been extended to a common background space before reduction</w:t>
      </w:r>
      <w:r>
        <w:t xml:space="preserve"> </w:t>
      </w:r>
      <w:hyperlink r:id="rId41">
        <w:r>
          <w:rPr>
            <w:rStyle w:val="Hyperlink"/>
          </w:rPr>
          <w:t xml:space="preserve">Chasapi et al. (2023)</w:t>
        </w:r>
      </w:hyperlink>
      <w:r>
        <w:t xml:space="preserve">. NICE also keeps the complete set of retained degrees of freedom, but this set itself changes with the cut, and its network therefore takes the discrete geometry of each cell as input, instead of the parameters of a shared discretisation.</w:t>
      </w:r>
    </w:p>
    <w:p>
      <w:pPr>
        <w:pStyle w:val="BodyText"/>
      </w:pPr>
      <w:r>
        <w:t xml:space="preserve">The representation of a component varies among lattice methods and learned elements. One lattice method condenses the cells into superelements and interpolates their stiffness in a density parameter by a reduced-order surrogate, which supplies explicit stiffness derivatives for optimisation without scale separation</w:t>
      </w:r>
      <w:r>
        <w:t xml:space="preserve"> </w:t>
      </w:r>
      <w:hyperlink r:id="rId42">
        <w:r>
          <w:rPr>
            <w:rStyle w:val="Hyperlink"/>
          </w:rPr>
          <w:t xml:space="preserve">Wu et al. (2019)</w:t>
        </w:r>
      </w:hyperlink>
      <w:r>
        <w:t xml:space="preserve">. For lattices built by spline composition, reduced-order cell operators have replaced the cell-wise local solves of inexact finite element tearing and interconnecting, dual–primal (FETI-DP) methods</w:t>
      </w:r>
      <w:r>
        <w:t xml:space="preserve"> </w:t>
      </w:r>
      <w:hyperlink r:id="rId43">
        <w:r>
          <w:rPr>
            <w:rStyle w:val="Hyperlink"/>
          </w:rPr>
          <w:t xml:space="preserve">Hirschler et al. (2024)</w:t>
        </w:r>
      </w:hyperlink>
      <w:r>
        <w:t xml:space="preserve">. For unfitted two-dimensional lattices, balancing domain decomposition by constraints (BDDC) has been combined with full cell stiffness matrices, whose integrals over trimmed cells are approximated by matrix discrete empirical interpolation</w:t>
      </w:r>
      <w:r>
        <w:t xml:space="preserve"> </w:t>
      </w:r>
      <w:hyperlink r:id="rId44">
        <w:r>
          <w:rPr>
            <w:rStyle w:val="Hyperlink"/>
          </w:rPr>
          <w:t xml:space="preserve">Bonilla Moreno et al. (2027)</w:t>
        </w:r>
      </w:hyperlink>
      <w:r>
        <w:t xml:space="preserve">. Each of these lattice methods keeps one discretisation across cells: a common lattice pattern, a composed parametric cell and one high-order unfitted element per cell, respectively. For unfitted coarse elements, numerical shape functions have also been conditioned against small cuts</w:t>
      </w:r>
      <w:r>
        <w:t xml:space="preserve"> </w:t>
      </w:r>
      <w:hyperlink r:id="rId45">
        <w:r>
          <w:rPr>
            <w:rStyle w:val="Hyperlink"/>
          </w:rPr>
          <w:t xml:space="preserve">Chen &amp; Li (2026)</w:t>
        </w:r>
      </w:hyperlink>
      <w:r>
        <w:t xml:space="preserve">. Learned elements condense an embedded inner domain into a symmetric positive semidefinite interface stiffness</w:t>
      </w:r>
      <w:r>
        <w:t xml:space="preserve"> </w:t>
      </w:r>
      <w:hyperlink r:id="rId46">
        <w:r>
          <w:rPr>
            <w:rStyle w:val="Hyperlink"/>
          </w:rPr>
          <w:t xml:space="preserve">Parish et al. (2024)</w:t>
        </w:r>
      </w:hyperlink>
      <w:r>
        <w:t xml:space="preserve">. Convex neural energy elements learn boundary energies from targets computed with the exact condensed stiffness and recover the interior fields by exact lifting</w:t>
      </w:r>
      <w:r>
        <w:t xml:space="preserve"> </w:t>
      </w:r>
      <w:hyperlink r:id="rId47">
        <w:r>
          <w:rPr>
            <w:rStyle w:val="Hyperlink"/>
          </w:rPr>
          <w:t xml:space="preserve">Jiang, H. et al. (2026)</w:t>
        </w:r>
      </w:hyperlink>
      <w:r>
        <w:t xml:space="preserve">. NICE learns the displacement recovery itself. A single corrected recovery operator</w:t>
      </w:r>
      <w:r>
        <w:t xml:space="preserve"> </w:t>
      </w:r>
      <m:oMath>
        <m:r>
          <m:t>F</m:t>
        </m:r>
      </m:oMath>
      <w:r>
        <w:t xml:space="preserve">, built without an interior factorisation and applied without forming a matrix, defines the assembled condensed stiffness, the recovered displacements and the thickness sensitivities.</w:t>
      </w:r>
    </w:p>
    <w:p>
      <w:pPr>
        <w:pStyle w:val="BodyText"/>
      </w:pPr>
      <w:r>
        <w:t xml:space="preserve">The place where the approximation is improved also differs. Inexact substructuring methods</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t xml:space="preserve">improve approximate subdomain and coarse solves inside a preconditioner, and their iteration converges to the exact discrete solution (Section 6.2). In a nonlinear example, convex neural energy elements refine the exact lifting by Newton steps and differentiate through these steps</w:t>
      </w:r>
      <w:r>
        <w:t xml:space="preserve"> </w:t>
      </w:r>
      <w:hyperlink r:id="rId47">
        <w:r>
          <w:rPr>
            <w:rStyle w:val="Hyperlink"/>
          </w:rPr>
          <w:t xml:space="preserve">Jiang, H. et al. (2026)</w:t>
        </w:r>
      </w:hyperlink>
      <w:r>
        <w:t xml:space="preserve">. Component reduced-basis methods bound the error of the component or assembled solution a posteriori</w:t>
      </w:r>
      <w:r>
        <w:t xml:space="preserve"> </w:t>
      </w:r>
      <w:hyperlink r:id="rId39">
        <w:r>
          <w:rPr>
            <w:rStyle w:val="Hyperlink"/>
          </w:rPr>
          <w:t xml:space="preserve">Huynh et al. (2013)</w:t>
        </w:r>
      </w:hyperlink>
      <w:r>
        <w:t xml:space="preserve">. NICE provides a computable interior residual instead of a certified bound (Eq. (7)). Its correction acts on the interior displacements of each cell at fixed retained displacements, inside the strain energy that defines the condensed stiffness, and therefore changes the assembled condensed stiffness.</w:t>
      </w:r>
    </w:p>
    <w:p>
      <w:pPr>
        <w:pStyle w:val="BodyText"/>
      </w:pPr>
      <w:r>
        <w:t xml:space="preserve">Learning has also been combined with multilevel and domain decomposition solvers. Examples are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machine-learning-assisted adaptive FETI-DP coarse spaces</w:t>
      </w:r>
      <w:r>
        <w:t xml:space="preserve"> </w:t>
      </w:r>
      <w:hyperlink r:id="rId53">
        <w:r>
          <w:rPr>
            <w:rStyle w:val="Hyperlink"/>
          </w:rPr>
          <w:t xml:space="preserve">Heinlein et al. (2021)</w:t>
        </w:r>
      </w:hyperlink>
      <w:r>
        <w:t xml:space="preserve"> </w:t>
      </w:r>
      <w:r>
        <w:t xml:space="preserve">and networks trained through the solver</w:t>
      </w:r>
      <w:r>
        <w:t xml:space="preserve"> </w:t>
      </w:r>
      <w:hyperlink r:id="rId54">
        <w:r>
          <w:rPr>
            <w:rStyle w:val="Hyperlink"/>
          </w:rPr>
          <w:t xml:space="preserve">Um et al. (2020)</w:t>
        </w:r>
      </w:hyperlink>
      <w:r>
        <w:t xml:space="preserve">. Hybrid neural solvers combine learned predictions with relaxation, learned inverse actions or coarse spaces</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t xml:space="preserve">. In optimisation without scale separation, spectral multiscale coarse bases</w:t>
      </w:r>
      <w:r>
        <w:t xml:space="preserve"> </w:t>
      </w:r>
      <w:hyperlink r:id="rId58">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59">
        <w:r>
          <w:rPr>
            <w:rStyle w:val="Hyperlink"/>
          </w:rPr>
          <w:t xml:space="preserve">Alexandersen &amp; Lazarov (2015)</w:t>
        </w:r>
      </w:hyperlink>
      <w:r>
        <w:t xml:space="preserve">. Geometry-aware neural operators and graph networks</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t xml:space="preserve">, multigrid-structured operators</w:t>
      </w:r>
      <w:r>
        <w:t xml:space="preserve"> </w:t>
      </w:r>
      <w:hyperlink r:id="rId63">
        <w:r>
          <w:rPr>
            <w:rStyle w:val="Hyperlink"/>
          </w:rPr>
          <w:t xml:space="preserve">He et al. (2024)</w:t>
        </w:r>
      </w:hyperlink>
      <w:r>
        <w:t xml:space="preserve">, learned Green's functions</w:t>
      </w:r>
      <w:r>
        <w:t xml:space="preserve"> </w:t>
      </w:r>
      <w:hyperlink r:id="rId64">
        <w:r>
          <w:rPr>
            <w:rStyle w:val="Hyperlink"/>
          </w:rPr>
          <w:t xml:space="preserve">Boullé &amp; Townsend (2023)</w:t>
        </w:r>
      </w:hyperlink>
      <w:r>
        <w:t xml:space="preserve"> </w:t>
      </w:r>
      <w:r>
        <w:t xml:space="preserve">and training by energy minimisation</w:t>
      </w:r>
      <w:r>
        <w:t xml:space="preserve"> </w:t>
      </w:r>
      <w:hyperlink r:id="rId65">
        <w:r>
          <w:rPr>
            <w:rStyle w:val="Hyperlink"/>
          </w:rPr>
          <w:t xml:space="preserve">E &amp; Yu (2018)</w:t>
        </w:r>
      </w:hyperlink>
      <w:r>
        <w:t xml:space="preserve"> </w:t>
      </w:r>
      <w:r>
        <w:t xml:space="preserve">learn the solution map of the whole problem. Most neural operators learn maps that are nonlinear in their input and do not obey superposition. The strain energy of the predicted field is then not a quadratic form in the retained displacements, and the properties of the condensed stiffness rest on this quadratic form. The methods above accelerate a global solve or approximate the solution of the whole problem. In NICE, the learned map recovers the displacements of a single cell from its retained displacements, and the strain energy of these displacements defines a condensed stiffness that can be assembled, differentiated and improved.</w:t>
      </w:r>
    </w:p>
    <w:p>
      <w:pPr>
        <w:pStyle w:val="BodyText"/>
      </w:pPr>
      <w:r>
        <w:t xml:space="preserve">Static condensation is itself a two-level method. The exact recovery</w:t>
      </w:r>
      <w:r>
        <w:t xml:space="preserve"> </w:t>
      </w:r>
      <m:oMath>
        <m:r>
          <m:t>E</m:t>
        </m:r>
      </m:oMath>
      <w:r>
        <w:t xml:space="preserve"> </w:t>
      </w:r>
      <w:r>
        <w:t xml:space="preserve">maps the retained displacements to the equilibrium displacements of the whole cell. In algebraic multigrid terms,</w:t>
      </w:r>
      <w:r>
        <w:t xml:space="preserve"> </w:t>
      </w:r>
      <m:oMath>
        <m:r>
          <m:t>E</m:t>
        </m:r>
      </m:oMath>
      <w:r>
        <w:t xml:space="preserve"> </w:t>
      </w:r>
      <w:r>
        <w:t xml:space="preserve">is the ideal interpolation from the retained to all degrees of freedom, and</w:t>
      </w:r>
      <w:r>
        <w:t xml:space="preserve"> </w:t>
      </w:r>
      <m:oMath>
        <m:r>
          <m:t>S</m:t>
        </m:r>
        <m:r>
          <m:rPr>
            <m:sty m:val="p"/>
          </m:rPr>
          <m:t>=</m:t>
        </m:r>
        <m:sSup>
          <m:e>
            <m:r>
              <m:t>E</m:t>
            </m:r>
          </m:e>
          <m:sup>
            <m:r>
              <m:t>T</m:t>
            </m:r>
          </m:sup>
        </m:sSup>
        <m:r>
          <m:t>K</m:t>
        </m:r>
        <m:r>
          <m:t>E</m:t>
        </m:r>
      </m:oMath>
      <w:r>
        <w:t xml:space="preserve"> </w:t>
      </w:r>
      <w:r>
        <w:t xml:space="preserve">is the corresponding coarse-grid matrix</w:t>
      </w:r>
      <w:r>
        <w:t xml:space="preserve"> </w:t>
      </w:r>
      <w:hyperlink r:id="rId66">
        <w:r>
          <w:rPr>
            <w:rStyle w:val="Hyperlink"/>
          </w:rPr>
          <w:t xml:space="preserve">Falgout &amp; Vassilevski (2004)</w:t>
        </w:r>
      </w:hyperlink>
      <w:r>
        <w:t xml:space="preserve">. NICE replaces</w:t>
      </w:r>
      <w:r>
        <w:t xml:space="preserve"> </w:t>
      </w:r>
      <m:oMath>
        <m:r>
          <m:t>E</m:t>
        </m:r>
      </m:oMath>
      <w:r>
        <w:t xml:space="preserve"> </w:t>
      </w:r>
      <w:r>
        <w:t xml:space="preserve">by a recovery operator</w:t>
      </w:r>
      <w:r>
        <w:t xml:space="preserve"> </w:t>
      </w:r>
      <m:oMath>
        <m:r>
          <m:t>F</m:t>
        </m:r>
      </m:oMath>
      <w:r>
        <w:t xml:space="preserve"> </w:t>
      </w:r>
      <w:r>
        <w:t xml:space="preserve">from the retained to the active degrees of freedom and condenses with the coarse-grid matrix</w:t>
      </w:r>
      <w:r>
        <w:t xml:space="preserve"> </w:t>
      </w:r>
      <m:oMath>
        <m:acc>
          <m:accPr>
            <m:chr m:val="̂"/>
          </m:accPr>
          <m:e>
            <m:r>
              <m:t>S</m:t>
            </m:r>
          </m:e>
        </m:acc>
        <m:r>
          <m:rPr>
            <m:sty m:val="p"/>
          </m:rPr>
          <m:t>=</m:t>
        </m:r>
        <m:sSup>
          <m:e>
            <m:r>
              <m:t>F</m:t>
            </m:r>
          </m:e>
          <m:sup>
            <m:r>
              <m:t>T</m:t>
            </m:r>
          </m:sup>
        </m:sSup>
        <m:r>
          <m:t>K</m:t>
        </m:r>
        <m:r>
          <m:t>F</m:t>
        </m:r>
      </m:oMath>
      <w:r>
        <w:t xml:space="preserve"> </w:t>
      </w:r>
      <w:r>
        <w:t xml:space="preserve">of this interpolation; a network predicts this operator, and the two-grid cycle then smooths it. Smoothed-aggregation multigrid similarly improves a tentative prolongation by smoothing</w:t>
      </w:r>
      <w:r>
        <w:t xml:space="preserve"> </w:t>
      </w:r>
      <w:hyperlink r:id="rId67">
        <w:r>
          <w:rPr>
            <w:rStyle w:val="Hyperlink"/>
          </w:rPr>
          <w:t xml:space="preserve">Vaněk et al. (1996)</w:t>
        </w:r>
      </w:hyperlink>
      <w:r>
        <w:t xml:space="preserve">. The operator</w:t>
      </w:r>
      <w:r>
        <w:t xml:space="preserve"> </w:t>
      </w:r>
      <m:oMath>
        <m:r>
          <m:t>F</m:t>
        </m:r>
      </m:oMath>
      <w:r>
        <w:t xml:space="preserve"> </w:t>
      </w:r>
      <w:r>
        <w:t xml:space="preserve">is nonlinear in the cell geometry and linear in the retained displacements. Learned multigrid prolongations</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t xml:space="preserve">are likewise nonlinear in the operator and linear in the vector they act on, but they serve as part of a solver. The operator</w:t>
      </w:r>
      <w:r>
        <w:t xml:space="preserve"> </w:t>
      </w:r>
      <m:oMath>
        <m:r>
          <m:t>F</m:t>
        </m:r>
      </m:oMath>
      <w:r>
        <w:t xml:space="preserve"> </w:t>
      </w:r>
      <w:r>
        <w:t xml:space="preserve">instead defines a component model: it serves sets of retained degrees of freedom that change with the cut, and its coarse-grid matrix is assembled into the lattice and differentiated in design.</w:t>
      </w:r>
    </w:p>
    <w:p>
      <w:pPr>
        <w:pStyle w:val="Heading2"/>
      </w:pPr>
      <w:r>
        <w:t xml:space="preserve">2. Cut cells, static condensation and the design problem</w:t>
      </w:r>
    </w:p>
    <w:p>
      <w:pPr>
        <w:pStyle w:val="FirstParagraph"/>
      </w:pPr>
      <w:r>
        <w:t xml:space="preserve">The cells are discretised by a stabilised cut finite element method (CutFEM)</w:t>
      </w:r>
      <w:r>
        <w:t xml:space="preserve"> </w:t>
      </w:r>
      <w:hyperlink r:id="rId68">
        <w:r>
          <w:rPr>
            <w:rStyle w:val="Hyperlink"/>
          </w:rPr>
          <w:t xml:space="preserve">Burman et al. (2015)</w:t>
        </w:r>
      </w:hyperlink>
      <w:r>
        <w:t xml:space="preserve"> </w:t>
      </w:r>
      <w:r>
        <w:t xml:space="preserve">on a fixed Cartesian background mesh. The walls and the cut are not meshed. They determine which background elements are active, and they enter the stiffness through integrals over the material part of each element. A change of wall thickness or of the cut therefore requires no remeshing, and the thickness sensitivity follows from the derivatives of these integrals (Appendix H). All cells also lie on the same background mesh, on which the network of Section 3.2 defines its fixed grid hierarchy. However, the active elements change with the geometry, and so does the set of retained degrees of freedom. Sections 3 and 4 must account for this change. Their relations use only the symmetry and positive semidefiniteness of the resulting stiffness matrix and the positive definiteness of its interior block.</w:t>
      </w:r>
    </w:p>
    <w:p>
      <w:pPr>
        <w:pStyle w:val="Heading3"/>
      </w:pPr>
      <w:r>
        <w:t xml:space="preserve">2.1. Geometry and finite element model</w:t>
      </w:r>
    </w:p>
    <w:p>
      <w:pPr>
        <w:pStyle w:val="FirstParagraph"/>
      </w:pPr>
      <w:r>
        <w:t xml:space="preserve">This paper considers three-dimensional thin-walled cells based on triply periodic minimal surfaces (TPMS). Each cell occupies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of a cell is defined by a Schwarz-P-type trigonometric level-set function,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w:t>
      </w:r>
      <w:r>
        <w:t xml:space="preserve">are interpolated by the trilinear functions</w:t>
      </w:r>
      <w:r>
        <w:t xml:space="preserve"> </w:t>
      </w:r>
      <m:oMath>
        <m:sSubSup>
          <m:e>
            <m:r>
              <m:t>N</m:t>
            </m:r>
          </m:e>
          <m:sub>
            <m:r>
              <m:t>c</m:t>
            </m:r>
          </m:sub>
          <m:sup>
            <m:sSub>
              <m:e>
                <m:r>
                  <m:t>Q</m:t>
                </m:r>
              </m:e>
              <m:sub>
                <m:r>
                  <m:t>1</m:t>
                </m:r>
              </m:sub>
            </m:sSub>
          </m:sup>
        </m:sSubSup>
      </m:oMath>
      <w:r>
        <w:t xml:space="preserve">. They set the width of the implicit band, and thereby the wall thickness and the material distribution. They are called corner thickness parameters, and the derivatives with respect to them are called thickness sensitivities. When the eight corner values are collected in a vector,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i"/>
          </m:rPr>
          <m:t>n</m:t>
        </m:r>
      </m:oMath>
      <w:r>
        <w:t xml:space="preserve">, which points away from the material that remains after the cut. For an uncut cell, the half-space constraint is omitted. The symbol</w:t>
      </w:r>
      <w:r>
        <w:t xml:space="preserve"> </w:t>
      </w:r>
      <m:oMath>
        <m:r>
          <m:t>η</m:t>
        </m:r>
      </m:oMath>
      <w:r>
        <w:t xml:space="preserve"> </w:t>
      </w:r>
      <w:r>
        <w:t xml:space="preserve">collects the geometry, material and discretisation parameters.</w:t>
      </w:r>
    </w:p>
    <w:p>
      <w:pPr>
        <w:pStyle w:val="BodyText"/>
      </w:pPr>
      <w:r>
        <w:t xml:space="preserve">The displacements are approximated by continuous tensor-product</w:t>
      </w:r>
      <w:r>
        <w:t xml:space="preserve"> </w:t>
      </w:r>
      <m:oMath>
        <m:sSub>
          <m:e>
            <m:r>
              <m:t>Q</m:t>
            </m:r>
          </m:e>
          <m:sub>
            <m:r>
              <m:t>2</m:t>
            </m:r>
          </m:sub>
        </m:sSub>
      </m:oMath>
      <w:r>
        <w:t xml:space="preserve"> </w:t>
      </w:r>
      <w:r>
        <w:t xml:space="preserve">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certified by interval enclosures of the level-set and band functions over the element (Appendix A.1). The displacement degrees of freedom (DOFs) of the nodes of the active elements are called the active DOFs. Integration over the material domain gives the elastic stiffness of the walls. Ghost-penalty stabilisation</w:t>
      </w:r>
      <w:r>
        <w:t xml:space="preserve"> </w:t>
      </w:r>
      <w:hyperlink r:id="rId69">
        <w:r>
          <w:rPr>
            <w:rStyle w:val="Hyperlink"/>
          </w:rPr>
          <w:t xml:space="preserve">Burman (2010)</w:t>
        </w:r>
      </w:hyperlink>
      <w:r>
        <w:t xml:space="preserve"> </w:t>
      </w:r>
      <w:r>
        <w:t xml:space="preserve">adds terms that couple neighbouring active elements. These terms control the effect of small cuts, which are active elements that contain very little material</w:t>
      </w:r>
      <w:r>
        <w:t xml:space="preserve"> </w:t>
      </w:r>
      <w:hyperlink r:id="rId68">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The reference solution in this work is the equilibrium of this discrete system. All errors are measured against this discrete solution, not against the solution of the continuum problem. Figure 1 shows a cut lattice and one of its cut cells. Table 1 (Section 5.1) lists the settings of the examples, and Appendix A gives the details of integration and assembly.</w:t>
      </w:r>
    </w:p>
    <w:p>
      <w:pPr>
        <w:pStyle w:val="Heading3"/>
      </w:pPr>
      <w:r>
        <w:t xml:space="preserve">2.2.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One part contains the DOFs of the cell-face nodes of every material patch of positive area on the cell faces. The other part contains all displacement DOFs of the active elements that carry a cut-surface patch of positive area. These elements form the layer of active elements intersected by the cut plane and are called the cut-plane elements. Some of their nodes lie away from the cut plane, but the basis functions of these nodes contribute to the displacement and the virtual work on that plane.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Boundary loads act through</w:t>
      </w:r>
      <w:r>
        <w:t xml:space="preserve"> </w:t>
      </w:r>
      <m:oMath>
        <m:r>
          <m:t>q</m:t>
        </m:r>
      </m:oMath>
      <w:r>
        <w:t xml:space="preserve">, and interior body loads are zero.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t>E</m:t>
        </m:r>
      </m:oMath>
      <w:r>
        <w:t xml:space="preserve"> </w:t>
      </w:r>
      <w:r>
        <w:t xml:space="preserve">and the exact condensed stiffness</w:t>
      </w:r>
      <w:r>
        <w:t xml:space="preserve"> </w:t>
      </w:r>
      <m:oMath>
        <m:r>
          <m:t>S</m:t>
        </m:r>
      </m:oMath>
      <w:r>
        <w:t xml:space="preserve">, that is, the Schur complement:</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consists of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(Appendix A.1). The geometry generator accepts only cells whose active elements form a single face-connected set. In addition, material that is connected only through partially filled elements is coupled through shared basis functions and the ghost penalty. The interior block</w:t>
      </w:r>
      <w:r>
        <w:t xml:space="preserve"> </w:t>
      </w:r>
      <m:oMath>
        <m:r>
          <m:t>A</m:t>
        </m:r>
      </m:oMath>
      <w:r>
        <w:t xml:space="preserve"> </w:t>
      </w:r>
      <w:r>
        <w:t xml:space="preserve">is then positive definite, because an interior field with zero energy would be a rigid-body motion that vanishes on the retained DOFs. Prescribing</w:t>
      </w:r>
      <w:r>
        <w:t xml:space="preserve"> </w:t>
      </w:r>
      <m:oMath>
        <m:r>
          <m:t>q</m:t>
        </m:r>
      </m:oMath>
      <w:r>
        <w:t xml:space="preserve"> </w:t>
      </w:r>
      <w:r>
        <w:t xml:space="preserve">therefore removes every interior motion with zero energy. The exact displacement recovery</w:t>
      </w:r>
      <w:r>
        <w:t xml:space="preserve"> </w:t>
      </w:r>
      <m:oMath>
        <m:r>
          <m:t>u</m:t>
        </m:r>
        <m:r>
          <m:rPr>
            <m:sty m:val="p"/>
          </m:rPr>
          <m:t>=</m:t>
        </m:r>
        <m:r>
          <m:t>E</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w:t>
      </w:r>
    </w:p>
    <w:p>
      <w:pPr>
        <w:pStyle w:val="Heading3"/>
      </w:pPr>
      <w:r>
        <w:t xml:space="preserve">2.3. Assembly, compliance and the design problem</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Coincident cell-face DOFs, identified by their position on the background mesh, are shared between neighbouring cells. Retained DOFs of the cut-plane elements that do not lie on the cell faces belong only to their own substructure. The thickness field on a shared face depends only on the four corner values of that face, and</w:t>
      </w:r>
      <w:r>
        <w:t xml:space="preserve"> </w:t>
      </w:r>
      <m:oMath>
        <m:r>
          <m:t>ϕ</m:t>
        </m:r>
      </m:oMath>
      <w:r>
        <w:t xml:space="preserve"> </w:t>
      </w:r>
      <w:r>
        <w:t xml:space="preserve">is periodic. The material patches of two neighbouring cells therefore coincide on every face that is not intersected by a cut. Where a cut removes material from one side of a face only, the unmatched face DOFs remain DOFs of the cell that carries them. Fixed homogeneous supports are incorporated into</w:t>
      </w:r>
      <w:r>
        <w:t xml:space="preserve"> </w:t>
      </w:r>
      <m:oMath>
        <m:sSub>
          <m:e>
            <m:r>
              <m:t>B</m:t>
            </m:r>
          </m:e>
          <m:sub>
            <m:r>
              <m:t>m</m:t>
            </m:r>
          </m:sub>
        </m:sSub>
      </m:oMath>
      <w:r>
        <w:t xml:space="preserve">. The reference and the approximate assembled systems use the same maps</w:t>
      </w:r>
      <w:r>
        <w:t xml:space="preserve"> </w:t>
      </w:r>
      <m:oMath>
        <m:sSub>
          <m:e>
            <m:r>
              <m:t>B</m:t>
            </m:r>
          </m:e>
          <m:sub>
            <m:r>
              <m:t>m</m:t>
            </m:r>
          </m:sub>
        </m:sSub>
      </m:oMath>
      <w: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Because the interior DOF sets of different cells are disjoint, condensing each cell before assembly gives the same matrix as condensing the assembled fine-scale system. The supported reference matrix</w:t>
      </w:r>
      <w:r>
        <w:t xml:space="preserve"> </w:t>
      </w:r>
      <m:oMath>
        <m:r>
          <m:rPr>
            <m:scr m:val="double-struck"/>
            <m:sty m:val="p"/>
          </m:rPr>
          <m:t>K</m:t>
        </m:r>
      </m:oMath>
      <w:r>
        <w:t xml:space="preserve"> </w:t>
      </w:r>
      <w:r>
        <w:t xml:space="preserve">is assumed to be positive definite.</w:t>
      </w:r>
    </w:p>
    <w:p>
      <w:pPr>
        <w:pStyle w:val="BodyText"/>
      </w:pPr>
      <w:r>
        <w:t xml:space="preserve">The compliance is</w:t>
      </w:r>
      <w:r>
        <w:t xml:space="preserve"> </w:t>
      </w:r>
      <m:oMath>
        <m:r>
          <m:t>C</m:t>
        </m:r>
        <m:r>
          <m:rPr>
            <m:sty m:val="p"/>
          </m:rPr>
          <m:t>=</m:t>
        </m:r>
        <m:sSubSup>
          <m:e>
            <m:r>
              <m:t>f</m:t>
            </m:r>
          </m:e>
          <m:sub>
            <m:r>
              <m:t>g</m:t>
            </m:r>
          </m:sub>
          <m:sup>
            <m:r>
              <m:t>T</m:t>
            </m:r>
          </m:sup>
        </m:sSubSup>
        <m:r>
          <m:t>U</m:t>
        </m:r>
      </m:oMath>
      <w:r>
        <w:t xml:space="preserve">, and its approximation is</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energy error of Section 3.1. The thickness sensitivities of a cell form the eight-component vector</w:t>
      </w:r>
      <w:r>
        <w:t xml:space="preserve"> </w:t>
      </w:r>
      <m:oMath>
        <m:r>
          <m:rPr>
            <m:sty m:val="bi"/>
          </m:rPr>
          <m:t>s</m:t>
        </m:r>
      </m:oMath>
      <w:r>
        <w:t xml:space="preserve"> </w:t>
      </w:r>
      <w:r>
        <w:t xml:space="preserve">of Section 4.2. With</w:t>
      </w:r>
      <w:r>
        <w:t xml:space="preserve"> </w:t>
      </w:r>
      <m:oMath>
        <m:acc>
          <m:accPr>
            <m:chr m:val="̃"/>
          </m:accPr>
          <m:e>
            <m:r>
              <m:rPr>
                <m:sty m:val="bi"/>
              </m:rPr>
              <m:t>s</m:t>
            </m:r>
          </m:e>
        </m:acc>
      </m:oMath>
      <w:r>
        <w:t xml:space="preserve"> </w:t>
      </w:r>
      <w:r>
        <w:t xml:space="preserve">computed from the approximate displacements, their relative error in the Euclidean norm is</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In design, the corner thickness parameters at the lattice vertices are the design variables. They are collected in</w:t>
      </w:r>
      <w:r>
        <w:t xml:space="preserve"> </w:t>
      </w:r>
      <m:oMath>
        <m:sSub>
          <m:e>
            <m:r>
              <m:rPr>
                <m:sty m:val="bi"/>
              </m:rPr>
              <m:t>τ</m:t>
            </m:r>
          </m:e>
          <m:sub>
            <m:r>
              <m:t>g</m:t>
            </m:r>
          </m:sub>
        </m:sSub>
      </m:oMath>
      <w:r>
        <w:t xml:space="preserve"> </w:t>
      </w:r>
      <w:r>
        <w:t xml:space="preserve">and are mapped to the corners of each cell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subject to</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t xml:space="preserve">, where</w:t>
      </w:r>
      <w:r>
        <w:t xml:space="preserve"> </w:t>
      </w:r>
      <m:oMath>
        <m:sSub>
          <m:e>
            <m:r>
              <m:rPr>
                <m:sty m:val="bi"/>
              </m:rPr>
              <m:t>s</m:t>
            </m:r>
          </m:e>
          <m:sub>
            <m:r>
              <m:t>m</m:t>
            </m:r>
          </m:sub>
        </m:sSub>
      </m:oMath>
      <w:r>
        <w:t xml:space="preserve"> </w:t>
      </w:r>
      <w:r>
        <w:t xml:space="preserve">is the eight-component sensitivity vector of cell</w:t>
      </w:r>
      <w:r>
        <w:t xml:space="preserve"> </w:t>
      </w:r>
      <m:oMath>
        <m:r>
          <m:t>m</m:t>
        </m:r>
      </m:oMath>
      <w:r>
        <w:t xml:space="preserve"> </w:t>
      </w:r>
      <w:r>
        <w:t xml:space="preserve">(Section 4.2).</w:t>
      </w:r>
    </w:p>
    <w:p>
      <w:pPr>
        <w:pStyle w:val="BodyText"/>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this design problem must meet three requirements. The matrix</w:t>
      </w:r>
      <w:r>
        <w:t xml:space="preserve"> </w:t>
      </w:r>
      <m:oMath>
        <m:sSub>
          <m:e>
            <m:acc>
              <m:accPr>
                <m:chr m:val="̂"/>
              </m:accPr>
              <m:e>
                <m:r>
                  <m:t>S</m:t>
                </m:r>
              </m:e>
            </m:acc>
          </m:e>
          <m:sub>
            <m:r>
              <m:t>m</m:t>
            </m:r>
          </m:sub>
        </m:sSub>
      </m:oMath>
      <w:r>
        <w:t xml:space="preserve"> </w:t>
      </w:r>
      <w:r>
        <w:t xml:space="preserve">must be symmetric positive semidefinite, and its null space must consist only of the rigid-body modes of the retained DOFs, the columns of</w:t>
      </w:r>
      <w:r>
        <w:t xml:space="preserve"> </w:t>
      </w:r>
      <m:oMath>
        <m:sSub>
          <m:e>
            <m:r>
              <m:t>R</m:t>
            </m:r>
          </m:e>
          <m:sub>
            <m:r>
              <m:t>P</m:t>
            </m:r>
          </m:sub>
        </m:sSub>
      </m:oMath>
      <w:r>
        <w:t xml:space="preserve">. The supported assembled matrix</w:t>
      </w:r>
      <w:r>
        <w:t xml:space="preserve"> </w:t>
      </w:r>
      <m:oMath>
        <m:acc>
          <m:accPr>
            <m:chr m:val="̂"/>
          </m:accPr>
          <m:e>
            <m:r>
              <m:rPr>
                <m:scr m:val="double-struck"/>
                <m:sty m:val="p"/>
              </m:rPr>
              <m:t>K</m:t>
            </m:r>
          </m:e>
        </m:acc>
      </m:oMath>
      <w:r>
        <w:t xml:space="preserve"> </w:t>
      </w:r>
      <w:r>
        <w:t xml:space="preserve">of Eq. (3) must be positive definite; this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The error of</w:t>
      </w:r>
      <w:r>
        <w:t xml:space="preserve"> </w:t>
      </w:r>
      <m:oMath>
        <m:sSub>
          <m:e>
            <m:acc>
              <m:accPr>
                <m:chr m:val="̂"/>
              </m:accPr>
              <m:e>
                <m:r>
                  <m:t>S</m:t>
                </m:r>
              </m:e>
            </m:acc>
          </m:e>
          <m:sub>
            <m:r>
              <m:t>m</m:t>
            </m:r>
          </m:sub>
        </m:sSub>
      </m:oMath>
      <w:r>
        <w:t xml:space="preserve"> </w:t>
      </w:r>
      <w:r>
        <w:t xml:space="preserve">must be traceable to the compliance error</w:t>
      </w:r>
      <w:r>
        <w:t xml:space="preserve"> </w:t>
      </w:r>
      <m:oMath>
        <m:sSub>
          <m:e>
            <m:r>
              <m:t>e</m:t>
            </m:r>
          </m:e>
          <m:sub>
            <m:r>
              <m:t>C</m:t>
            </m:r>
          </m:sub>
        </m:sSub>
      </m:oMath>
      <w:r>
        <w:t xml:space="preserve"> </w:t>
      </w:r>
      <w:r>
        <w:t xml:space="preserve">and to the sensitivity error</w:t>
      </w:r>
      <w:r>
        <w:t xml:space="preserve"> </w:t>
      </w:r>
      <m:oMath>
        <m:sSub>
          <m:e>
            <m:r>
              <m:t>e</m:t>
            </m:r>
          </m:e>
          <m:sub>
            <m:r>
              <m:t>s</m:t>
            </m:r>
          </m:sub>
        </m:sSub>
      </m:oMath>
      <w:r>
        <w:t xml:space="preserve">, which weight this error differently. Section 3 constructs a condensed stiffness that meets these requirements and needs no interior factorisation for a new geometry, even when the cut changes the discrete space. This condensed stiffness can also be improved at deployment without retraining. Sections 3.1 and 4 derive what any recovery operator that satisfies the assumptions of Section 2.4 provides towards these requirements.</w:t>
      </w:r>
    </w:p>
    <w:p>
      <w:pPr>
        <w:pStyle w:val="Heading3"/>
      </w:pPr>
      <w:r>
        <w:t xml:space="preserve">2.4. Assumptions</w:t>
      </w:r>
    </w:p>
    <w:p>
      <w:pPr>
        <w:pStyle w:val="FirstParagraph"/>
      </w:pPr>
      <w:r>
        <w:t xml:space="preserve">Sections 3 and 4 consider an approximate displacement recovery operator</w:t>
      </w:r>
      <w:r>
        <w:t xml:space="preserve"> </w:t>
      </w:r>
      <m:oMath>
        <m:r>
          <m:t>F</m:t>
        </m:r>
      </m:oMath>
      <w:r>
        <w:t xml:space="preserve">, which maps the retained displacements</w:t>
      </w:r>
      <w:r>
        <w:t xml:space="preserve"> </w:t>
      </w:r>
      <m:oMath>
        <m:r>
          <m:t>q</m:t>
        </m:r>
      </m:oMath>
      <w:r>
        <w:t xml:space="preserve"> </w:t>
      </w:r>
      <w:r>
        <w:t xml:space="preserve">of a cell to the displacements</w:t>
      </w:r>
      <w:r>
        <w:t xml:space="preserve"> </w:t>
      </w:r>
      <m:oMath>
        <m:r>
          <m:t>F</m:t>
        </m:r>
        <m:r>
          <m:t>q</m:t>
        </m:r>
      </m:oMath>
      <w:r>
        <w:t xml:space="preserve"> </w:t>
      </w:r>
      <w:r>
        <w:t xml:space="preserve">of all its active DOFs. Propositions 1, 3 and 4 are stated under the following assumptions, which Appendix B.1 states in full. Proposition 2 also uses (A1) and (A2).</w:t>
      </w:r>
    </w:p>
    <w:p>
      <w:pPr>
        <w:pStyle w:val="Compact"/>
        <w:numPr>
          <w:ilvl w:val="0"/>
          <w:numId w:val="1002"/>
        </w:numPr>
      </w:pPr>
      <w:r>
        <w:t xml:space="preserve">(A1) The cell stiffness matrix</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2.2).</w:t>
      </w:r>
    </w:p>
    <w:p>
      <w:pPr>
        <w:pStyle w:val="Compact"/>
        <w:numPr>
          <w:ilvl w:val="0"/>
          <w:numId w:val="1002"/>
        </w:numPr>
      </w:pPr>
      <w:r>
        <w:t xml:space="preserve">(A2) The recovery operator</w:t>
      </w:r>
      <w:r>
        <w:t xml:space="preserve"> </w:t>
      </w:r>
      <m:oMath>
        <m:r>
          <m:t>F</m:t>
        </m:r>
      </m:oMath>
      <w:r>
        <w:t xml:space="preserve"> </w:t>
      </w:r>
      <w:r>
        <w:t xml:space="preserve">is linear and reproduces the retained displacements,</w:t>
      </w:r>
      <w:r>
        <w:t xml:space="preserve"> </w:t>
      </w:r>
      <m:oMath>
        <m:sSub>
          <m:e>
            <m:r>
              <m:t>J</m:t>
            </m:r>
          </m:e>
          <m:sub>
            <m:r>
              <m:t>P</m:t>
            </m:r>
          </m:sub>
        </m:sSub>
        <m:r>
          <m:t>F</m:t>
        </m:r>
        <m:r>
          <m:rPr>
            <m:sty m:val="p"/>
          </m:rPr>
          <m:t>=</m:t>
        </m:r>
        <m:sSub>
          <m:e>
            <m:r>
              <m:t>I</m:t>
            </m:r>
          </m:e>
          <m:sub>
            <m:r>
              <m:t>p</m:t>
            </m:r>
          </m:sub>
        </m:sSub>
      </m:oMath>
      <w:r>
        <w:t xml:space="preserve">. It also reproduces rigid-body motions,</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DOFs, and the supported assembled stiffness matrix</w:t>
      </w:r>
      <w:r>
        <w:t xml:space="preserve"> </w:t>
      </w:r>
      <m:oMath>
        <m:r>
          <m:rPr>
            <m:scr m:val="double-struck"/>
            <m:sty m:val="p"/>
          </m:rPr>
          <m:t>K</m:t>
        </m:r>
      </m:oMath>
      <w:r>
        <w:t xml:space="preserve"> </w:t>
      </w:r>
      <w:r>
        <w:t xml:space="preserve">is positive definite (Section 2.3).</w:t>
      </w:r>
    </w:p>
    <w:p>
      <w:pPr>
        <w:pStyle w:val="Compact"/>
        <w:numPr>
          <w:ilvl w:val="0"/>
          <w:numId w:val="1002"/>
        </w:numPr>
      </w:pPr>
    </w:p>
    <w:p>
      <w:pPr>
        <w:pStyle w:val="Compact"/>
        <w:numPr>
          <w:ilvl w:val="1"/>
          <w:numId w:val="1003"/>
        </w:numPr>
      </w:pPr>
      <w:r>
        <w:t xml:space="preserve">On a design interval, the discrete choices listed in Appendix B.1 are fixed. They include the active elements, the ghost-penalty faces, the retained and interior DOF sets, the assembly maps with the supports, and the load.</w:t>
      </w:r>
    </w:p>
    <w:p>
      <w:pPr>
        <w:pStyle w:val="Heading2"/>
      </w:pPr>
      <w:r>
        <w:t xml:space="preserve">3. The NICE method</w:t>
      </w:r>
    </w:p>
    <w:p>
      <w:pPr>
        <w:pStyle w:val="FirstParagraph"/>
      </w:pPr>
      <w:r>
        <w:t xml:space="preserve">NICE is defined by one operator, the corrected recovery operator</w:t>
      </w:r>
      <w:r>
        <w:t xml:space="preserve"> </w:t>
      </w:r>
      <m:oMath>
        <m:r>
          <m:t>F</m:t>
        </m:r>
      </m:oMath>
      <w:r>
        <w:t xml:space="preserve">, which maps the retained displacements of a cell to the displacements of the whole cell.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follows from the strain energy of the recovered displacement field, and exact static condensation is the case</w:t>
      </w:r>
      <w:r>
        <w:t xml:space="preserve"> </w:t>
      </w:r>
      <m:oMath>
        <m:r>
          <m:t>F</m:t>
        </m:r>
        <m:r>
          <m:rPr>
            <m:sty m:val="p"/>
          </m:rPr>
          <m:t>=</m:t>
        </m:r>
        <m:r>
          <m:t>E</m:t>
        </m:r>
      </m:oMath>
      <w:r>
        <w:t xml:space="preserve">. Section 3.1 computes the condensed stiffness from the strain energy and applies it with the transpose of</w:t>
      </w:r>
      <w:r>
        <w:t xml:space="preserve"> </w:t>
      </w:r>
      <m:oMath>
        <m:r>
          <m:t>F</m:t>
        </m:r>
      </m:oMath>
      <w:r>
        <w:t xml:space="preserve">. For any recovery operator that reproduces the retained displacements and rigid-body motions, the condensed stiffness is then symmetric positive semidefinite and never softer than the exact one. The interior displacements are predicted by a network that takes the cell geometry as input; the network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that the network leaves (Sections 3.3 and 3.4); the network is trained with this correction applied (Section 3.5). Section 3.6 describes how the condensed stiffness is applied. Figure 2 shows how these parts define both the action of the condensed stiffness and the displacements recovered after assembly.</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 condensed stiffness of one cell, assembly and design.</w:t>
      </w:r>
      <w:r>
        <w:t xml:space="preserve"> </w:t>
      </w:r>
      <w:r>
        <w:t xml:space="preserve">(a) The rigid-body part of the retained displacements is separated before the network predicts the interior displacements, so that the network acts only on the deformation. The rigid-body field is then added back and the prescribed retained displacements are restored, which gives</w:t>
      </w:r>
      <w:r>
        <w:t xml:space="preserve"> </w:t>
      </w:r>
      <m:oMath>
        <m:acc>
          <m:accPr>
            <m:chr m:val="̂"/>
          </m:accPr>
          <m:e>
            <m:r>
              <m:t>E</m:t>
            </m:r>
          </m:e>
        </m:acc>
        <m:r>
          <m:t>q</m:t>
        </m:r>
      </m:oMath>
      <w:r>
        <w:t xml:space="preserve">. The two-grid correction</w:t>
      </w:r>
      <w:r>
        <w:t xml:space="preserve"> </w:t>
      </w:r>
      <m:oMath>
        <m:r>
          <m:rPr>
            <m:scr m:val="script"/>
            <m:sty m:val="p"/>
          </m:rPr>
          <m:t>W</m:t>
        </m:r>
      </m:oMath>
      <w:r>
        <w:t xml:space="preserve"> </w:t>
      </w:r>
      <w:r>
        <w:t xml:space="preserve">reduces the interior force imbalance with the retained displacements held fixed, which gives</w:t>
      </w:r>
      <w:r>
        <w:t xml:space="preserve"> </w:t>
      </w:r>
      <m:oMath>
        <m:acc>
          <m:accPr>
            <m:chr m:val="̂"/>
          </m:accPr>
          <m:e>
            <m:r>
              <m:t>u</m:t>
            </m:r>
          </m:e>
        </m:acc>
        <m:r>
          <m:rPr>
            <m:sty m:val="p"/>
          </m:rPr>
          <m:t>=</m:t>
        </m:r>
        <m:r>
          <m:t>F</m:t>
        </m:r>
        <m:r>
          <m:t>q</m:t>
        </m:r>
      </m:oMath>
      <w:r>
        <w:t xml:space="preserve">. Applying the cell stiffness</w:t>
      </w:r>
      <w:r>
        <w:t xml:space="preserve"> </w:t>
      </w:r>
      <m:oMath>
        <m:r>
          <m:t>K</m:t>
        </m:r>
      </m:oMath>
      <w:r>
        <w:t xml:space="preserve"> </w:t>
      </w:r>
      <w:r>
        <w:t xml:space="preserve">and then the transpose</w:t>
      </w:r>
      <w:r>
        <w:t xml:space="preserve"> </w:t>
      </w:r>
      <m:oMath>
        <m:sSup>
          <m:e>
            <m:r>
              <m:t>F</m:t>
            </m:r>
          </m:e>
          <m:sup>
            <m:r>
              <m:t>T</m:t>
            </m:r>
          </m:sup>
        </m:sSup>
      </m:oMath>
      <w:r>
        <w:t xml:space="preserve"> </w:t>
      </w:r>
      <w:r>
        <w:t xml:space="preserve">gives the corresponding nodal forces on the retained DOFs,</w:t>
      </w:r>
      <w:r>
        <w:t xml:space="preserve"> </w:t>
      </w:r>
      <m:oMath>
        <m:acc>
          <m:accPr>
            <m:chr m:val="̂"/>
          </m:accPr>
          <m:e>
            <m:r>
              <m:t>S</m:t>
            </m:r>
          </m:e>
        </m:acc>
        <m:r>
          <m:t>q</m:t>
        </m:r>
      </m:oMath>
      <w:r>
        <w:t xml:space="preserve">. The ordering</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t xml:space="preserve">in (a), where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is that of Proposition 2. This ordering concerns the energy error and does not apply to the sensitivity error. (b) The condensed stiffness matrices of the cells are assembled on the shared cell-face DOFs, and the assembled system is solved. The displacements of every cell are recovered from the assembled solution, and the compliance and the thickness sensitivity are computed. A design iteration updates the corner thickness parameters and therefore changes the geometry of every cell.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r>
          <m:t>F</m:t>
        </m:r>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r>
          <m:t>F</m:t>
        </m:r>
        <m:r>
          <m:t>q</m:t>
        </m:r>
      </m:oMath>
      <w:r>
        <w:t xml:space="preserve"> </w:t>
      </w:r>
      <w:r>
        <w:t xml:space="preserve">of the whole cell. The operator</w:t>
      </w:r>
      <w:r>
        <w:t xml:space="preserve"> </w:t>
      </w:r>
      <m:oMath>
        <m:r>
          <m:t>F</m:t>
        </m:r>
      </m:oMath>
      <w:r>
        <w:t xml:space="preserve"> </w:t>
      </w:r>
      <w:r>
        <w:t xml:space="preserve">must reproduce the retained displacements,</w:t>
      </w:r>
      <w:r>
        <w:t xml:space="preserve"> </w:t>
      </w:r>
      <m:oMath>
        <m:sSub>
          <m:e>
            <m:r>
              <m:t>J</m:t>
            </m:r>
          </m:e>
          <m:sub>
            <m:r>
              <m:t>P</m:t>
            </m:r>
          </m:sub>
        </m:sSub>
        <m:r>
          <m:t>F</m:t>
        </m:r>
        <m:r>
          <m:rPr>
            <m:sty m:val="p"/>
          </m:rPr>
          <m:t>=</m:t>
        </m:r>
        <m:sSub>
          <m:e>
            <m:r>
              <m:t>I</m:t>
            </m:r>
          </m:e>
          <m:sub>
            <m:r>
              <m:t>p</m:t>
            </m:r>
          </m:sub>
        </m:sSub>
      </m:oMath>
      <w:r>
        <w:t xml:space="preserve">, and the rigid-body motions,</w:t>
      </w:r>
      <w:r>
        <w:t xml:space="preserve"> </w:t>
      </w:r>
      <m:oMath>
        <m:r>
          <m:t>F</m:t>
        </m:r>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2.2. Together with linearity, these conditions form assumption (A2) of Section 2.4. In NICE,</w:t>
      </w:r>
      <w:r>
        <w:t xml:space="preserve"> </w:t>
      </w:r>
      <m:oMath>
        <m:r>
          <m:t>F</m:t>
        </m:r>
      </m:oMath>
      <w:r>
        <w:t xml:space="preserve"> </w:t>
      </w:r>
      <w:r>
        <w:t xml:space="preserve">consists of the network recovery operator</w:t>
      </w:r>
      <w:r>
        <w:t xml:space="preserve"> </w:t>
      </w:r>
      <m:oMath>
        <m:acc>
          <m:accPr>
            <m:chr m:val="̂"/>
          </m:accPr>
          <m:e>
            <m:r>
              <m:t>E</m:t>
            </m:r>
          </m:e>
        </m:acc>
      </m:oMath>
      <w:r>
        <w:t xml:space="preserve"> </w:t>
      </w:r>
      <w:r>
        <w:t xml:space="preserve">followed by the two-grid correction</w:t>
      </w:r>
      <w:r>
        <w:t xml:space="preserve"> </w:t>
      </w:r>
      <m:oMath>
        <m:r>
          <m:rPr>
            <m:scr m:val="script"/>
            <m:sty m:val="p"/>
          </m:rPr>
          <m:t>W</m:t>
        </m:r>
      </m:oMath>
      <w:r>
        <w:t xml:space="preserve">, both described at the end of this section. The recovery operator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r>
          <m:t>F</m:t>
        </m:r>
      </m:oMath>
      <w:r>
        <w:t xml:space="preserve">. Only the relation</w:t>
      </w:r>
      <w:r>
        <w:t xml:space="preserve"> </w:t>
      </w:r>
      <m:oMath>
        <m:r>
          <m:t>F</m:t>
        </m:r>
        <m:r>
          <m:rPr>
            <m:sty m:val="p"/>
          </m:rPr>
          <m:t>=</m:t>
        </m:r>
        <m:r>
          <m:rPr>
            <m:scr m:val="script"/>
            <m:sty m:val="p"/>
          </m:rPr>
          <m:t>W</m:t>
        </m:r>
        <m:acc>
          <m:accPr>
            <m:chr m:val="̂"/>
          </m:accPr>
          <m:e>
            <m:r>
              <m:t>E</m:t>
            </m:r>
          </m:e>
        </m:acc>
      </m:oMath>
      <w:r>
        <w:t xml:space="preserve"> </w:t>
      </w:r>
      <w:r>
        <w:t xml:space="preserve">is specific to NICE. The form</w:t>
      </w:r>
      <w:r>
        <w:t xml:space="preserve"> </w:t>
      </w:r>
      <m:oMath>
        <m:acc>
          <m:accPr>
            <m:chr m:val="̂"/>
          </m:accPr>
          <m:e>
            <m:r>
              <m:t>S</m:t>
            </m:r>
          </m:e>
        </m:acc>
        <m:r>
          <m:rPr>
            <m:sty m:val="p"/>
          </m:rPr>
          <m:t>=</m:t>
        </m:r>
        <m:sSup>
          <m:e>
            <m:r>
              <m:t>F</m:t>
            </m:r>
          </m:e>
          <m:sup>
            <m:r>
              <m:t>T</m:t>
            </m:r>
          </m:sup>
        </m:sSup>
        <m:r>
          <m:t>K</m:t>
        </m:r>
        <m:r>
          <m:t>F</m:t>
        </m:r>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19">
        <w:r>
          <w:rPr>
            <w:rStyle w:val="Hyperlink"/>
          </w:rPr>
          <w:t xml:space="preserve">Huang et al. (2023)</w:t>
        </w:r>
      </w:hyperlink>
      <w:r>
        <w:t xml:space="preserve">; NICE, however, does not form</w:t>
      </w:r>
      <w:r>
        <w:t xml:space="preserve"> </w:t>
      </w:r>
      <m:oMath>
        <m:r>
          <m:t>F</m:t>
        </m:r>
      </m:oMath>
      <w:r>
        <w:t xml:space="preserve">. For a virtual retained displacement</w:t>
      </w:r>
      <w:r>
        <w:t xml:space="preserve"> </w:t>
      </w:r>
      <m:oMath>
        <m:r>
          <m:t>δ</m:t>
        </m:r>
        <m:r>
          <m:t>q</m:t>
        </m:r>
      </m:oMath>
      <w:r>
        <w:t xml:space="preserve">, the virtual displacement of the whole cell is</w:t>
      </w:r>
      <w:r>
        <w:t xml:space="preserve"> </w:t>
      </w:r>
      <m:oMath>
        <m:r>
          <m:t>F</m:t>
        </m:r>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stiffness therefore requires the transpose</w:t>
      </w:r>
      <w:r>
        <w:t xml:space="preserve"> </w:t>
      </w:r>
      <m:oMath>
        <m:sSup>
          <m:e>
            <m:r>
              <m:t>F</m:t>
            </m:r>
          </m:e>
          <m:sup>
            <m:r>
              <m:t>T</m:t>
            </m:r>
          </m:sup>
        </m:sSup>
      </m:oMath>
      <w:r>
        <w:t xml:space="preserve"> </w:t>
      </w:r>
      <w:r>
        <w:t xml:space="preserve">after the stiffness action. In NICE, this transpose includes every step of</w:t>
      </w:r>
      <w:r>
        <w:t xml:space="preserve"> </w:t>
      </w:r>
      <m:oMath>
        <m:r>
          <m:t>F</m:t>
        </m:r>
      </m:oMath>
      <w:r>
        <w:t xml:space="preserve">, namely the rigid-body reconstruction, the restoration of the retained displacements and the correction. With</w:t>
      </w:r>
      <w:r>
        <w:t xml:space="preserve"> </w:t>
      </w:r>
      <m:oMath>
        <m:sSub>
          <m:e>
            <m:r>
              <m:t>F</m:t>
            </m:r>
          </m:e>
          <m:sub>
            <m:r>
              <m:t>I</m:t>
            </m:r>
          </m:sub>
        </m:sSub>
        <m:r>
          <m:rPr>
            <m:sty m:val="p"/>
          </m:rPr>
          <m:t>=</m:t>
        </m:r>
        <m:sSub>
          <m:e>
            <m:r>
              <m:t>J</m:t>
            </m:r>
          </m:e>
          <m:sub>
            <m:r>
              <m:t>I</m:t>
            </m:r>
          </m:sub>
        </m:sSub>
        <m:r>
          <m:t>F</m:t>
        </m:r>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r>
          <m:t>F</m:t>
        </m:r>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gather, scatter and grid-transfer maps of the network to be symmetric (Section 3.2). Since the null space of</w:t>
      </w:r>
      <w:r>
        <w:t xml:space="preserve"> </w:t>
      </w:r>
      <m:oMath>
        <m:r>
          <m:t>K</m:t>
        </m:r>
      </m:oMath>
      <w:r>
        <w:t xml:space="preserve"> </w:t>
      </w:r>
      <w:r>
        <w:t xml:space="preserve">consists of the rigid-body modes (Section 2.2) and</w:t>
      </w:r>
      <w:r>
        <w:t xml:space="preserve"> </w:t>
      </w:r>
      <m:oMath>
        <m:r>
          <m:t>F</m:t>
        </m:r>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Appendix B.2 shows that, with this transpose, the error of the condensed stiffness is quadratic in the interior error.</w:t>
      </w:r>
    </w:p>
    <w:p>
      <w:pPr>
        <w:pStyle w:val="BodyText"/>
      </w:pPr>
      <w:r>
        <w:t xml:space="preserve">Under assumption (A1), the exact field</w:t>
      </w:r>
      <w:r>
        <w:t xml:space="preserve"> </w:t>
      </w:r>
      <m:oMath>
        <m:r>
          <m:t>E</m:t>
        </m:r>
        <m:r>
          <m:t>q</m:t>
        </m:r>
      </m:oMath>
      <w:r>
        <w:t xml:space="preserve"> </w:t>
      </w:r>
      <w:r>
        <w:t xml:space="preserve">has the smallest strain energy among all displacement fields with retained displacements</w:t>
      </w:r>
      <w:r>
        <w:t xml:space="preserve"> </w:t>
      </w:r>
      <m:oMath>
        <m:r>
          <m:t>q</m:t>
        </m:r>
      </m:oMath>
      <w:r>
        <w:t xml:space="preserve">, by the principle of minimum potential energy. Any recovery operator</w:t>
      </w:r>
      <w:r>
        <w:t xml:space="preserve"> </w:t>
      </w:r>
      <m:oMath>
        <m:r>
          <m:t>F</m:t>
        </m:r>
      </m:oMath>
      <w:r>
        <w:t xml:space="preserve"> </w:t>
      </w:r>
      <w:r>
        <w:t xml:space="preserve">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t xml:space="preserve">differs from</w:t>
      </w:r>
      <w:r>
        <w:t xml:space="preserve"> </w:t>
      </w:r>
      <m:oMath>
        <m:r>
          <m:t>E</m:t>
        </m:r>
      </m:oMath>
      <w:r>
        <w:t xml:space="preserve"> </w:t>
      </w:r>
      <w:r>
        <w:t xml:space="preserve">only in the interior DOFs. Let</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t>E</m:t>
        </m:r>
        <m:r>
          <m:rPr>
            <m:sty m:val="p"/>
          </m:rPr>
          <m:t>=</m:t>
        </m:r>
        <m:r>
          <m:t>0</m:t>
        </m:r>
      </m:oMath>
      <w:r>
        <w:t xml:space="preserve">, the cross terms between</w:t>
      </w:r>
      <w:r>
        <w:t xml:space="preserve"> </w:t>
      </w:r>
      <m:oMath>
        <m:r>
          <m:t>E</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r>
              <m:t>F</m:t>
            </m:r>
          </m:e>
          <m:sup>
            <m:r>
              <m:t>T</m:t>
            </m:r>
          </m:sup>
        </m:sSup>
        <m:r>
          <m:t>K</m:t>
        </m:r>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in proportion to the energy of its interior error. The error has no first-order term, because the exact field is in interior equilibrium.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t>E</m:t>
        </m:r>
      </m:oMath>
      <w:r>
        <w:t xml:space="preserve">. Evaluating its</w:t>
      </w:r>
      <w:r>
        <w:t xml:space="preserve"> </w:t>
      </w:r>
      <m:oMath>
        <m:sSup>
          <m:e>
            <m:r>
              <m:t>A</m:t>
            </m:r>
          </m:e>
          <m:sup>
            <m:r>
              <m:rPr>
                <m:sty m:val="p"/>
              </m:rPr>
              <m:t>−</m:t>
            </m:r>
            <m:r>
              <m:t>1</m:t>
            </m:r>
          </m:sup>
        </m:sSup>
      </m:oMath>
      <w:r>
        <w:t xml:space="preserve">-norm, however, requires one interior solve per test displacement. A bound on the energy error over all retained displacements follows only from how well the sampled test displacements cover them (Appendices B and G.4). Proposition 1 and the residual form of Eq. (7) are classical results</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t xml:space="preserve">In NICE,</w:t>
      </w:r>
      <w:r>
        <w:t xml:space="preserve"> </w:t>
      </w:r>
      <m:oMath>
        <m:r>
          <m:t>F</m:t>
        </m:r>
        <m:r>
          <m:rPr>
            <m:sty m:val="p"/>
          </m:rPr>
          <m:t>=</m:t>
        </m:r>
        <m:r>
          <m:rPr>
            <m:scr m:val="script"/>
            <m:sty m:val="p"/>
          </m:rPr>
          <m:t>W</m:t>
        </m:r>
        <m:acc>
          <m:accPr>
            <m:chr m:val="̂"/>
          </m:accPr>
          <m:e>
            <m:r>
              <m:t>E</m:t>
            </m:r>
          </m:e>
        </m:acc>
      </m:oMath>
      <w:r>
        <w:t xml:space="preserve">. Section 3.2 constructs the network recovery operator</w:t>
      </w:r>
      <w:r>
        <w:t xml:space="preserve"> </w:t>
      </w:r>
      <m:oMath>
        <m:acc>
          <m:accPr>
            <m:chr m:val="̂"/>
          </m:accPr>
          <m:e>
            <m:r>
              <m:t>E</m:t>
            </m:r>
          </m:e>
        </m:acc>
      </m:oMath>
      <w:r>
        <w:t xml:space="preserve">, which reproduces the retained displacements,</w:t>
      </w:r>
      <w:r>
        <w:t xml:space="preserve"> </w:t>
      </w:r>
      <m:oMath>
        <m:sSub>
          <m:e>
            <m:r>
              <m:t>J</m:t>
            </m:r>
          </m:e>
          <m:sub>
            <m:r>
              <m:t>P</m:t>
            </m:r>
          </m:sub>
        </m:sSub>
        <m:acc>
          <m:accPr>
            <m:chr m:val="̂"/>
          </m:accPr>
          <m:e>
            <m:r>
              <m:t>E</m:t>
            </m:r>
          </m:e>
        </m:acc>
        <m:r>
          <m:rPr>
            <m:sty m:val="p"/>
          </m:rPr>
          <m:t>=</m:t>
        </m:r>
        <m:sSub>
          <m:e>
            <m:r>
              <m:t>I</m:t>
            </m:r>
          </m:e>
          <m:sub>
            <m:r>
              <m:t>p</m:t>
            </m:r>
          </m:sub>
        </m:sSub>
      </m:oMath>
      <w:r>
        <w:t xml:space="preserve">, and the rigid-body motions,</w:t>
      </w:r>
      <w:r>
        <w:t xml:space="preserve"> </w:t>
      </w:r>
      <m:oMath>
        <m:acc>
          <m:accPr>
            <m:chr m:val="̂"/>
          </m:accPr>
          <m:e>
            <m:r>
              <m:t>E</m:t>
            </m:r>
          </m:e>
        </m:acc>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Taking</w:t>
      </w:r>
      <w:r>
        <w:t xml:space="preserve"> </w:t>
      </w:r>
      <m:oMath>
        <m:r>
          <m:rPr>
            <m:scr m:val="script"/>
            <m:sty m:val="p"/>
          </m:rPr>
          <m:t>W</m:t>
        </m:r>
      </m:oMath>
      <w:r>
        <w:t xml:space="preserve"> </w:t>
      </w:r>
      <w:r>
        <w:t xml:space="preserve">as the identity gives the uncorrected recovery</w:t>
      </w:r>
      <w:r>
        <w:t xml:space="preserve"> </w:t>
      </w:r>
      <m:oMath>
        <m:r>
          <m:t>F</m:t>
        </m:r>
        <m:r>
          <m:rPr>
            <m:sty m:val="p"/>
          </m:rPr>
          <m:t>=</m:t>
        </m:r>
        <m:acc>
          <m:accPr>
            <m:chr m:val="̂"/>
          </m:accPr>
          <m:e>
            <m:r>
              <m:t>E</m:t>
            </m:r>
          </m:e>
        </m:acc>
      </m:oMath>
      <w:r>
        <w:t xml:space="preserve">. For each geometry, the steps of the cycle and their coefficients are fixed independently of the retained displacements.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r>
          <m:t>F</m:t>
        </m:r>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r>
          <m:t>F</m:t>
        </m:r>
      </m:oMath>
      <w:r>
        <w:t xml:space="preserve">, which Sections 3.3 and 3.4 reduce. After the assembled system is solved,</w:t>
      </w:r>
      <w:r>
        <w:t xml:space="preserve"> </w:t>
      </w:r>
      <m:oMath>
        <m:sSub>
          <m:e>
            <m:r>
              <m:t>F</m:t>
            </m:r>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verifies the three properties numerically.</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One network therefore serves the sets of retained DOFs of all geometries within the range covered by training. The element moments are the integrals of local monomials over the material part of each background element (Appendix A.1). They enter as geometry input, because the wall surfaces and the cut plane intersect the background elements. The map from the retained displacements to the interior displacements couples distant parts of the cell. A U-shaped grid hierarchy, which passes the features to successively coarser grids and back, carries this long-range coupling.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The columns of</w:t>
      </w:r>
      <w:r>
        <w:t xml:space="preserve"> </w:t>
      </w:r>
      <m:oMath>
        <m:r>
          <m:t>R</m:t>
        </m:r>
      </m:oMath>
      <w:r>
        <w:t xml:space="preserve"> </w:t>
      </w:r>
      <w:r>
        <w:t xml:space="preserve">are 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Together they split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Coefficient heads, which are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which carry retained DOFs, and sets the features of the interior nodes to zero. This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It then mixes the channels within each head and scatters the result back to the nodes of the stencil. Let</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be 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This work does not depend on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therefore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The former results from the final overwrite of the retained displacements, and the latter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In exact arithmetic, the returned nodal forces are therefore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The grid hierarchy carries information between distant parts of the cell, as the coarse levels do in multigrid. The resemblance is limited to the data flow. The branch never applies the stiffness matrix and does not compute residuals, nor is the equilibrium solution of the interior problem a fixed point of its layers.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 vectors with 64 channels, which then exchange information in two residual rounds. Coefficient heads compute from these vectors the coefficients of the local interactions, the grid transfers and the convolutions. The heads of the local interactions also receive a position embedding, which identifies the local node position within a stencil (Appendix G.1). (b) Displacement branch. The retained displacements, with their rigid-body part removed, pass through four pairs of local interactions, the grid hierarchy, four further pairs and four pairs on stencils that contain weakly connected nodes (labelled 'Weak'). Linear maps convert the three displacement components to 32 feature channels at the input and back at the output. Bypass paths without learned parameters reconstruct the rigid-body motion and restore the prescribed retained displacements. (c) Multiscale displacement propagation. Restriction</w:t>
      </w:r>
      <w:r>
        <w:t xml:space="preserve"> </w:t>
      </w:r>
      <m:oMath>
        <m:r>
          <m:rPr>
            <m:scr m:val="script"/>
            <m:sty m:val="p"/>
          </m:rPr>
          <m:t>R</m:t>
        </m:r>
      </m:oMath>
      <w:r>
        <w:t xml:space="preserve"> </w:t>
      </w:r>
      <w:r>
        <w:t xml:space="preserve">and prolongation</w:t>
      </w:r>
      <w:r>
        <w:t xml:space="preserve"> </w:t>
      </w:r>
      <m:oMath>
        <m:r>
          <m:rPr>
            <m:scr m:val="script"/>
            <m:sty m:val="p"/>
          </m:rPr>
          <m:t>I</m:t>
        </m:r>
      </m:oMath>
      <w:r>
        <w:t xml:space="preserve"> </w:t>
      </w:r>
      <w:r>
        <w:t xml:space="preserve">connect the grids of the hierarchy, which have 65, 33, 17 and 9 background positions per axis. Each coarse grid applies two residual convolutions on the downward pass and two on the upward pass. (d) Local interaction. The features at the 27 local nodes of a stencil are gathered with geometry-dependent weights into four heads, and the channels are mixed within each head. The result is scattered back to the nodes and added to the incoming features, and the retained features are then restored. E and G denote element and ghost-face interactions. Blue dashed arrows carry geometry-dependent coefficients, and solid arrows carry features or displacements. For fixed geometry, the complete displacement path is linear.</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while the retained displacements are held fixed. Polynomial smoothing</w:t>
      </w:r>
      <w:r>
        <w:t xml:space="preserve"> </w:t>
      </w:r>
      <w:hyperlink r:id="rId78">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The generalised eigenvectors</w:t>
      </w:r>
      <w:r>
        <w:t xml:space="preserve"> </w:t>
      </w:r>
      <m:oMath>
        <m:sSub>
          <m:e>
            <m:r>
              <m:t>v</m:t>
            </m:r>
          </m:e>
          <m:sub>
            <m:r>
              <m:t>j</m:t>
            </m:r>
          </m:sub>
        </m:sSub>
      </m:oMath>
      <w:r>
        <w:t xml:space="preserve"> </w:t>
      </w:r>
      <w:r>
        <w:t xml:space="preserve">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and they are ordered by increasing eigenvalue.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gives the part of the error energy that lies in the first</w:t>
      </w:r>
      <w:r>
        <w:t xml:space="preserve"> </w:t>
      </w:r>
      <m:oMath>
        <m:r>
          <m:t>ℓ</m:t>
        </m:r>
      </m:oMath>
      <w:r>
        <w:t xml:space="preserve"> </w:t>
      </w:r>
      <w:r>
        <w:t xml:space="preserve">Jacobi-scaled interior modes. 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is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Chebyshev semi-iteration with Jacobi preconditioning</w:t>
      </w:r>
      <w:r>
        <w:t xml:space="preserve"> </w:t>
      </w:r>
      <w:hyperlink r:id="rId25">
        <w:r>
          <w:rPr>
            <w:rStyle w:val="Hyperlink"/>
          </w:rPr>
          <w:t xml:space="preserve">Golub &amp; Varga (1961)</w:t>
        </w:r>
      </w:hyperlink>
      <w:r>
        <w:t xml:space="preserve"> </w:t>
      </w:r>
      <w:r>
        <w:t xml:space="preserve">improves this approximation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Smoothing a learned initial approximation in this way resembles the smoothing of a tentative prolongation in smoothed aggregation</w:t>
      </w:r>
      <w:r>
        <w:t xml:space="preserve"> </w:t>
      </w:r>
      <w:hyperlink r:id="rId67">
        <w:r>
          <w:rPr>
            <w:rStyle w:val="Hyperlink"/>
          </w:rPr>
          <w:t xml:space="preserve">Vaněk et al. (1996)</w:t>
        </w:r>
      </w:hyperlink>
      <w:r>
        <w:t xml:space="preserve">. It also resembles hybrid solvers in which relaxation removes the high-frequency error that a learned prediction leaves</w:t>
      </w:r>
      <w:r>
        <w:t xml:space="preserve"> </w:t>
      </w:r>
      <w:hyperlink r:id="rId55">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Smoothing therefore multiplies each coefficient</w:t>
      </w:r>
      <w:r>
        <w:t xml:space="preserve"> </w:t>
      </w:r>
      <m:oMath>
        <m:sSub>
          <m:e>
            <m:r>
              <m:t>c</m:t>
            </m:r>
          </m:e>
          <m:sub>
            <m:r>
              <m:t>j</m:t>
            </m:r>
          </m:sub>
        </m:sSub>
      </m:oMath>
      <w:r>
        <w:t xml:space="preserve"> </w:t>
      </w:r>
      <w:r>
        <w:t xml:space="preserve">in Eq. (10)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It does not increase the error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with eigenvalues below</w:t>
      </w:r>
      <w:r>
        <w:t xml:space="preserve"> </w:t>
      </w:r>
      <m:oMath>
        <m:r>
          <m:t>a</m:t>
        </m:r>
      </m:oMath>
      <w:r>
        <w:t xml:space="preserve"> </w:t>
      </w:r>
      <w:r>
        <w:t xml:space="preserve">can decay slowly, which motivates the complementary coarse-grid correction of Section 3.4. The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increased by 5%. Section 5.2 verifies that</w:t>
      </w:r>
      <w:r>
        <w:t xml:space="preserve"> </w:t>
      </w:r>
      <m:oMath>
        <m:r>
          <m:t>b</m:t>
        </m:r>
      </m:oMath>
      <w:r>
        <w:t xml:space="preserve"> </w:t>
      </w:r>
      <w:r>
        <w:t xml:space="preserve">bounds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The last relation in Eq. (11) gives the energy removed by this projection</w:t>
      </w:r>
      <w:r>
        <w:t xml:space="preserve"> </w:t>
      </w:r>
      <w:hyperlink r:id="rId2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two-grid cycle places the coarse-grid correction between two smoothing stages of</w:t>
      </w:r>
      <w:r>
        <w:t xml:space="preserve"> </w:t>
      </w:r>
      <m:oMath>
        <m:r>
          <m:t>k</m:t>
        </m:r>
      </m:oMath>
      <w:r>
        <w:t xml:space="preserve"> </w:t>
      </w:r>
      <w:r>
        <w:t xml:space="preserve">steps each. This cycle is the correction</w:t>
      </w:r>
      <w:r>
        <w:t xml:space="preserve"> </w:t>
      </w:r>
      <m:oMath>
        <m:r>
          <m:rPr>
            <m:scr m:val="script"/>
            <m:sty m:val="p"/>
          </m:rPr>
          <m:t>W</m:t>
        </m:r>
      </m:oMath>
      <w:r>
        <w:t xml:space="preserve"> </w:t>
      </w:r>
      <w:r>
        <w:t xml:space="preserve">of Section 3.1.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r>
          <m:t>F</m:t>
        </m:r>
      </m:oMath>
      <w:r>
        <w:t xml:space="preserve">. By Eq. (6), the error of the condensed stiffness is then</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acc>
          <m:accPr>
            <m:chr m:val="̂"/>
          </m:accPr>
          <m:e>
            <m:r>
              <m:t>E</m:t>
            </m:r>
          </m:e>
        </m:acc>
      </m:oMath>
      <w:r>
        <w:t xml:space="preserve"> </w:t>
      </w:r>
      <w:r>
        <w:t xml:space="preserve">satisfy (A2),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The correction therefore cannot increase the error in the</w:t>
      </w:r>
      <w:r>
        <w:t xml:space="preserve"> </w:t>
      </w:r>
      <m:oMath>
        <m:r>
          <m:t>A</m:t>
        </m:r>
      </m:oMath>
      <w:r>
        <w:t xml:space="preserve">-energy norm. The assembled stiffness matrices inherit the ordering of Proposition 2, and their inverses are ordered in reverse (Appendix C), so the correction moves the assembled compliance towards the reference value (Appendix D.1). Proposition 2 guarantees the ordering but not the size of the reduction (Appendix D). Section 5.5 measures this reduction.</w:t>
      </w:r>
    </w:p>
    <w:p>
      <w:pPr>
        <w:pStyle w:val="BodyText"/>
      </w:pPr>
      <w:r>
        <w:rPr>
          <w:b/>
          <w:bCs/>
        </w:rPr>
        <w:t xml:space="preserve">Remark 1.</w:t>
      </w:r>
      <w:r>
        <w:t xml:space="preserve"> </w:t>
      </w:r>
      <w:r>
        <w:t xml:space="preserve">The guarantee of Proposition 2 rests on the two conditions on the smoothing and on the coarse solve, and it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these modes, and the cycle can increase the energy error (Appendix D). Changing the number</w:t>
      </w:r>
      <w:r>
        <w:t xml:space="preserve"> </w:t>
      </w:r>
      <m:oMath>
        <m:r>
          <m:t>k</m:t>
        </m:r>
      </m:oMath>
      <w:r>
        <w:t xml:space="preserve"> </w:t>
      </w:r>
      <w:r>
        <w:t xml:space="preserve">of smoothing steps changes the polynomial. The ordering therefore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The nonnegative shift satisfies this condition, whereas an arbitrary approximation need not. The ordering does not apply to the sensitivity. In the example of Appendix D.1, a projection halves the energy of the interior error. The same projection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Responses to equilibrated nodal point loads, traction loads and spring supports, together with displacements imposed by a neighbouring cell, provide test displacements that arise from mechanical loading.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smallest when the recovered field equals the exact field for every sampled test displacement. The second term compares the thickness sensitivities</w:t>
      </w:r>
      <w:r>
        <w:t xml:space="preserve"> </w:t>
      </w:r>
      <m:oMath>
        <m:sSub>
          <m:e>
            <m:acc>
              <m:accPr>
                <m:chr m:val="̃"/>
              </m:accPr>
              <m:e>
                <m:r>
                  <m:rPr>
                    <m:sty m:val="bi"/>
                  </m:rPr>
                  <m:t>s</m:t>
                </m:r>
              </m:e>
            </m:acc>
          </m:e>
          <m:sub>
            <m:r>
              <m:t>j</m:t>
            </m:r>
          </m:sub>
        </m:sSub>
      </m:oMath>
      <w:r>
        <w:t xml:space="preserve"> </w:t>
      </w:r>
      <w:r>
        <w:t xml:space="preserve">computed from the recovered field (Section 4.2) with the reference sensitivities</w:t>
      </w:r>
      <w:r>
        <w:t xml:space="preserve"> </w:t>
      </w:r>
      <m:oMath>
        <m:sSub>
          <m:e>
            <m:r>
              <m:rPr>
                <m:sty m:val="bi"/>
              </m:rPr>
              <m:t>s</m:t>
            </m:r>
          </m:e>
          <m:sub>
            <m:r>
              <m:t>j</m:t>
            </m:r>
          </m:sub>
        </m:sSub>
      </m:oMath>
      <w:r>
        <w:t xml:space="preserve">. Both are eight-component vectors, and the term is evaluated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that is used at deployment. The loss of Eq. (13) is evaluated with the corrected recovery operator</w:t>
      </w:r>
      <w:r>
        <w:t xml:space="preserve"> </w:t>
      </w:r>
      <m:oMath>
        <m:r>
          <m:t>F</m:t>
        </m:r>
        <m:r>
          <m:rPr>
            <m:sty m:val="p"/>
          </m:rPr>
          <m:t>=</m:t>
        </m:r>
        <m:r>
          <m:rPr>
            <m:scr m:val="script"/>
            <m:sty m:val="p"/>
          </m:rPr>
          <m:t>W</m:t>
        </m:r>
        <m:acc>
          <m:accPr>
            <m:chr m:val="̂"/>
          </m:accPr>
          <m:e>
            <m:r>
              <m:t>E</m:t>
            </m:r>
          </m:e>
        </m:acc>
      </m:oMath>
      <w:r>
        <w:t xml:space="preserve">, where</w:t>
      </w:r>
      <w:r>
        <w:t xml:space="preserve"> </w:t>
      </w:r>
      <m:oMath>
        <m:r>
          <m:rPr>
            <m:scr m:val="script"/>
            <m:sty m:val="p"/>
          </m:rPr>
          <m:t>W</m:t>
        </m:r>
      </m:oMath>
      <w:r>
        <w:t xml:space="preserve"> </w:t>
      </w:r>
      <w:r>
        <w:t xml:space="preserve">is the two-grid cycle of Table 1. This cycle is written 8 /</w:t>
      </w:r>
      <w:r>
        <w:t xml:space="preserve"> </w:t>
      </w:r>
      <m:oMath>
        <m:sSub>
          <m:e>
            <m:r>
              <m:t>Q</m:t>
            </m:r>
          </m:e>
          <m:sub>
            <m:r>
              <m:t>1</m:t>
            </m:r>
          </m:sub>
        </m:sSub>
        <m:r>
          <m:rPr>
            <m:sty m:val="p"/>
          </m:rPr>
          <m:t>(</m:t>
        </m:r>
        <m:r>
          <m:t>17</m:t>
        </m:r>
        <m:r>
          <m:rPr>
            <m:sty m:val="p"/>
          </m:rPr>
          <m:t>)</m:t>
        </m:r>
      </m:oMath>
      <w:r>
        <w:t xml:space="preserve"> </w:t>
      </w:r>
      <w:r>
        <w:t xml:space="preserve">/ 8, which denotes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w:t>
      </w:r>
    </w:p>
    <w:p>
      <w:pPr>
        <w:pStyle w:val="FirstParagraph"/>
      </w:pPr>
      <w:r>
        <w:t xml:space="preserve">The quantities that depend on the geometry are computed once for each geometry and reused for all retained displacements. They are the element moments, the geometry encoding of the network with its coefficients and maps, the smoothing interval and the factorisation of the coarse-grid matrix.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and one product with</w:t>
      </w:r>
      <w:r>
        <w:t xml:space="preserve"> </w:t>
      </w:r>
      <m:oMath>
        <m:r>
          <m:t>K</m:t>
        </m:r>
      </m:oMath>
      <w:r>
        <w:t xml:space="preserve">. It also requires the transposes of the cycle and of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as a matrix.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4"/>
        </w:numPr>
      </w:pPr>
      <w:r>
        <w:t xml:space="preserve">Compute</w:t>
      </w:r>
      <w:r>
        <w:t xml:space="preserve"> </w:t>
      </w:r>
      <m:oMath>
        <m:acc>
          <m:accPr>
            <m:chr m:val="̂"/>
          </m:accPr>
          <m:e>
            <m:r>
              <m:t>E</m:t>
            </m:r>
          </m:e>
        </m:acc>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r>
          <m:t>F</m:t>
        </m:r>
        <m:r>
          <m:t>q</m:t>
        </m:r>
      </m:oMath>
      <w:r>
        <w:t xml:space="preserve">.</w:t>
      </w:r>
    </w:p>
    <w:p>
      <w:pPr>
        <w:pStyle w:val="Compact"/>
        <w:numPr>
          <w:ilvl w:val="0"/>
          <w:numId w:val="1004"/>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4"/>
        </w:numPr>
      </w:pPr>
      <w:r>
        <w:t xml:space="preserve">Assemble these cell actions through Eq. (3). After the global solve, recover the cell displacements</w:t>
      </w:r>
      <w:r>
        <w:t xml:space="preserve"> </w:t>
      </w:r>
      <m:oMath>
        <m:sSub>
          <m:e>
            <m:r>
              <m:t>F</m:t>
            </m:r>
          </m:e>
          <m:sub>
            <m:r>
              <m:t>m</m:t>
            </m:r>
          </m:sub>
        </m:sSub>
        <m:sSub>
          <m:e>
            <m:r>
              <m:t>B</m:t>
            </m:r>
          </m:e>
          <m:sub>
            <m:r>
              <m:t>m</m:t>
            </m:r>
          </m:sub>
        </m:sSub>
        <m:acc>
          <m:accPr>
            <m:chr m:val="̂"/>
          </m:accPr>
          <m:e>
            <m:r>
              <m:t>U</m:t>
            </m:r>
          </m:e>
        </m:acc>
      </m:oMath>
      <w:r>
        <w:t xml:space="preserve"> </w:t>
      </w:r>
      <w:r>
        <w:t xml:space="preserve">to evaluate the displacement field and the sensitivities.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This section traces the error of a recovery operator through the condensed stiffness to the two quantities used in design, the compliance and the sensitivities. The recovery operator may be any operator that satisfies assumption (A2) of Section 2.4. Proposition 1 in Section 3.1 shows that the condensed stiffness exceeds the exact condensed stiffness by the energy of the interior error. The condensed stiffness is therefore never softer than the exact one, and its error is quadratic in the interior displacement error and can be computed from the interior residual (Eq. (7)). Section 4.1 shows that the error reaches the assembled compliance weighted by the fraction of the strain energy that each cell carries. Section 4.2 shows that it reaches the thickness sensitivity through the derivative of the stiffness matrix, with a term linear in the interior displacement error. An accurate compliance therefore does not imply an accurate local sensitivity.</w:t>
      </w:r>
    </w:p>
    <w:p>
      <w:pPr>
        <w:pStyle w:val="BodyText"/>
      </w:pPr>
      <w:r>
        <w:t xml:space="preserve">The relations are stated for a single substructure and apply to every cell of an assembly. Proposition 1 and the residual form of Eq. (7) are classical (Section 3.1), and so is the self-adjoint compliance sensitivity</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t xml:space="preserve">. The bound weighted by the energy fractions and the sensitivity relations are derived in this paper for approximate recovery operators. Propositions 3 and 4 use the assumptions of Section 2.4.</w:t>
      </w:r>
    </w:p>
    <w:p>
      <w:pPr>
        <w:pStyle w:val="Heading3"/>
      </w:pPr>
      <w:r>
        <w:t xml:space="preserve">4.1. Compliance</w:t>
      </w:r>
    </w:p>
    <w:p>
      <w:pPr>
        <w:pStyle w:val="FirstParagraph"/>
      </w:pPr>
      <w:r>
        <w:t xml:space="preserve">Consider the exact solutions of the reference and the approximate assembled systems of Eq. (3). Both systems use the same cell stiffness matrices, assembly maps and homogeneous supports, and the same nonzero load on the retained DOFs. Let</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is the sum of two orthogonal parts. The first comes from the change of the assembled retained solution, and the second from the departure of the interior displacements from equilibrium at that solution. The part of a cell's error that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where</w:t>
      </w:r>
      <w:r>
        <w:t xml:space="preserve"> </w:t>
      </w:r>
      <m:oMath>
        <m:sSub>
          <m:e>
            <m:r>
              <m:t>ε</m:t>
            </m:r>
          </m:e>
          <m:sub>
            <m:r>
              <m:t>m</m:t>
            </m:r>
          </m:sub>
        </m:sSub>
      </m:oMath>
      <w:r>
        <w:t xml:space="preserve"> </w:t>
      </w:r>
      <w:r>
        <w:t xml:space="preserve">is the energy error of cell</w:t>
      </w:r>
      <w:r>
        <w:t xml:space="preserve"> </w:t>
      </w:r>
      <m:oMath>
        <m:r>
          <m:t>m</m:t>
        </m:r>
      </m:oMath>
      <w:r>
        <w:t xml:space="preserve"> </w:t>
      </w:r>
      <w:r>
        <w:t xml:space="preserve">as defined in Eq. (7). A cell whose response is a rigid-body motion has zero energy,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Under (A1)–(A3),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on which the load does not depend on the design.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For a parameter that affects several substructures, their contributions are summed. The design derivative of the exact recovery</w:t>
      </w:r>
      <w:r>
        <w:t xml:space="preserve"> </w:t>
      </w:r>
      <m:oMath>
        <m:r>
          <m:t>E</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t xml:space="preserve">. The sensitivity computed from the recovered field is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with the same stiffness derivative. It ignores the dependence of the recovery operator</w:t>
      </w:r>
      <w:r>
        <w:t xml:space="preserve"> </w:t>
      </w:r>
      <m:oMath>
        <m:r>
          <m:t>F</m:t>
        </m:r>
      </m:oMath>
      <w:r>
        <w:t xml:space="preserve"> </w:t>
      </w:r>
      <w:r>
        <w:t xml:space="preserve">on the design, and hence the design dependence of the network.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i"/>
          </m:rPr>
          <m:t>s</m:t>
        </m:r>
      </m:oMath>
      <w:r>
        <w:t xml:space="preserve"> </w:t>
      </w:r>
      <w:r>
        <w:t xml:space="preserve">and</w:t>
      </w:r>
      <w:r>
        <w:t xml:space="preserve"> </w:t>
      </w:r>
      <m:oMath>
        <m:acc>
          <m:accPr>
            <m:chr m:val="̃"/>
          </m:accPr>
          <m:e>
            <m:r>
              <m:rPr>
                <m:sty m:val="bi"/>
              </m:rPr>
              <m:t>s</m:t>
            </m:r>
          </m:e>
        </m:acc>
      </m:oMath>
      <w:r>
        <w:t xml:space="preserve">.</w:t>
      </w:r>
    </w:p>
    <w:p>
      <w:pPr>
        <w:pStyle w:val="BodyText"/>
      </w:pPr>
      <w:r>
        <w:rPr>
          <w:b/>
          <w:bCs/>
        </w:rPr>
        <w:t xml:space="preserve">Proposition 4 (sensitivity error).</w:t>
      </w:r>
      <w:r>
        <w:t xml:space="preserve"> </w:t>
      </w:r>
      <w:r>
        <w:t xml:space="preserve">Under (A1), (A2) and (D), with both sensitivities evaluated at the same retained displacements:</w:t>
      </w:r>
    </w:p>
    <w:p>
      <w:pPr>
        <w:pStyle w:val="Compact"/>
        <w:numPr>
          <w:ilvl w:val="0"/>
          <w:numId w:val="1005"/>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The linear cross term therefore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r>
          <m:t>F</m:t>
        </m:r>
      </m:oMath>
      <w:r>
        <w:t xml:space="preserve">. For a parameter that affects one substructure, differentiation with the retained DOFs fixed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when the recovered field is in interior equilibrium, but energy accuracy alone does not control it. Whether Eq. (18) or</w:t>
      </w:r>
      <w:r>
        <w:t xml:space="preserve"> </w:t>
      </w:r>
      <m:oMath>
        <m:sSub>
          <m:e>
            <m:acc>
              <m:accPr>
                <m:chr m:val="̃"/>
              </m:accPr>
              <m:e>
                <m:r>
                  <m:t>s</m:t>
                </m:r>
              </m:e>
            </m:acc>
          </m:e>
          <m:sub>
            <m:r>
              <m:t>c</m:t>
            </m:r>
          </m:sub>
        </m:sSub>
      </m:oMath>
      <w:r>
        <w:t xml:space="preserve"> </w:t>
      </w:r>
      <w:r>
        <w:t xml:space="preserve">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t xml:space="preserve">(Eq. (H.6)). The quantities</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error of</w:t>
      </w:r>
      <w:r>
        <w:t xml:space="preserve"> </w:t>
      </w:r>
      <m:oMath>
        <m:r>
          <m:t>F</m:t>
        </m:r>
      </m:oMath>
      <w:r>
        <w:t xml:space="preserve"> </w:t>
      </w:r>
      <w:r>
        <w:t xml:space="preserve">and of the exact interior recovery (Appendix H.2). All sensitivities reported in this paper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which estimate the exact sensitivity and ignore the design dependence of the network. The derivatives in this section hold on intervals on which the discrete choices of Appendix B.1 are fixed. Across a switch of the discrete model, the reference compliance itself can jump. Any jump that the approximate compliance adds is bounded by its own error level,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the energy error of a cell controls its relative sensitivity error only at the order</w:t>
      </w:r>
      <w:r>
        <w:t xml:space="preserve"> </w:t>
      </w:r>
      <m:oMath>
        <m:rad>
          <m:radPr>
            <m:degHide m:val="on"/>
          </m:radPr>
          <m:deg/>
          <m:e>
            <m:r>
              <m:t>ε</m:t>
            </m:r>
          </m:e>
        </m:rad>
      </m:oMath>
      <w:r>
        <w:t xml:space="preserve">. Section 5.6 checks both quantities in two-cell assemblies, and Section 5.10 checks them in thickness designs.</w:t>
      </w:r>
    </w:p>
    <w:p>
      <w:pPr>
        <w:pStyle w:val="Heading2"/>
      </w:pPr>
      <w:r>
        <w:t xml:space="preserve">5. Numerical examples</w:t>
      </w:r>
    </w:p>
    <w:p>
      <w:pPr>
        <w:pStyle w:val="FirstParagraph"/>
      </w:pPr>
      <w:r>
        <w:t xml:space="preserve">The numerical examples cover single cells, assemblies of cells and thickness design. On single cells, the mean energy error of NICE over the 80 validation geometries is 0.074%. Applying the correction to the base network without retraining lowers the mean energy error under traction loads from 6.89% to 0.0965%. Under the same correction, a graph-harmonic initial field without trainable parameters leaves 5.4 to 265 times the error of NICE (Sections 5.3–5.5). After assembly, the compliance error follows the relation of Proposition 3, in which the energy error of each cell is weighted by its energy fraction; the local sensitivity, however, has to be checked separately (Sections 5.6–5.8). In design, an analysis of an eight-cell lattice with sensitivities is about ten times faster than a direct solution of the whole lattice (Section 5.9). For the optimised designs, the compliance and the gradient computed with NICE agree with those of exact static condensation (Section 5.10). Table 3 summarises the accuracy of NICE against exact static condensation in all assembled examples. Sections 5.1 and 5.2 give the settings of the examples and verify the reference model.</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in the labels denote uncut, lightly, moderately and heavily cut cells. Table 1 lists the discretisation and correction settings. Figure 4 shows four of the cells used for detailed comparisons.</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and (c,d) heavily cut cells H1 and H2, shown at the same unit-box scale and from the same viewing direction. Light blue shows the material surface, dark blue the wall section on the cell faces and sand the section on the cut plane. The part removed by the cut is drawn in translucent grey, and the cells are viewed from the side of the cut. The percentages give the box volume that remains after the cut, relative to the unit box, before the intersection with the thin-wall material. The surfaces are reconstructed from Eq. (1) on a grid of 129 points per axis and serve only for visualisation.</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serve as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cell-face nodes of material patches of positive area on the cell faces; all DOFs of the active elements that carry a cut-surface patch of positive area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three variants, two of which are trained networks listed in Table 2. The base network was trained without correction. NICE continues the training of the base network for 15,000 training steps, with the complete correction</w:t>
      </w:r>
      <w:r>
        <w:t xml:space="preserve"> </w:t>
      </w:r>
      <m:oMath>
        <m:r>
          <m:rPr>
            <m:scr m:val="script"/>
            <m:sty m:val="p"/>
          </m:rPr>
          <m:t>W</m:t>
        </m:r>
      </m:oMath>
      <w:r>
        <w:t xml:space="preserve"> </w:t>
      </w:r>
      <w:r>
        <w:t xml:space="preserve">of Sections 3.3 and 3.4 inside the training loop (Section 3.5).</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third variant, denoted 'Base network + correction', is the base network with the correction</w:t>
      </w:r>
      <w:r>
        <w:t xml:space="preserve"> </w:t>
      </w:r>
      <m:oMath>
        <m:r>
          <m:rPr>
            <m:scr m:val="script"/>
            <m:sty m:val="p"/>
          </m:rPr>
          <m:t>W</m:t>
        </m:r>
      </m:oMath>
      <w:r>
        <w:t xml:space="preserve"> </w:t>
      </w:r>
      <w:r>
        <w:t xml:space="preserve">applied at deployment, without retraining, and is evaluated in Sections 5.3, 5.5 and 5.6.</w:t>
      </w:r>
    </w:p>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which contains 304 of the 305 training geometries of the base network. In its 15,000 training steps, NICE sees at most 153 of the 591 geometries (Supplementary Table ST01). Supplementary Note S8 reports two further continuations of the base network, which draw from the same set of 591 geometries and see the same geometries in the same order as NICE.</w:t>
      </w:r>
    </w:p>
    <w:p>
      <w:pPr>
        <w:pStyle w:val="BodyText"/>
      </w:pPr>
      <w:r>
        <w:t xml:space="preserve">Twenty of the 80 validation geometries, 6 uncut and 14 cut, were used for checkpoint selection (Supplementary Table ST01); statistics are therefore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had been compared on the 80 validation geometries and the two-cell configurations (Supplementary Table ST01); this comparison included the two continuations of Supplementary Note S8. The sixteen cells of the lattices of Section 5.8 entered no selection step. Population statistics first average the energy error over the test displacements of each geometry and load class, and then weight the geometries equally (Appendix A.1), so that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7 configurations</w:t>
            </w:r>
          </w:p>
        </w:tc>
        <w:tc>
          <w:tcPr/>
          <w:p>
            <w:pPr>
              <w:pStyle w:val="Compact"/>
            </w:pPr>
            <w:r>
              <w:t xml:space="preserve">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and M1 and M2 to</w:t>
      </w:r>
      <w:r>
        <w:t xml:space="preserve"> </w:t>
      </w:r>
      <m:oMath>
        <m:r>
          <m:t>n</m:t>
        </m:r>
        <m:r>
          <m:rPr>
            <m:sty m:val="p"/>
          </m:rPr>
          <m:t>=</m:t>
        </m:r>
        <m:r>
          <m:t>48</m:t>
        </m:r>
      </m:oMath>
      <w:r>
        <w:t xml:space="preserve"> </w:t>
      </w:r>
      <w:r>
        <w:t xml:space="preserve">(Figure S01). H1, H2 and two further validation cells were refined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each change the compliance and the sensitivities by at most 0.12%. Supplementary Note S1 also verifies the finite-difference stiffness derivative and its step size (Figure S01(c)). All subsequent comparisons are made against this discrete reference model (Section 2.1).</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This identity states that the work of the returned nodal forces on the retained displacements equals the energy of the recovered field. The deployed operator gives the rigid-body modes zero energy up to round-off.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The Gershgorin bound is a guaranteed upper bound, but it is 4.7 to 19.4 times larger than</w:t>
      </w:r>
      <w:r>
        <w:t xml:space="preserve"> </w:t>
      </w:r>
      <m:oMath>
        <m:r>
          <m:t>b</m:t>
        </m:r>
      </m:oMath>
      <w:r>
        <w:t xml:space="preserve">, with a median of 18.4. Used as</w:t>
      </w:r>
      <w:r>
        <w:t xml:space="preserve"> </w:t>
      </w:r>
      <m:oMath>
        <m:r>
          <m:t>b</m:t>
        </m:r>
      </m:oMath>
      <w:r>
        <w:t xml:space="preserve">, it would place the smoothing interval far above the actual spectrum. On these geometries, the comparison with the converged largest eigenvalue supports the spectral condition numerically. It was not checked for the cells of the lattices and optimisations of Sections 5.8–5.10, which use the same power-iteration estimate.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this condition.</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The error of NICE still grows about sevenfold from uncut to heavily cut cells: its group means rise from 0.016% to 0.109%, whereas those of the base network rise from 1.14% to 12.7% (Supplementary Table ST03b). Over all 80 geometries, the mean energy errors of NICE and the base network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and its largest single-geometry mean is 70.1%. The group means of NICE under these loads stay between 0.013% and 0.090%. Under the other load classes, the means of NICE are of the same order (Supplementary Table ST03).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The five largest single-geometry means of NICE under traction loads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Continuing the training of the base network without the correction leaves its mean nearly unchanged (Supplementary Note S8). NICE also continues the training, with the correction inside the training loop, and draws its training geometries from a larger set. This continuation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 of the base network, Base network + correction and NICE on the 80 validation geometries.</w:t>
      </w:r>
      <w:r>
        <w:t xml:space="preserve"> </w:t>
      </w:r>
      <w:r>
        <w:t xml:space="preserve">Each observation is the mean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of one geometry over the validation test displacements of one load class. (a) Traction loads, 20 geometries per cut-severity group. Markers give the mean over the geometries, and bars give the range from the 10th percentile to the maximum. (b) Single-geometry means of the base network and of NICE under traction loads. Open markers denote uncut geometries and filled markers cut geometries; the dotted line denotes equality. (c) Displacements imposed by a neighbouring cell, stiffness-scaled spring supports, traction loads on a single face and equal nodal point loads. The first two classes use 75 geometries and the other two use 80. The asterisk marks the nodal point loads, which serve as a severe test of the stabilised problem. Twenty geometries (6 uncut, 14 cut) were used for checkpoint selection. Variants as in Table 2; 'Base network + correction' is the base network with the correction applied at deployment, without retraining.</w:t>
      </w:r>
    </w:p>
    <w:p>
      <w:pPr>
        <w:pStyle w:val="Heading3"/>
      </w:pPr>
      <w:r>
        <w:t xml:space="preserve">5.4. Where the network error lies</w:t>
      </w:r>
    </w:p>
    <w:p>
      <w:pPr>
        <w:pStyle w:val="FirstParagraph"/>
      </w:pPr>
      <w:r>
        <w:t xml:space="preserve">Part of the error left by the network lies in modes that smoothing damps slowly, and part lies next to the cut. Relative to its amplitude, the error also carries far more strain energy than the exact solution; in this sense it is stiffer.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field (Supplementary Table ST05b). All 200 modes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and are ordered by increasing eigenvalue. Filled dark markers denote the error and open light-grey markers the exact interior field. Solid lines with circles denote traction loads and dashed lines with triangles nodal point loads. Curves are means over the test displacements. Bands give the 10th to 90th percentiles over the test displacements under traction loads. Each cumulative fraction is normalised by the total interior energy of its own field or error.</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It also halves the fraction of the error energy in this layer, to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retained DOFs of the cut-plane elements, and interior DOFs. (b) Bulk element energies of the exact field for one traction-load test displacement, relative to its total energy. (c,d) Bulk element energies of the error of the base network and of NICE for the same retained displacements, relative to the total energy of the exact field in (b), on a common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 and</w:t>
      </w:r>
      <w:r>
        <w:t xml:space="preserve"> </w:t>
      </w:r>
      <m:oMath>
        <m:sSub>
          <m:e>
            <m:r>
              <m:t>u</m:t>
            </m:r>
          </m:e>
          <m:sub>
            <m:r>
              <m:t>I</m:t>
            </m:r>
          </m:sub>
        </m:sSub>
      </m:oMath>
      <w:r>
        <w:t xml:space="preserve"> </w:t>
      </w:r>
      <w:r>
        <w:t xml:space="preserve">the exact interior displacements.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Let</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be 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the sensitivity errors at fixed retained displacements are 14.1% and 75.1% under traction loads, and the linear term contributes only 7.2% and 0.79%, respectively, of the sum of the norms of the linear and quadratic terms. Under traction loads, the linear term contributes 28–43% in the three cells whose energy errors are below 2%, namely U1, U2 and H1. Under nodal point loads, it contributes 24–72% in all six cells. Because the linear term is first order in the displacement error, it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The error of M1 falls only from 13.5% to 4.69%,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zero interior displacements leave energy errors of 28–1100%, and the graph-harmonic field leaves 0.08–17%. The field of the base network ends at 0.004–0.19%, lower by factors of 7 to 290 than the graph-harmonic field and by factors of 2,400 to 12,000 than the zero field. Even with 64 steps per stage, eight times the smoothing work, the graph-harmonic field remains 2.6 to 50 times above the eight-step result of the base network. This holds under traction loads in five of the six cells of Supplementary Table ST07, which are the cells of Table 4 and U1. Only in H2 does the graph-harmonic field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(c) M1 without correction, with eight smoothing steps, with a coarse-grid correction followed by eight steps, and with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a single smoothing stage and for the cycle of</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traction loads,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wall thickness is continuous across their interface (Figure 9). The seven test cells, U1, U2, L1, M1, M2, H1 and H3, belong to the geometries used for checkpoint selection (Section 5.1). Each test cell is assembled in two configurations, x and y, and 'M1/x' denotes test cell M1 in configuration x. Each configuration has six face loads: traction loads in the three Cartesian directions, applied separately on the loaded face of the test cell and on that of the neighbouring cell.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it is drawn as the 3% line in the figures. The reported errors are maxima over the six loads and, for the sensitivity, also over both cells. Three traction loads on the cut surface of a test cell are considered separately.</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the traction loads act on the faces at</w:t>
      </w:r>
      <w:r>
        <w:t xml:space="preserve"> </w:t>
      </w:r>
      <m:oMath>
        <m:r>
          <m:t>x</m:t>
        </m:r>
        <m:r>
          <m:rPr>
            <m:sty m:val="p"/>
          </m:rPr>
          <m:t>=</m:t>
        </m:r>
        <m:r>
          <m:t>0</m:t>
        </m:r>
      </m:oMath>
      <w:r>
        <w:t xml:space="preserve">. The loaded faces of the test cell (T) and of the neighbouring cell (N) each carry separate traction loads in the x, y and z directions. The coincident DOFs of the cell-face nodes are shared across the interface, and the DOFs of cut-plane elements that do not lie on the cell faces remain local to their cell. Cut test cells also carry three traction loads on the cut surface, which are analysed separately.</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Five of them are the geometries with the largest single-cell errors of NICE. The other four were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On M1/x, it also exceeds the 3% compliance line, with a compliance error of 4.38%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its sensitivity error is about twice its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 sensitivity in two-cell assemblies.</w:t>
      </w:r>
      <w:r>
        <w:t xml:space="preserve"> </w:t>
      </w:r>
      <w:r>
        <w:t xml:space="preserve">The test cell is represented by a learned substructure and the neighbouring cell by exact static condensation. The figure shows NICE and Base network + correction, which is the base network with the correction applied at deployment, without retraining. (a,b) Maximum errors over the six face loads in each configuration; the sensitivity error is also maximised over both cells. (c,d) Compliance error and test-cell sensitivity error under each face load on M1/x and U1/x. Filled markers denote loads on the face of the test cell, and open markers loads on the face of the neighbouring cell. Dashed lines mark 3%. Supplementary Table ST08 gives all results. It also includes the base network and the two variants of Supplementary Note S8. None of these three variants was evaluated in every configuration.</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The sensitivity error is relative to the sensitivity of the test cell itself, which scales with the energy of the test cell, as its error does, so that</w:t>
      </w:r>
      <w:r>
        <w:t xml:space="preserve"> </w:t>
      </w:r>
      <m:oMath>
        <m:r>
          <m:t>w</m:t>
        </m:r>
      </m:oMath>
      <w:r>
        <w:t xml:space="preserve"> </w:t>
      </w:r>
      <w:r>
        <w:t xml:space="preserve">cancels. At fixed retained displacements, the energy error controls the sensitivity error only at the order</w:t>
      </w:r>
      <w:r>
        <w:t xml:space="preserve"> </w:t>
      </w:r>
      <m:oMath>
        <m:rad>
          <m:radPr>
            <m:degHide m:val="on"/>
          </m:radPr>
          <m:deg/>
          <m:e>
            <m:r>
              <m:t>ε</m:t>
            </m:r>
          </m:e>
        </m:rad>
      </m:oMath>
      <w:r>
        <w:t xml:space="preserve"> </w:t>
      </w:r>
      <w:r>
        <w:t xml:space="preserve">(Proposition 4(b)); here the sensitivity error is about ten times</w:t>
      </w:r>
      <w:r>
        <w:t xml:space="preserve"> </w:t>
      </w:r>
      <m:oMath>
        <m:r>
          <m:t>ε</m:t>
        </m:r>
      </m:oMath>
      <w:r>
        <w:t xml:space="preserve">. Figure 11 shows this weighting for NICE over all loads. The base network, Base network + correction and the two variants of Supplementary Note S8 follow the same relations (Figure 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energy fraction of the test cell scales down the compliance error but not the sensitivity error.</w:t>
      </w:r>
      <w:r>
        <w:t xml:space="preserve"> </w:t>
      </w:r>
      <w:r>
        <w:t xml:space="preserve">Results of NICE in the fourteen configurations of the seven test cells, one point per load: 84 face loads (filled markers) and 30 cut-surface loads (open markers). Supplementary Tables ST08 and ST09 give the maxima over the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fractions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the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t xml:space="preserve">evaluated at the exact assembled retained displacements. Only the learned test cell contributes to</w:t>
      </w:r>
      <w:r>
        <w:t xml:space="preserve"> </w:t>
      </w:r>
      <m:oMath>
        <m:r>
          <m:t>β</m:t>
        </m:r>
      </m:oMath>
      <w:r>
        <w:t xml:space="preserve">. The line denotes equality. For every load, the compliance error lies between 0.963 and 1.004 times</w:t>
      </w:r>
      <w:r>
        <w:t xml:space="preserve"> </w:t>
      </w:r>
      <m:oMath>
        <m:r>
          <m:t>β</m:t>
        </m:r>
      </m:oMath>
      <w:r>
        <w:t xml:space="preserve">. The five ratios above 1 correspond to an excess of at most</w:t>
      </w:r>
      <w:r>
        <w:t xml:space="preserve"> </w:t>
      </w:r>
      <m:oMath>
        <m:r>
          <m:t>7.8</m:t>
        </m:r>
        <m:r>
          <m:rPr>
            <m:sty m:val="p"/>
          </m:rPr>
          <m:t>×</m:t>
        </m:r>
        <m:sSup>
          <m:e>
            <m:r>
              <m:t>10</m:t>
            </m:r>
          </m:e>
          <m:sup>
            <m:r>
              <m:rPr>
                <m:sty m:val="p"/>
              </m:rPr>
              <m:t>−</m:t>
            </m:r>
            <m:r>
              <m:t>10</m:t>
            </m:r>
          </m:sup>
        </m:sSup>
      </m:oMath>
      <w:r>
        <w:t xml:space="preserve"> </w:t>
      </w:r>
      <w:r>
        <w:t xml:space="preserve">of the compliance, whereas the residual work of the pair solves reaches</w:t>
      </w:r>
      <w:r>
        <w:t xml:space="preserve"> </w:t>
      </w:r>
      <m:oMath>
        <m:r>
          <m:t>1.8</m:t>
        </m:r>
        <m:r>
          <m:rPr>
            <m:sty m:val="p"/>
          </m:rPr>
          <m:t>×</m:t>
        </m:r>
        <m:sSup>
          <m:e>
            <m:r>
              <m:t>10</m:t>
            </m:r>
          </m:e>
          <m:sup>
            <m:r>
              <m:rPr>
                <m:sty m:val="p"/>
              </m:rPr>
              <m:t>−</m:t>
            </m:r>
            <m:r>
              <m:t>8</m:t>
            </m:r>
          </m:sup>
        </m:sSup>
      </m:oMath>
      <w:r>
        <w:t xml:space="preserve"> </w:t>
      </w:r>
      <w:r>
        <w:t xml:space="preserve">of the compliance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 Figure S04 shows the corresponding results of the other variants.</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at</w:t>
      </w:r>
      <w:r>
        <w:t xml:space="preserve"> </w:t>
      </w:r>
      <m:oMath>
        <m:r>
          <m:t>r</m:t>
        </m:r>
        <m:r>
          <m:rPr>
            <m:sty m:val="p"/>
          </m:rPr>
          <m:t>=</m:t>
        </m:r>
        <m:r>
          <m:t>3</m:t>
        </m:r>
      </m:oMath>
      <w:r>
        <w:t xml:space="preserve">, the compliance error on U1, M1 and M2 is then 0.17–0.44%.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and Bernstein polynomials of degree</w:t>
      </w:r>
      <w:r>
        <w:t xml:space="preserve"> </w:t>
      </w:r>
      <m:oMath>
        <m:r>
          <m:t>r</m:t>
        </m:r>
      </m:oMath>
      <w:r>
        <w:t xml:space="preserve"> </w:t>
      </w:r>
      <w:r>
        <w:t xml:space="preserve">on every cell face. The DOFs of the cut-plane elements that do not lie on the cell faces remain unrestricted. (a) Number of retained DOFs; the dashed line marks the 32,991 DOFs of the full representation. (b,c) Maximum compliance error and maximum test-cell sensitivity error, over the three loads on the test-cell face or over all six loads on the test-cell and neighbour faces. Traction loads on the cut surface are excluded. Errors are relative to the solution with all retained DOFs, and the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The corner parameters of the block range from 0.25 to 0.54. The sixteen cells were generated for these examples and were used neither in training nor in checkpoint selection. Each lattice is clamped on one face. It is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Its coarse space consists of the trilinear lattice-vertex functions multiplied by the six rigid-body modes.</w:t>
      </w:r>
    </w:p>
    <w:p>
      <w:pPr>
        <w:pStyle w:val="BodyText"/>
      </w:pPr>
      <w:r>
        <w:t xml:space="preserve">The errors of the cells do not accumulate in these lattices. Under the face loads, the compliance error stays below 0.015% in both lattices, and the sensitivity error of every cell is at most 0.144% (Table 3). The sensitivities of the cells, summed at the shared corner parameters, give the lattice gradient. Under the face loads, this gradient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because Eq. (15) bounds the compliance error of the lattice by the weighted energy error</w:t>
      </w:r>
      <w:r>
        <w:t xml:space="preserve"> </w:t>
      </w:r>
      <m:oMath>
        <m:r>
          <m:t>β</m:t>
        </m:r>
      </m:oMath>
      <w:r>
        <w:t xml:space="preserve">. In</w:t>
      </w:r>
      <w:r>
        <w:t xml:space="preserve"> </w:t>
      </w:r>
      <m:oMath>
        <m:r>
          <m:t>β</m:t>
        </m:r>
      </m:oMath>
      <w:r>
        <w:t xml:space="preserve">, the energy error of each cell at the exact retained displacements is weighted by the energy fraction of the cell. Under the face loads, these cell energy errors range from 0.006% to 0.026% in the block and from 0.005% to 0.052% in the layer; under the random loads, they range from 0.02% to 0.12%.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under the random loads, the excess is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errors above are errors of the condensed stiffness and not of the incomplete solve. The solves reach the prescribed tolerance on the recursively updated residual.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however, 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(Supplementary Table ST14). The latter is the difference between the energy computed with the applied condensed stiffness and the energy of the recovered displacements. Together with the residual work, these records show that the errors above do not come from the incomplete solve.</w:t>
      </w:r>
    </w:p>
    <w:p>
      <w:pPr>
        <w:pStyle w:val="Heading3"/>
      </w:pPr>
      <w:r>
        <w:t xml:space="preserve">5.9. Computational cost</w:t>
      </w:r>
    </w:p>
    <w:p>
      <w:pPr>
        <w:pStyle w:val="FirstParagraph"/>
      </w:pPr>
      <w:r>
        <w:t xml:space="preserve">A lattice analysis with sensitivities by NICE needs less time and memory than the direct solution of the whole lattice and than conventional exact static condensation. It also needs less time than conjugate gradients on the whole lattice preconditioned by algebraic multigrid. The reason is that NICE solves the assembled problem on the retained DOFs only. For the two eight-cell lattices, these number 139,002 and 143,685, whereas the whole-lattice model has 1.83 and 2.11 million DOFs. NICE also prepares every cell by a network evaluation and a fixed correction instead of a factorisation of the interior stiffness matrix. At the scale of Section 5.10, the cut finite element model of a 110-cell plate has 32.7 million DOFs, and its assembled retained system has 1.6 million. A design iteration of this plate takes 19 min, about 11 s per cell. The cost comparison below concerns one lattice analysis with sensitivities, from cell setup to the solution. It uses the two eight-cell lattices of Section 5.8 and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Each layer keeps the retained DOFs, the clamp and the loads of the block. Table 5 compares three routes.</w:t>
      </w:r>
    </w:p>
    <w:p>
      <w:pPr>
        <w:pStyle w:val="BodyText"/>
      </w:pPr>
      <w:r>
        <w:t xml:space="preserve">Route (a) is the direct solution of the whole lattice. It assembles the full cut finite element model of the lattice, which contains the retained and interior DOFs of every cell. This model is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The assembled condensed system is then solved by a block Cholesky factorisation. This factorisation eliminates the retained DOFs that belong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GPU. It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then computes the sensitivities. In this route,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 and does not measure hardware-equivalent amounts of work.</w:t>
      </w:r>
    </w:p>
    <w:p>
      <w:pPr>
        <w:pStyle w:val="BodyText"/>
      </w:pPr>
      <w:r>
        <w:rPr>
          <w:b/>
          <w:bCs/>
        </w:rPr>
        <w:t xml:space="preserve">Table 5. Cost of one lattice analysis with sensitivities.</w:t>
      </w:r>
      <w:r>
        <w:t xml:space="preserve"> </w:t>
      </w:r>
      <w:r>
        <w:t xml:space="preserve">(a) Direct solution of the whole lattice by sparse Cholesky factorisation with MKL PARDISO and 16 threads on the CPU. Time from cell setup to the solution of six loads (three traction loads and three random loads), and peak process memory. (b) Condensation of every cell with the Schur-complement option of PARDISO, followed by the solution of the condensed lattice system by block Cholesky factorisation, 16 threads: total time and peak process memory. (c) Cell preparation, preconditioner setup, conjugate gradients for the three traction loads to</w:t>
      </w:r>
      <w:r>
        <w:t xml:space="preserve"> </w:t>
      </w:r>
      <m:oMath>
        <m:sSup>
          <m:e>
            <m:r>
              <m:t>10</m:t>
            </m:r>
          </m:e>
          <m:sup>
            <m:r>
              <m:rPr>
                <m:sty m:val="p"/>
              </m:rPr>
              <m:t>−</m:t>
            </m:r>
            <m:r>
              <m:t>6</m:t>
            </m:r>
          </m:sup>
        </m:sSup>
      </m:oMath>
      <w:r>
        <w:t xml:space="preserve">, and sensitivities: time, peak GPU memory and CPU memory after cell preparation. The compliance error of (c) is computed against (a) for the four-cell lattices and against the exact static condensation of Section 5.8 for the eight-cell lattices. Routes (a) and (b) solve six loads and do not evaluate sensitivities; route (c) solves three loads and evaluates the sensitivities.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More threads reduce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The memory requirements follow the same pattern. For the eight-cell lattices, the peak process memory of the direct solution is 71 and 86 GiB. This peak is set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12">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67">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eight and seven times as long as NICE. Classical algebraic multigrid (BoomerAMG</w:t>
      </w:r>
      <w:r>
        <w:t xml:space="preserve"> </w:t>
      </w:r>
      <w:hyperlink r:id="rId113">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14">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repeats the cell setup and the assembly of the whole-lattice system. In route (a), these two steps take 416 and 474 s (Supplementary Table ST12b), which alone is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The second case is a cut plate supported on its cut, which is described below and shown in Figure 13. In both cases, the corner thickness parameters solve the design problem of Section 2.3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The parameters at the vertices in the plane of the loaded face are fixed; these are 9 of 27 parameters in case A and 10 of 74 in the plate. This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2.3, with the sensitivities</w:t>
      </w:r>
      <w:r>
        <w:t xml:space="preserve"> </w:t>
      </w:r>
      <m:oMath>
        <m:sSub>
          <m:e>
            <m:acc>
              <m:accPr>
                <m:chr m:val="̃"/>
              </m:accPr>
              <m:e>
                <m:r>
                  <m:rPr>
                    <m:sty m:val="bi"/>
                  </m:rPr>
                  <m:t>s</m:t>
                </m:r>
              </m:e>
            </m:acc>
          </m:e>
          <m:sub>
            <m:r>
              <m:t>m</m:t>
            </m:r>
          </m:sub>
        </m:sSub>
      </m:oMath>
      <w:r>
        <w:t xml:space="preserve"> </w:t>
      </w:r>
      <w:r>
        <w:t xml:space="preserve">of Section 4.2 in place of</w:t>
      </w:r>
      <w:r>
        <w:t xml:space="preserve"> </w:t>
      </w:r>
      <m:oMath>
        <m:sSub>
          <m:e>
            <m:r>
              <m:rPr>
                <m:sty m:val="bi"/>
              </m:rPr>
              <m:t>s</m:t>
            </m:r>
          </m:e>
          <m:sub>
            <m:r>
              <m:t>m</m:t>
            </m:r>
          </m:sub>
        </m:sSub>
      </m:oMath>
      <w:r>
        <w:t xml:space="preserve">. The bounds are</w:t>
      </w:r>
      <w:r>
        <w:t xml:space="preserve"> </w:t>
      </w:r>
      <m:oMath>
        <m:r>
          <m:t>0.18</m:t>
        </m:r>
        <m:r>
          <m:rPr>
            <m:sty m:val="p"/>
          </m:rPr>
          <m:t>≤</m:t>
        </m:r>
        <m:r>
          <m:t>τ</m:t>
        </m:r>
        <m:r>
          <m:rPr>
            <m:sty m:val="p"/>
          </m:rPr>
          <m:t>≤</m:t>
        </m:r>
        <m:r>
          <m:t>0.69</m:t>
        </m:r>
      </m:oMath>
      <w:r>
        <w:t xml:space="preserve">. The corner span of a cell is the largest difference between two of its corner parameters. It is limited to 0.45 in each cell, and so is the norm of the gradient of</w:t>
      </w:r>
      <w:r>
        <w:t xml:space="preserve"> </w:t>
      </w:r>
      <m:oMath>
        <m:r>
          <m:t>τ</m:t>
        </m:r>
      </m:oMath>
      <w:r>
        <w:t xml:space="preserve">. These bounds and limits keep every cell inside the parameter domain of the training data. In this domain, the corner parameters lie in [0.175, 0.699], and the corner span and the gradient norm are at most 0.47 (Section 6.3). Each design iteration regenerates the geometry and the learned substructure of every cell. It then solves the lattice from the previous solution by the preconditioned conjugate gradients of Section 5.8. Finally, it takes one step of the method of moving asymptotes (MMA)</w:t>
      </w:r>
      <w:r>
        <w:t xml:space="preserve"> </w:t>
      </w:r>
      <w:hyperlink r:id="rId115">
        <w:r>
          <w:rPr>
            <w:rStyle w:val="Hyperlink"/>
          </w:rPr>
          <w:t xml:space="preserve">Svanberg (1987)</w:t>
        </w:r>
      </w:hyperlink>
      <w:r>
        <w:t xml:space="preserve">, in the variant of Svanberg (2007). The move limit is 5% of the parameter range, and no line search is used (Supplementary Table 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with the walls coloured by the local thickness parameter, and the NICE and exact compliances (Supplementary Table ST21). (b) Change from the uniform start,</w:t>
      </w:r>
      <w:r>
        <w:t xml:space="preserve"> </w:t>
      </w:r>
      <m:oMath>
        <m:r>
          <m:t>τ</m:t>
        </m:r>
        <m:r>
          <m:rPr>
            <m:sty m:val="p"/>
          </m:rPr>
          <m:t>−</m:t>
        </m:r>
        <m:r>
          <m:t>0.40</m:t>
        </m:r>
      </m:oMath>
      <w:r>
        <w:t xml:space="preserve">. Material moves into the cells next to the support near the loaded end (up to</w:t>
      </w:r>
      <w:r>
        <w:t xml:space="preserve"> </w:t>
      </w:r>
      <m:oMath>
        <m:r>
          <m:rPr>
            <m:sty m:val="p"/>
          </m:rPr>
          <m:t>+</m:t>
        </m:r>
        <m:r>
          <m:t>0.29</m:t>
        </m:r>
      </m:oMath>
      <w:r>
        <w:t xml:space="preserve">), and the cells far from the load are thinned (down to</w:t>
      </w:r>
      <w:r>
        <w:t xml:space="preserve"> </w:t>
      </w:r>
      <m:oMath>
        <m:r>
          <m:rPr>
            <m:sty m:val="p"/>
          </m:rPr>
          <m:t>−</m:t>
        </m:r>
        <m:r>
          <m:t>0.22</m:t>
        </m:r>
      </m:oMath>
      <w:r>
        <w:t xml:space="preserve">). (c) The cut cell of Figure 1b at the final design under the design load. The panel shows the displacement magnitude on the walls from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from exact static condensation</w:t>
      </w:r>
      <w:r>
        <w:t xml:space="preserve"> </w:t>
      </w:r>
      <m:oMath>
        <m:sSub>
          <m:e>
            <m:r>
              <m:t>E</m:t>
            </m:r>
          </m:e>
          <m:sub>
            <m:r>
              <m:t>m</m:t>
            </m:r>
          </m:sub>
        </m:sSub>
        <m:sSub>
          <m:e>
            <m:r>
              <m:t>B</m:t>
            </m:r>
          </m:e>
          <m:sub>
            <m:r>
              <m:t>m</m:t>
            </m:r>
          </m:sub>
        </m:sSub>
        <m:r>
          <m:t>U</m:t>
        </m:r>
      </m:oMath>
      <w:r>
        <w:t xml:space="preserve"> </w:t>
      </w:r>
      <w:r>
        <w:t xml:space="preserve">on a common scale, and their difference on a separate scale. The two fields differ by 1.04% in the energy norm of the cell and by 0.76% in the Euclidean norm of the nodal displacements. Applying the same recovery operator to the exact retained displacements also gives 1.04%, so the difference comes from the displacement recovery within the cell. Over the plate, the difference in the energy norm is 1.72%; its square equals the relative compliance difference of</w:t>
      </w:r>
      <w:r>
        <w:t xml:space="preserve"> </w:t>
      </w:r>
      <m:oMath>
        <m:r>
          <m:t>2.96</m:t>
        </m:r>
        <m:r>
          <m:rPr>
            <m:sty m:val="p"/>
          </m:rPr>
          <m:t>×</m:t>
        </m:r>
        <m:sSup>
          <m:e>
            <m:r>
              <m:t>10</m:t>
            </m:r>
          </m:e>
          <m:sup>
            <m:r>
              <m:rPr>
                <m:sty m:val="p"/>
              </m:rPr>
              <m:t>−</m:t>
            </m:r>
            <m:r>
              <m:t>4</m:t>
            </m:r>
          </m:sup>
        </m:sSup>
      </m:oMath>
      <w:r>
        <w:t xml:space="preserve"> </w:t>
      </w:r>
      <w:r>
        <w:t xml:space="preserve">(Eq. (14)).</w:t>
      </w:r>
    </w:p>
    <w:p>
      <w:pPr>
        <w:pStyle w:val="BodyText"/>
      </w:pPr>
      <w:r>
        <w:t xml:space="preserve">In case A, the NICE design agrees with the design obtained with exact static condensation. In this case, the block is loaded by a normal traction on the face opposite the clamp. It is optimised from its graded design with NICE and, for comparison, with exact static condensation; the latter is called the twin run (Figure 14a). NICE stops after 24 design iterations and exact static condensation after 23 (Table 6).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The lattice gradient has errors of at most 0.33%, and every component has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A planar cut removes eight of these cells and leaves 16 uncut and eight cut cells (Supplementary Note S6.3). The plate is clamped at its cut: every DOF of the cut-plane elements of every cut cell is fixed. This support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The plate thus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Its thickest walls lie near the end of the support closest to the loaded face and along the opposite free edge.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 Two uniform designs of the same volume 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The homogenisation design described below lowers it by 30.5% against the first.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10">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homogenised model is clamped on the plane of the cut. It is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At the uniform start, this volume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elements per cell and axis, the underestimate is 25.8%. The clamp of the homogenised model is imposed by a penalty, and a hundredfold larger penalty factor changes the macroscale compliance by less than 0.001% (Supplementary Note S6.3). The underestimate is not caused by the support. The fine-scale model clamps all cut-plane elements, a support at least as stiff as one acting on the cut surface alone. This support lowers the exact compliance and therefore narrows the difference. Along its own optimisation path, the macroscale compliance lies 27–33% below the NICE compliance; up to iteration 3, the two runs analyse the same designs (Figure 14b). 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The corner parameters of the homogenisation design differ from those of the NICE design by up to 0.26, with a correlation of 0.95 (Supplementary Table ST18c). Figure 15b shows these corner parameters.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The change affected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plate has 32.7 million DOFs in the cut finite element model and 1.62 million free retained DOFs. Each plate was run for its first four design iterations. Learned substructures beyond 4 GiB of GPU memory were streamed from CPU memory. The time of a design iteration grew in proportion to the number of cells, at 10.1 to 10.9 s per cell, and reached 19.4 min for 110 cells. The conjugate gradients needed 138 to 173 iterations. The CPU memory, which holds the streamed state of the learned cells, grew by about 0.7 GiB per cell. With the learned cells on the GPU held within a fixed 4 GiB, the GPU memory grew with the assembled retained system. The preconditioner factorises the stiffness matrix</w:t>
      </w:r>
      <w:r>
        <w:t xml:space="preserve"> </w:t>
      </w:r>
      <m:oMath>
        <m:sSub>
          <m:e>
            <m:r>
              <m:rPr>
                <m:scr m:val="double-struck"/>
                <m:sty m:val="p"/>
              </m:rPr>
              <m:t>K</m:t>
            </m:r>
          </m:e>
          <m:sub>
            <m:r>
              <m:t>P</m:t>
            </m:r>
            <m:r>
              <m:t>P</m:t>
            </m:r>
          </m:sub>
        </m:sSub>
      </m:oMath>
      <w:r>
        <w:t xml:space="preserve"> </w:t>
      </w:r>
      <w:r>
        <w:t xml:space="preserve">of this system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 under a unit traction load on a face.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unless marked otherwise. Exact verification: exact discrete compliance of the designs, with the amount by which the NICE compliance lies below it in parentheses. Iterations: number of design iterations. Time: mean time of a design iteration, including the geometry generation of every cell. Unlike the analyses of Table 5, a design iteration regenerates the geometry of every cell and solves for one load (Supplementary Note S6.1).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the NICE optimisation and of the twin optimisation with exact static condensation. Open circles give the exact compliance of the NICE designs at iterations 0, 12 and 23.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and relative to the exact compliance of the same design (circles: −0.011%, −0.018%, −0.028%). The designs of the two runs coincide at iterations 0–4 and differ afterwards. At iterations 16 and 19, labelled 'perturbed designs', the NICE design had been perturbed by the fallback of the geometry generator (Supplementary Table ST19a). (b) Plate supported on its cut. The curves show the NICE compliance from the uniform start and the compliance of the homogenised macroscale model along its own optimisation (dashed line). The star marks the homogenisation design analysed with NICE on the cut geometry, placed at the last macroscale iteration. Open circles give the exact compliance of the uniform start, the final NICE design and the homogenisation design.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(a,b) Corner thickness parameters of the final NICE design and of the homogenisation design in the layer</w:t>
      </w:r>
      <w:r>
        <w:t xml:space="preserve"> </w:t>
      </w:r>
      <m:oMath>
        <m:r>
          <m:t>z</m:t>
        </m:r>
        <m:r>
          <m:rPr>
            <m:sty m:val="p"/>
          </m:rPr>
          <m:t>=</m:t>
        </m:r>
        <m:r>
          <m:t>0</m:t>
        </m:r>
      </m:oMath>
      <w:r>
        <w:t xml:space="preserve">, drawn with the long side horizontal. Circles denote design variables, and squares denote the fixed vertices in the plane of the loaded face. Vertices drawn in the removed region are corners of cut cells. The thick hatched line marks the clamped cut-plane elements, and the arrows mark the loaded face and the direction of the in-plane traction. The compliances in (a,b) are the NICE and exact values of the same design (Supplementary Table 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of 24, 51, 88 and 110 cells with the proportions and cut of the plate in Figure 15, at the uniform start</w:t>
      </w:r>
      <w:r>
        <w:t xml:space="preserve"> </w:t>
      </w:r>
      <m:oMath>
        <m:r>
          <m:t>τ</m:t>
        </m:r>
        <m:r>
          <m:rPr>
            <m:sty m:val="p"/>
          </m:rPr>
          <m:t>=</m:t>
        </m:r>
        <m:r>
          <m:t>0.40</m:t>
        </m:r>
      </m:oMath>
      <w:r>
        <w:t xml:space="preserve">, drawn to the same scale. Each plate stands on its clamped long side (hatched), and the opposite face carries an in-plane traction along the long side (arrows). Light: uncut cells; dark: cut cells. Each panel gives the DOFs of the cut finite-element model, the free retained DOFs and the mean time per design iteration. (e) Time per design iteration against the number of cells (squares: mean; bars: range over the timed iterations). The dashed line is proportional to the number of cells, with the mean time of 10.7 s per cell. Memory use is given in Supplementary Table ST20.</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second choice, and the ablation of Section 5.7 shows the role of the first. Even with exact interior displacements, restricting the cell-face displacements changes the assembled response, and a polynomial degree that gives an accurate compliance can still leave an appreciable error in the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 whose solution takes most of the time of a NICE analysis (Supplementary Table ST12d).</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By the energy formulation of the condensed stiffness, if an interior correction does not increase the</w:t>
      </w:r>
      <w:r>
        <w:t xml:space="preserve"> </w:t>
      </w:r>
      <m:oMath>
        <m:r>
          <m:t>A</m:t>
        </m:r>
      </m:oMath>
      <w:r>
        <w:t xml:space="preserve">-energy error for any retained displacements, the corrected condensed stiffness lies between the uncorrected and the exact condensed stiffness, whatever the network (Section 3.4). An interior displacement error of about 1% gives an energy error of 1.8 to 35%, because the error is stiffer than the exact solution (Section 5.4). Chebyshev smoothing removes the error components with large Rayleigh quotients of the Jacobi-scaled interior stiffness matrix. The coarse-grid correction removes the smooth components that smoothing reduces slowly. Under the same correction, the network prediction leaves lower energy errors than zero interior displacements and the graph-harmonic field (Table 4). Even with eight times the smoothing work, the graph-harmonic field leaves a larger error than the eight-step result of the base network in five of six cells (Section 5.5). Conversely, the correction reduces the error components that the network represents poorly. On the moderately cut cell M1, it lowers the energy error of the base network from 13.5% to 0.19% without any change of the network parameters. In the two-cell configurations, Base network + correction already stays below the 3% lines. Training with the correction applied adds less than the correction itself: it reduces the mean energy error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The relevant cost is therefore the total work needed to reach the prescribed accuracy in both quantities. On the lattices of Section 5.9, NICE is faster than the whole-lattice direct solution and conventional exact static condensation. On the two eight-cell lattices, on which iterative solvers were compared, it is also faster than whole-lattice conjugate gradients with algebraic multigrid. It also needs less memory than the two direct routes. The advantage comes from the way the interior is resolved. The exact routes, direct or iterative, solve the fine-scale problem of every cell or of the whole lattice. NICE obtains the interior displacements of each cell from one network evaluation and a fixed number of correction steps, and it solves the assembled problem on the retained DOFs only (Section 5.9). Inexact BDDC and FETI-DP methods</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w:t>
      </w:r>
      <w:r>
        <w:t xml:space="preserve"> </w:t>
      </w:r>
      <w:hyperlink r:id="rId43">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This setting consists of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Its grid hierarchy, with 65, 33, 17 and 9 positions per axis, is matched to this discretisation. Other TPMS families need further training.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6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this is left to future work. The network is not equivariant under the symmetries of the cube: for a rotated or reflected cell, its prediction is in general not the correspondingly rotated or reflected prediction. Symmetry-decoupled shape functions for voxel substructures have this property</w:t>
      </w:r>
      <w:r>
        <w:t xml:space="preserve"> </w:t>
      </w:r>
      <w:hyperlink r:id="rId32">
        <w:r>
          <w:rPr>
            <w:rStyle w:val="Hyperlink"/>
          </w:rPr>
          <w:t xml:space="preserve">Jiang, C. et al. (2026)</w:t>
        </w:r>
      </w:hyperlink>
      <w:r>
        <w:t xml:space="preserve">. NICE was evaluated mainly in the identity orientation. It was also evaluated on the 80 validation geometries in a second orientation, obtained by a symmetry of the cube. This orientation was also used in checkpoint selection. In this orientation, its mean energy error over the seven load classes evaluated in both orientations is 4% higher in relative terms, and under traction loads it is 12% higher (Supplementary Table ST03c).</w:t>
      </w:r>
    </w:p>
    <w:p>
      <w:pPr>
        <w:pStyle w:val="BodyText"/>
      </w:pPr>
      <w:r>
        <w:t xml:space="preserve">The properties of the condensed stiffness shown in Section 3.1 hold for any input to the network,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Its compliance is therefore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to</w:t>
      </w:r>
      <w:r>
        <w:t xml:space="preserve"> </w:t>
      </w:r>
      <m:oMath>
        <m:r>
          <m:t>n</m:t>
        </m:r>
        <m:r>
          <m:rPr>
            <m:sty m:val="p"/>
          </m:rPr>
          <m:t>=</m:t>
        </m:r>
        <m:r>
          <m:t>64</m:t>
        </m:r>
      </m:oMath>
      <w:r>
        <w:t xml:space="preserve"> </w:t>
      </w:r>
      <w:r>
        <w:t xml:space="preserve">by at most 0.28% in the compliance and 0.44% in the sensitivity. The exception is the heavily cut cell H2, where the deviations reach about 1% and 3.6% (Supplementary Table ST10).</w:t>
      </w:r>
    </w:p>
    <w:p>
      <w:pPr>
        <w:pStyle w:val="BodyText"/>
      </w:pPr>
      <w:r>
        <w:t xml:space="preserve">The evidence on assembled models consists of the following examples. The two-cell assemblies comprise fourteen configurations of cells used for checkpoint selection and eighteen configurations of cells outside checkpoint selection (Section 5.6). The lattices are two eight-cell lattices and the two four-cell layers of the block (Sections 5.8 and 5.9). The designs checked against exact static condensation are three designs of the block in case A and five designs of the cut 24-cell plate. They also include the first designs of the 24- and 51-cell plates of the scale study (Section 5.10). All comparisons between trained variants use a single random seed. The effect of the sensitivity term in the loss of Eq. (13) was not isolated. 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r>
          <m:t>F</m:t>
        </m:r>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In addition,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A line search would compare the approximate compliance with</w:t>
      </w:r>
      <w:r>
        <w:t xml:space="preserve"> </w:t>
      </w:r>
      <m:oMath>
        <m:sSub>
          <m:e>
            <m:acc>
              <m:accPr>
                <m:chr m:val="̃"/>
              </m:accPr>
              <m:e>
                <m:r>
                  <m:t>s</m:t>
                </m:r>
              </m:e>
            </m:acc>
          </m:e>
          <m:sub>
            <m:r>
              <m:t>c</m:t>
            </m:r>
          </m:sub>
        </m:sSub>
      </m:oMath>
      <w:r>
        <w:t xml:space="preserve">, which is not its derivative. 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The comparison used algebraic multigrid</w:t>
      </w:r>
      <w:r>
        <w:t xml:space="preserve"> </w:t>
      </w:r>
      <w:hyperlink r:id="rId67">
        <w:r>
          <w:rPr>
            <w:rStyle w:val="Hyperlink"/>
          </w:rPr>
          <w:t xml:space="preserve">Vaněk et al. (1996)</w:t>
        </w:r>
      </w:hyperlink>
      <w:r>
        <w:t xml:space="preserve">,</w:t>
      </w:r>
      <w:r>
        <w:t xml:space="preserve"> </w:t>
      </w:r>
      <w:hyperlink r:id="rId128">
        <w:r>
          <w:rPr>
            <w:rStyle w:val="Hyperlink"/>
          </w:rPr>
          <w:t xml:space="preserve">Henson &amp; Yang (2002)</w:t>
        </w:r>
      </w:hyperlink>
      <w:r>
        <w:t xml:space="preserve">,</w:t>
      </w:r>
      <w:r>
        <w:t xml:space="preserve"> </w:t>
      </w:r>
      <w:hyperlink r:id="rId113">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14">
        <w:r>
          <w:rPr>
            <w:rStyle w:val="Hyperlink"/>
          </w:rPr>
          <w:t xml:space="preserve">Dohrmann (2003)</w:t>
        </w:r>
      </w:hyperlink>
      <w:r>
        <w:t xml:space="preserve"> </w:t>
      </w:r>
      <w:r>
        <w:t xml:space="preserve">(Section 5.9). FETI-DP</w:t>
      </w:r>
      <w:r>
        <w:t xml:space="preserve"> </w:t>
      </w:r>
      <w:hyperlink r:id="rId129">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This set changes with the cell geometry. A network predicts the interior displacements, and a fixed two-grid correction reduces the interior force imbalance that the network leaves. The condensed stiffness is computed from the strain energy of the corrected field and applied with the transpose of the complete recovery operator, so it is symmetric positive semidefinite, and only the rigid-body modes have zero energy. It is never softer than the exact condensed stiffness, and its error is quadratic in the interior displacement error (Proposition 1). These properties do not depend on how well the network is trained. A correction that satisfies the conditions of Proposition 2 cannot increase the error of the condensed stiffness. In every example of Supplementary Table ST07, a larger number of smoothing steps reduced the error further. The network and the correction complement each other. Under the same correction, a graph-harmonic initial field leaves 5.4 to 265 times the error of NICE.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linear in that error (Proposition 4). In cut cells, the displacement errors of the base network are about 1%, but they are stiffer than the exact solution and give energy errors of 1.8 to 35% (Section 5.4). These relations hold for any approximate recovery operator, so an approximate static condensation used in design must be checked on its sensitivities as well as on its compliance. NICE is trained and checked on both.</w:t>
      </w:r>
    </w:p>
    <w:p>
      <w:pPr>
        <w:pStyle w:val="BodyText"/>
      </w:pPr>
      <w:r>
        <w:t xml:space="preserve">For cut thin-walled Schwarz-P cells with tens of thousands of retained DOFs, the mean energy error of NICE over the 80 validation geometries is 0.074%. In every two-cell configuration, its compliance and sensitivity errors are at most 0.27% and 1.49%. An analysis of an eight-cell lattice with sensitivities takes 79–105 s on one GPU.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by 27%. For the same plate, the compliance and the gradient from NICE differ from those of exact static condensation by at most 0.032% and 0.32% at the five checked designs. The optimised design has a 32% lower compliance than the uniform design of the same volume. On the plates of the scale study, exact checks up to 51 cells give compliance errors below 0.014% and gradient errors below 0.05%. A design iteration of a 110-cell plate with 32.7 million DOFs takes 19 min.</w:t>
      </w:r>
    </w:p>
    <w:p>
      <w:pPr>
        <w:pStyle w:val="BodyText"/>
      </w:pPr>
      <w:r>
        <w:t xml:space="preserve">Homogenisation loses accuracy where the scales do not separate, and a fine-scale model of every wall must be solved again at every design iteration. Between these two approaches, NICE provides a component model that keeps the properties of static condensation without factorising the interior stiffness matrix of each cell.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face nodes of every certified positive-area material patch. The cut node set is the union of all 27 nodes of each active element carrying a positive-area cut-surface patch. Their union is deduplicated in active-node order. The DOFs of the cut-plane elements that lie off the cut plane are also retained, because their basis functions determine the displacement and the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implicit band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t>E</m:t>
        </m:r>
      </m:oMath>
      <w:r>
        <w:t xml:space="preserve"> </w:t>
      </w:r>
      <w:r>
        <w:t xml:space="preserve">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are taken of the complete recovery operator, including the correction. Interior body loads are zero; equivalently, the load functional depends only on the retained DOFs. Boundary loads integrated consistently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an admissible linear recovery operator</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and the assumption that the numerically integrated element matrices keep the rigid-body kernel.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assumptions of Section 2.3,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r>
        <w:t xml:space="preserve"> </w:t>
      </w:r>
      <w:r>
        <w:t xml:space="preserve">## Appendix D. Polynomial smoothing and coarse projections</w:t>
      </w:r>
    </w:p>
    <w:p>
      <w:pPr>
        <w:pStyle w:val="BodyText"/>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26">
        <w:r>
          <w:rPr>
            <w:rStyle w:val="Hyperlink"/>
          </w:rPr>
          <w:t xml:space="preserve">Xu &amp; Zikatanov (2002)</w:t>
        </w:r>
      </w:hyperlink>
      <w:r>
        <w:t xml:space="preserve">. This is the standard energy-projection mechanism of subspace correction</w:t>
      </w:r>
      <w:r>
        <w:t xml:space="preserve"> </w:t>
      </w:r>
      <w:hyperlink r:id="rId2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increases monotonically towards the reference, and the total reconstructed energy error of Eq. (14)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r>
        <w:t xml:space="preserve"> </w:t>
      </w:r>
      <w:r>
        <w:t xml:space="preserve">## 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terms that contain the derivative of the recovery operator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thus removes the term linear in the interior displacement error and replaces it by a term weighted by the design derivative of the recovery error. Which of the two 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PSD.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2026-10-10T08:51:06Z</dcterms:created>
  <dcterms:modified xsi:type="dcterms:W3CDTF">2026-10-10T08:51:06Z</dcterms:modified>
</cp:coreProperties>
</file>

<file path=docProps/custom.xml><?xml version="1.0" encoding="utf-8"?>
<Properties xmlns="http://schemas.openxmlformats.org/officeDocument/2006/custom-properties" xmlns:vt="http://schemas.openxmlformats.org/officeDocument/2006/docPropsVTypes"/>
</file>