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remaining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The base network was initialised from parameters obtained in three preceding training stages. The data split comprises 691 geometries: 591 training geometries and 100 validation geometries, which include the 80 of Table ST02.</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remaining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band.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r>
        <w:t xml:space="preserve"> </w:t>
      </w:r>
      <w:r>
        <w:t xml:space="preserve">## Table ST08. Complete results of the two-cell assemblies with a continuous-thickness neighbour</w:t>
      </w:r>
    </w:p>
    <w:p>
      <w:pPr>
        <w:pStyle w:val="BodyText"/>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Remaining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remaining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By the principle of minimum potential energy, the compliance of this restricted solution does not decrease when the boundary space is enlarged to a space that contains it. The correction keeps every retained DOF fixed and changes the interior displacements of</w:t>
      </w:r>
      <w:r>
        <w:t xml:space="preserve"> </w:t>
      </w:r>
      <m:oMath>
        <m:r>
          <m:t>u</m:t>
        </m:r>
        <m:r>
          <m:rPr>
            <m:sty m:val="p"/>
          </m:rPr>
          <m:t>=</m:t>
        </m:r>
        <m:r>
          <m:t>F</m:t>
        </m:r>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r>
        <w:t xml:space="preserve"> </w:t>
      </w:r>
      <w:r>
        <w:t xml:space="preserve">## Supplementary Note S3. Cost records: whole-lattice direct solution and per-cell condensation</w:t>
      </w:r>
    </w:p>
    <w:p>
      <w:pPr>
        <w:pStyle w:val="BodyText"/>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remaining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on the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9">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study: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Approximate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Approximate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remaining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(remaining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study and exact verification of the plate designs</w:t>
      </w:r>
    </w:p>
    <w:p>
      <w:pPr>
        <w:pStyle w:val="FirstParagraph"/>
      </w:pPr>
      <w:r>
        <w:rPr>
          <w:b/>
          <w:bCs/>
        </w:rPr>
        <w:t xml:space="preserve">Scale study.</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remaining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study.</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Approximate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Approximate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2.3).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assumptions (A1)–(A3) concern the stiffness and the assembly, and because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stiffness matrices,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6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surface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and of Figure S04;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2026-10-10T08:51:07Z</dcterms:created>
  <dcterms:modified xsi:type="dcterms:W3CDTF">2026-10-10T08:51:07Z</dcterms:modified>
</cp:coreProperties>
</file>

<file path=docProps/custom.xml><?xml version="1.0" encoding="utf-8"?>
<Properties xmlns="http://schemas.openxmlformats.org/officeDocument/2006/custom-properties" xmlns:vt="http://schemas.openxmlformats.org/officeDocument/2006/docPropsVTypes"/>
</file>