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material layer.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4.6850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results of the two-cell assemblies with a continuous-thickness neighbour</w:t>
      </w:r>
    </w:p>
    <w:p>
      <w:pPr>
        <w:pStyle w:val="FirstParagraph"/>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acc>
          <m:accPr>
            <m:chr m:val="̂"/>
          </m:accPr>
          <m:e>
            <m:r>
              <m:rPr>
                <m:sty m:val="p"/>
              </m:rPr>
              <m:t>Ψ</m:t>
            </m:r>
          </m:e>
        </m:acc>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(PyTorch 2.8.0, CUDA 12.8, NVIDIA cuDSS 0.8) on an NVIDIA GeForce RTX 5090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20">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memory in use on the whole GPU (nvidia-smi, sampled every 0.1 s), which besides the tensors includes the CUDA context, the cuDSS factorisation and the memory held by the caching allocator;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Both routes read the generated cell geometry; geometry generation is not timed (as in Table 5). Cell preparation: cell setup and element moments, on the GPU, for NICE; cell setup, moment integration and stiffness assembly, on the CPU, for the conventional route. Condensation: network input, encoding and correction setup (smoothing interval and coarse factorisation) for NICE; symbolic analysis and Cholesky factorisation of the interior by MKL PARDISO (16 threads) for the conventional route. The NICE times exclude the one-time compilation and initialisation of the GPU kernels at the start of a process (about 1.5 s). Memory, in GiB: for NICE, all GPU memory that the deployed implementation holds for the cell after the correction setup, comprising the network state, the correction and the stiffness kept as element moments (the deployed implementation does not assemble the cell stiffness matrix; the element moments take 0.03–0.09 GiB per cell); for the conventional route, PARDISO's factorisation storage (iparm(17)), with the assembled cell stiffness matrix held in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r>
      <w:tr>
        <w:tc>
          <w:tcPr/>
          <w:p>
            <w:pPr>
              <w:pStyle w:val="Compact"/>
            </w:pPr>
            <w:r>
              <w:t xml:space="preserve">G1 (cut)</w:t>
            </w:r>
          </w:p>
        </w:tc>
        <w:tc>
          <w:tcPr/>
          <w:p>
            <w:pPr>
              <w:pStyle w:val="Compact"/>
            </w:pPr>
            <w:r>
              <w:t xml:space="preserve">177,507 / 24,636</w:t>
            </w:r>
          </w:p>
        </w:tc>
        <w:tc>
          <w:tcPr/>
          <w:p>
            <w:pPr>
              <w:pStyle w:val="Compact"/>
            </w:pPr>
            <w:r>
              <w:t xml:space="preserve">0.46 / 27.3</w:t>
            </w:r>
          </w:p>
        </w:tc>
        <w:tc>
          <w:tcPr/>
          <w:p>
            <w:pPr>
              <w:pStyle w:val="Compact"/>
            </w:pPr>
            <w:r>
              <w:t xml:space="preserve">0.29 / 10.5</w:t>
            </w:r>
          </w:p>
        </w:tc>
        <w:tc>
          <w:tcPr/>
          <w:p>
            <w:pPr>
              <w:pStyle w:val="Compact"/>
            </w:pPr>
            <w:r>
              <w:t xml:space="preserve">0.48 / 2.89</w:t>
            </w:r>
          </w:p>
        </w:tc>
      </w:tr>
      <w:tr>
        <w:tc>
          <w:tcPr/>
          <w:p>
            <w:pPr>
              <w:pStyle w:val="Compact"/>
            </w:pPr>
            <w:r>
              <w:t xml:space="preserve">G2 (cut)</w:t>
            </w:r>
          </w:p>
        </w:tc>
        <w:tc>
          <w:tcPr/>
          <w:p>
            <w:pPr>
              <w:pStyle w:val="Compact"/>
            </w:pPr>
            <w:r>
              <w:t xml:space="preserve">67,224 / 18,858</w:t>
            </w:r>
          </w:p>
        </w:tc>
        <w:tc>
          <w:tcPr/>
          <w:p>
            <w:pPr>
              <w:pStyle w:val="Compact"/>
            </w:pPr>
            <w:r>
              <w:t xml:space="preserve">0.27 / 10.9</w:t>
            </w:r>
          </w:p>
        </w:tc>
        <w:tc>
          <w:tcPr/>
          <w:p>
            <w:pPr>
              <w:pStyle w:val="Compact"/>
            </w:pPr>
            <w:r>
              <w:t xml:space="preserve">0.13 / 1.9</w:t>
            </w:r>
          </w:p>
        </w:tc>
        <w:tc>
          <w:tcPr/>
          <w:p>
            <w:pPr>
              <w:pStyle w:val="Compact"/>
            </w:pPr>
            <w:r>
              <w:t xml:space="preserve">0.19 / 0.60</w:t>
            </w:r>
          </w:p>
        </w:tc>
      </w:tr>
      <w:tr>
        <w:tc>
          <w:tcPr/>
          <w:p>
            <w:pPr>
              <w:pStyle w:val="Compact"/>
            </w:pPr>
            <w:r>
              <w:t xml:space="preserve">G3 (uncut)</w:t>
            </w:r>
          </w:p>
        </w:tc>
        <w:tc>
          <w:tcPr/>
          <w:p>
            <w:pPr>
              <w:pStyle w:val="Compact"/>
            </w:pPr>
            <w:r>
              <w:t xml:space="preserve">289,494 / 17,508</w:t>
            </w:r>
          </w:p>
        </w:tc>
        <w:tc>
          <w:tcPr/>
          <w:p>
            <w:pPr>
              <w:pStyle w:val="Compact"/>
            </w:pPr>
            <w:r>
              <w:t xml:space="preserve">0.58 / 45.0</w:t>
            </w:r>
          </w:p>
        </w:tc>
        <w:tc>
          <w:tcPr/>
          <w:p>
            <w:pPr>
              <w:pStyle w:val="Compact"/>
            </w:pPr>
            <w:r>
              <w:t xml:space="preserve">0.52 / 27.3</w:t>
            </w:r>
          </w:p>
        </w:tc>
        <w:tc>
          <w:tcPr/>
          <w:p>
            <w:pPr>
              <w:pStyle w:val="Compact"/>
            </w:pPr>
            <w:r>
              <w:t xml:space="preserve">0.83 / 6.18</w:t>
            </w:r>
          </w:p>
        </w:tc>
      </w:tr>
      <w:tr>
        <w:tc>
          <w:tcPr/>
          <w:p>
            <w:pPr>
              <w:pStyle w:val="Compact"/>
            </w:pPr>
            <w:r>
              <w:t xml:space="preserve">G4 (uncut)</w:t>
            </w:r>
          </w:p>
        </w:tc>
        <w:tc>
          <w:tcPr/>
          <w:p>
            <w:pPr>
              <w:pStyle w:val="Compact"/>
            </w:pPr>
            <w:r>
              <w:t xml:space="preserve">404,148 / 25,920</w:t>
            </w:r>
          </w:p>
        </w:tc>
        <w:tc>
          <w:tcPr/>
          <w:p>
            <w:pPr>
              <w:pStyle w:val="Compact"/>
            </w:pPr>
            <w:r>
              <w:t xml:space="preserve">0.68 / 47.0</w:t>
            </w:r>
          </w:p>
        </w:tc>
        <w:tc>
          <w:tcPr/>
          <w:p>
            <w:pPr>
              <w:pStyle w:val="Compact"/>
            </w:pPr>
            <w:r>
              <w:t xml:space="preserve">0.76 / 48.9</w:t>
            </w:r>
          </w:p>
        </w:tc>
        <w:tc>
          <w:tcPr/>
          <w:p>
            <w:pPr>
              <w:pStyle w:val="Compact"/>
            </w:pPr>
            <w:r>
              <w:t xml:space="preserve">1.08 / 9.42</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
                    </m:rPr>
                    <m:t>τ</m:t>
                  </m:r>
                </m:e>
                <m:sub>
                  <m:r>
                    <m:t>g</m:t>
                  </m:r>
                </m:sub>
              </m:sSub>
            </m:oMath>
            <w:r>
              <w:t xml:space="preserve">;</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21">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2.4).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they depend only on the stiffness matrix, the assembly and two properties of the recovery operator, and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10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2026-10-16T20:09:29Z</dcterms:created>
  <dcterms:modified xsi:type="dcterms:W3CDTF">2026-10-16T20:09:29Z</dcterms:modified>
</cp:coreProperties>
</file>

<file path=docProps/custom.xml><?xml version="1.0" encoding="utf-8"?>
<Properties xmlns="http://schemas.openxmlformats.org/officeDocument/2006/custom-properties" xmlns:vt="http://schemas.openxmlformats.org/officeDocument/2006/docPropsVTypes"/>
</file>