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75.png" ContentType="image/png"/>
  <Override PartName="/word/media/rId88.png" ContentType="image/png"/>
  <Override PartName="/word/media/rId91.png" ContentType="image/png"/>
  <Override PartName="/word/media/rId97.png" ContentType="image/png"/>
  <Override PartName="/word/media/rId103.png" ContentType="image/png"/>
  <Override PartName="/word/media/rId109.png" ContentType="image/png"/>
  <Override PartName="/word/media/rId85.png" ContentType="image/png"/>
  <Override PartName="/word/media/rId100.png" ContentType="image/png"/>
  <Override PartName="/word/media/rId106.png" ContentType="image/png"/>
  <Override PartName="/word/media/rId78.png" ContentType="image/png"/>
  <Override PartName="/word/media/rId94.png" ContentType="image/png"/>
  <Override PartName="/word/media/rId119.png" ContentType="image/png"/>
  <Override PartName="/word/media/rId12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When a lattice is trimmed to the shape of a part, its cut cells can carry the supports and loads, and each has a geometry of its own. Resolving every wall makes each design iteration a fine-scale analysis of the whole structure; homogenisation loses accuracy where scales do not separate. Static condensation keeps each cell's fine scale, but needs an interior factorisation for every geometry, whose discrete space changes with the cut. Neural-initialised static condensation with equilibrium correction (NICE) divides the tasks of condensation: a geometry-conditioned network supplies the interior field, the energy form the structure, and a fixed two-grid correction the improvability. The network must be accurate, not structure-preserving. NICE keeps every box-face and cut-band degree of freedom; its network, exactly linear in the retained displacement and admissible by construction, forms no matrix. The condensed stiffness is a Ritz approximation, bounded below by the exact Schur complement with error quadratic in the interior error, and a correction nonexpansive in this energy cannot increase that error. Accurate compliance does not imply accurate sensitivity for any approximate extension; NICE is trained and checked on both. For cut Schwarz-P cells, the mean energy error on 80 validation geometries is 0.074%, and an eight-cell analysis with sensitivities is about ten times faster than direct solution. Thickness optimisation reproduces the exact-condensation design of an eight-cell lattice, and on a 24-cell layer clamped at its cut, where homogenisation underestimates the compliance by 27%, NICE matches exact condensation to 0.03% in compliance and 0.3% in gradient.</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large, and every design change calls for its analysis again,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w:t>
      </w:r>
      <w:r>
        <w:t xml:space="preserve"> </w:t>
      </w:r>
      <w:hyperlink r:id="rId11">
        <w:r>
          <w:rPr>
            <w:rStyle w:val="Hyperlink"/>
          </w:rPr>
          <w:t xml:space="preserve">Wu et al. (2021)</w:t>
        </w:r>
      </w:hyperlink>
      <w:r>
        <w:t xml:space="preserve">. It is accurate where the cells are small compared with the variation of the field and loses that accuracy where they are not: at supports, at loads and in cells cut by the boundary. For the plate of Section 5.10, a single layer clamped through its cut band (Figure 1), the homogenised model of that section underestimates the compliance of the uniform starting design by 27%; the method of this paper, neural-initialised static condensation with equilibrium correction (NICE), underestimates it by 0.011%. Resolving every wall of every cell settles the tension in favour of fidelity; large-scale parallel solvers make this feasible</w:t>
      </w:r>
      <w:r>
        <w:t xml:space="preserve"> </w:t>
      </w:r>
      <w:hyperlink r:id="rId12">
        <w:r>
          <w:rPr>
            <w:rStyle w:val="Hyperlink"/>
          </w:rPr>
          <w:t xml:space="preserve">Aage et al. (2017)</w:t>
        </w:r>
      </w:hyperlink>
      <w:r>
        <w:t xml:space="preserve">,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3">
        <w:r>
          <w:rPr>
            <w:rStyle w:val="Hyperlink"/>
          </w:rPr>
          <w:t xml:space="preserve">Guyan (1965)</w:t>
        </w:r>
      </w:hyperlink>
      <w:r>
        <w:t xml:space="preserve">,</w:t>
      </w:r>
      <w:r>
        <w:t xml:space="preserve"> </w:t>
      </w:r>
      <w:hyperlink r:id="rId14">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5">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6">
        <w:r>
          <w:rPr>
            <w:rStyle w:val="Hyperlink"/>
          </w:rPr>
          <w:t xml:space="preserve">Huang et al. (2023)</w:t>
        </w:r>
      </w:hyperlink>
      <w:r>
        <w:t xml:space="preserve">,</w:t>
      </w:r>
      <w:r>
        <w:t xml:space="preserve"> </w:t>
      </w:r>
      <w:hyperlink r:id="rId17">
        <w:r>
          <w:rPr>
            <w:rStyle w:val="Hyperlink"/>
          </w:rPr>
          <w:t xml:space="preserve">Guo et al. (2026a)</w:t>
        </w:r>
      </w:hyperlink>
      <w:r>
        <w:t xml:space="preserve">.</w:t>
      </w:r>
    </w:p>
    <w:p>
      <w:pPr>
        <w:pStyle w:val="BodyText"/>
      </w:pPr>
      <w:r>
        <w:drawing>
          <wp:inline>
            <wp:extent cx="5334000" cy="2311144"/>
            <wp:effectExtent b="0" l="0" r="0" t="0"/>
            <wp:docPr descr="Figure 1" title="" id="19" name="Picture"/>
            <a:graphic>
              <a:graphicData uri="http://schemas.openxmlformats.org/drawingml/2006/picture">
                <pic:pic>
                  <pic:nvPicPr>
                    <pic:cNvPr descr="figures/F00_problem.png" id="20" name="Picture"/>
                    <pic:cNvPicPr>
                      <a:picLocks noChangeArrowheads="1" noChangeAspect="1"/>
                    </pic:cNvPicPr>
                  </pic:nvPicPr>
                  <pic:blipFill>
                    <a:blip r:embed="rId18"/>
                    <a:stretch>
                      <a:fillRect/>
                    </a:stretch>
                  </pic:blipFill>
                  <pic:spPr bwMode="auto">
                    <a:xfrm>
                      <a:off x="0" y="0"/>
                      <a:ext cx="5334000" cy="2311144"/>
                    </a:xfrm>
                    <a:prstGeom prst="rect">
                      <a:avLst/>
                    </a:prstGeom>
                    <a:noFill/>
                    <a:ln w="9525">
                      <a:noFill/>
                      <a:headEnd/>
                      <a:tailEnd/>
                    </a:ln>
                  </pic:spPr>
                </pic:pic>
              </a:graphicData>
            </a:graphic>
          </wp:inline>
        </w:drawing>
      </w:r>
    </w:p>
    <w:p>
      <w:pPr>
        <w:pStyle w:val="BodyText"/>
      </w:pPr>
      <w:r>
        <w:rPr>
          <w:b/>
          <w:bCs/>
        </w:rPr>
        <w:t xml:space="preserve">Figure 1. A lattice trimmed to a part, whose cut cells carry the support.</w:t>
      </w:r>
      <w:r>
        <w:t xml:space="preserve"> </w:t>
      </w:r>
      <w:r>
        <w:t xml:space="preserve">(a) Plan view of a single layer of</w:t>
      </w:r>
      <w:r>
        <w:t xml:space="preserve"> </w:t>
      </w:r>
      <m:oMath>
        <m:r>
          <m:t>8</m:t>
        </m:r>
        <m:r>
          <m:rPr>
            <m:sty m:val="p"/>
          </m:rPr>
          <m:t>×</m:t>
        </m:r>
        <m:r>
          <m:t>4</m:t>
        </m:r>
      </m:oMath>
      <w:r>
        <w:t xml:space="preserve"> </w:t>
      </w:r>
      <w:r>
        <w:t xml:space="preserve">Schwarz-P cells (Eq. (1), uniform</w:t>
      </w:r>
      <w:r>
        <w:t xml:space="preserve"> </w:t>
      </w:r>
      <m:oMath>
        <m:r>
          <m:t>τ</m:t>
        </m:r>
        <m:r>
          <m:rPr>
            <m:sty m:val="p"/>
          </m:rPr>
          <m:t>=</m:t>
        </m:r>
        <m:r>
          <m:t>0.40</m:t>
        </m:r>
      </m:oMath>
      <w:r>
        <w:t xml:space="preserve">) trimmed by a plane: 16 uncut cells (light) and eight cut cells (dark); the part removed by the cut is drawn pale with a dashed outline. The plate is clamped through its cut: every degree of freedom of the cut band of every cut cell is fixed (hatched line). The end face carries an in-plane traction of unit resultant (arrows). (b) The cut cell outlined in (a), with translucent walls and the cut plane: of the 72,631 nodes of its</w:t>
      </w:r>
      <w:r>
        <w:t xml:space="preserve"> </w:t>
      </w:r>
      <m:oMath>
        <m:sSub>
          <m:e>
            <m:r>
              <m:t>Q</m:t>
            </m:r>
          </m:e>
          <m:sub>
            <m:r>
              <m:t>2</m:t>
            </m:r>
          </m:sub>
        </m:sSub>
      </m:oMath>
      <w:r>
        <w:t xml:space="preserve"> </w:t>
      </w:r>
      <w:r>
        <w:t xml:space="preserve">model, the 9,674 on the box faces (blue) and in the cut band (sand) are retained; all others are interior and are eliminated by condensation. Surfaces are reconstructed from Eq. (1) for visualisation.</w:t>
      </w:r>
    </w:p>
    <w:p>
      <w:pPr>
        <w:pStyle w:val="BodyText"/>
      </w:pPr>
      <w:r>
        <w:t xml:space="preserve">Static condensation serves analysis and design well because its condensed stiffness is symmetric and positive semidefinite with the rigid-body kernel and therefore assembles like a finite element. A learned component model that takes its place is most useful if it keeps this structure, applies to every new geometry without an interior factorisation even when the cut changes the discrete space, has an error that can be traced to the compliance and to the local sensitivities that design uses, and can be improved at deployment without retraining. This paper shows that a learned component model can have these four properties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 The network then has to be accurate, but it does not have to preserve structure.</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21">
        <w:r>
          <w:rPr>
            <w:rStyle w:val="Hyperlink"/>
          </w:rPr>
          <w:t xml:space="preserve">Eftang &amp; Patera (2013)</w:t>
        </w:r>
      </w:hyperlink>
      <w:r>
        <w:t xml:space="preserve">,</w:t>
      </w:r>
      <w:r>
        <w:t xml:space="preserve"> </w:t>
      </w:r>
      <w:hyperlink r:id="rId22">
        <w:r>
          <w:rPr>
            <w:rStyle w:val="Hyperlink"/>
          </w:rPr>
          <w:t xml:space="preserve">Smetana &amp; Patera (2016)</w:t>
        </w:r>
      </w:hyperlink>
      <w:r>
        <w:t xml:space="preserve">,</w:t>
      </w:r>
      <w:r>
        <w:t xml:space="preserve"> </w:t>
      </w:r>
      <w:hyperlink r:id="rId23">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24">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through its cut band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Accurate compliance therefore does not certify an accurate design gradient, for any approximate condensation used in design. This has been observed for approximate reanalysis and inexact solves in topology optimisation</w:t>
      </w:r>
      <w:r>
        <w:t xml:space="preserve"> </w:t>
      </w:r>
      <w:hyperlink r:id="rId25">
        <w:r>
          <w:rPr>
            <w:rStyle w:val="Hyperlink"/>
          </w:rPr>
          <w:t xml:space="preserve">Amir et al. (2009)</w:t>
        </w:r>
      </w:hyperlink>
      <w:r>
        <w:t xml:space="preserve">,</w:t>
      </w:r>
      <w:r>
        <w:t xml:space="preserve"> </w:t>
      </w:r>
      <w:hyperlink r:id="rId26">
        <w:r>
          <w:rPr>
            <w:rStyle w:val="Hyperlink"/>
          </w:rPr>
          <w:t xml:space="preserve">Amir et al. (2010)</w:t>
        </w:r>
      </w:hyperlink>
      <w:r>
        <w:t xml:space="preserve">,</w:t>
      </w:r>
      <w:r>
        <w:t xml:space="preserve"> </w:t>
      </w:r>
      <w:hyperlink r:id="rId27">
        <w:r>
          <w:rPr>
            <w:rStyle w:val="Hyperlink"/>
          </w:rPr>
          <w:t xml:space="preserve">Gogu (2015)</w:t>
        </w:r>
      </w:hyperlink>
      <w:r>
        <w:t xml:space="preserve">. Section 3 derives it for any admissible extension, and NICE is trained and checked on compliance and local sensitivity separately (Section 5.6).</w:t>
      </w:r>
    </w:p>
    <w:p>
      <w:pPr>
        <w:pStyle w:val="BodyText"/>
      </w:pPr>
      <w:r>
        <w:t xml:space="preserve">The central idea is a division of tasks within static condensation: learning supplies the trial field, the variational form supplies the structure, and a fixed correction supplies the improvability. The approximation is placed in the interior extension; the extension is a network that is exactly linear in the retained displacement and admissible by construction, so that its energy defines a Ritz approximation of the condensed stiffness; a fixed equilibrium correction inside that energy removes much of the error the network leaves; and the error that remains is followed through the energy share and the stiffness derivative to the compliance and the design sensitivity. Whatever admissible extension it produces, as long as it reproduces rigid-body motion, the energy form yields a symmetric positive semidefinite condensed stiffness with the rigid-body kernel, bounded below by the exact Schur complement with an error quadratic in the interior error; exact static condensation is the case in which the extension is exact. Static condensation is itself a two-level method: the exact extension</w:t>
      </w:r>
      <w:r>
        <w:t xml:space="preserve"> </w:t>
      </w:r>
      <m:oMath>
        <m:r>
          <m:t>E</m:t>
        </m:r>
      </m:oMath>
      <w:r>
        <w:t xml:space="preserve"> </w:t>
      </w:r>
      <w:r>
        <w:t xml:space="preserve">is the ideal interpolation of algebraic multigrid from the retained to all degrees of freedom, and</w:t>
      </w:r>
      <w:r>
        <w:t xml:space="preserve"> </w:t>
      </w:r>
      <m:oMath>
        <m:r>
          <m:t>S</m:t>
        </m:r>
        <m:r>
          <m:rPr>
            <m:sty m:val="p"/>
          </m:rPr>
          <m:t>=</m:t>
        </m:r>
        <m:sSup>
          <m:e>
            <m:r>
              <m:t>E</m:t>
            </m:r>
          </m:e>
          <m:sup>
            <m:r>
              <m:t>T</m:t>
            </m:r>
          </m:sup>
        </m:sSup>
        <m:r>
          <m:t>K</m:t>
        </m:r>
        <m:r>
          <m:t>E</m:t>
        </m:r>
      </m:oMath>
      <w:r>
        <w:t xml:space="preserve"> </w:t>
      </w:r>
      <w:r>
        <w:t xml:space="preserve">is its Galerkin coarse operator</w:t>
      </w:r>
      <w:r>
        <w:t xml:space="preserve"> </w:t>
      </w:r>
      <w:hyperlink r:id="rId28">
        <w:r>
          <w:rPr>
            <w:rStyle w:val="Hyperlink"/>
          </w:rPr>
          <w:t xml:space="preserve">Falgout &amp; Vassilevski (2004)</w:t>
        </w:r>
      </w:hyperlink>
      <w:r>
        <w:t xml:space="preserve">. NICE replaces this interpolation by a learned and smoothed one, and condenses with the Galerkin operator of that interpolation. The same Ritz property underlies static condensation itself</w:t>
      </w:r>
      <w:r>
        <w:t xml:space="preserve"> </w:t>
      </w:r>
      <w:hyperlink r:id="rId29">
        <w:r>
          <w:rPr>
            <w:rStyle w:val="Hyperlink"/>
          </w:rPr>
          <w:t xml:space="preserve">Toselli &amp; Widlund (2005)</w:t>
        </w:r>
      </w:hyperlink>
      <w:r>
        <w:t xml:space="preserve">, multiscale finite elements</w:t>
      </w:r>
      <w:r>
        <w:t xml:space="preserve"> </w:t>
      </w:r>
      <w:hyperlink r:id="rId30">
        <w:r>
          <w:rPr>
            <w:rStyle w:val="Hyperlink"/>
          </w:rPr>
          <w:t xml:space="preserve">Hou &amp; Wu (1997)</w:t>
        </w:r>
      </w:hyperlink>
      <w:r>
        <w:t xml:space="preserve">, component reduced-basis methods</w:t>
      </w:r>
      <w:r>
        <w:t xml:space="preserve"> </w:t>
      </w:r>
      <w:hyperlink r:id="rId24">
        <w:r>
          <w:rPr>
            <w:rStyle w:val="Hyperlink"/>
          </w:rPr>
          <w:t xml:space="preserve">Huynh et al. (2013)</w:t>
        </w:r>
      </w:hyperlink>
      <w:r>
        <w:t xml:space="preserve"> </w:t>
      </w:r>
      <w:r>
        <w:t xml:space="preserve">and learned shape functions evaluated as</w:t>
      </w:r>
      <w:r>
        <w:t xml:space="preserve"> </w:t>
      </w:r>
      <m:oMath>
        <m:sSup>
          <m:e>
            <m:r>
              <m:t>N</m:t>
            </m:r>
          </m:e>
          <m:sup>
            <m:r>
              <m:t>T</m:t>
            </m:r>
          </m:sup>
        </m:sSup>
        <m:r>
          <m:t>K</m:t>
        </m:r>
        <m:r>
          <m:t>N</m:t>
        </m:r>
      </m:oMath>
      <w:r>
        <w:t xml:space="preserve"> </w:t>
      </w:r>
      <w:hyperlink r:id="rId16">
        <w:r>
          <w:rPr>
            <w:rStyle w:val="Hyperlink"/>
          </w:rPr>
          <w:t xml:space="preserve">Huang et al. (2023)</w:t>
        </w:r>
      </w:hyperlink>
      <w:r>
        <w:t xml:space="preserve">; here it carries a learned extension on a retained space that changes with the cut.</w:t>
      </w:r>
    </w:p>
    <w:p>
      <w:pPr>
        <w:pStyle w:val="BodyText"/>
      </w:pPr>
      <w:r>
        <w:t xml:space="preserve">Learning supplies the trial field, and three obstacles shape how. An extension matrix formed for every geometry would cost one interior solve per retained degree of freedom. A network with one output per retained degree of freedom, as for learned shape functions, computes such a matrix column by column, with an output dimension fixed by the retained set it was built for. And a solution map that is nonlinear in its input, as most neural operators learn, gives up superposition and with it the quadratic condensed energy on which the structure rests.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w:t>
      </w:r>
    </w:p>
    <w:p>
      <w:pPr>
        <w:pStyle w:val="BodyText"/>
      </w:pPr>
      <w:r>
        <w:t xml:space="preserve">A fixed correction supplies the improvability: one symmetric two-grid cycle per geometry, with Chebyshev smoothing and a coarse-grid Galerkin correction</w:t>
      </w:r>
      <w:r>
        <w:t xml:space="preserve"> </w:t>
      </w:r>
      <w:hyperlink r:id="rId31">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32">
        <w:r>
          <w:rPr>
            <w:rStyle w:val="Hyperlink"/>
          </w:rPr>
          <w:t xml:space="preserve">Vaněk et al. (1996)</w:t>
        </w:r>
      </w:hyperlink>
      <w:r>
        <w:t xml:space="preserve">. Because the correction is a fixed linear map inside the condensed energy, the corrected condensed stiffness keeps every property above. Under a condition on the coarse solve and the smoothing interval (Proposition 4), its error cannot exceed that of the uncorrected one</w:t>
      </w:r>
      <w:r>
        <w:t xml:space="preserve"> </w:t>
      </w:r>
      <w:hyperlink r:id="rId33">
        <w:r>
          <w:rPr>
            <w:rStyle w:val="Hyperlink"/>
          </w:rPr>
          <w:t xml:space="preserve">Golub &amp; Varga (1961)</w:t>
        </w:r>
      </w:hyperlink>
      <w:r>
        <w:t xml:space="preserve">,</w:t>
      </w:r>
      <w:r>
        <w:t xml:space="preserve"> </w:t>
      </w:r>
      <w:hyperlink r:id="rId34">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5.4 to 265 times the error of NICE (Section 5.5). Together, the learned extension and this correction make up NICE.</w:t>
      </w:r>
    </w:p>
    <w:p>
      <w:pPr>
        <w:pStyle w:val="BodyText"/>
      </w:pPr>
      <w:r>
        <w:t xml:space="preserve">Learned and reduced component models differ in three choices: what a component exchanges with its neighbours, how its interior response is represented, and where its approximation is improved. Methods with few boundary degrees of freedom exchange restricted displacement patterns, in return for small assembled systems; component reduced-basis methods keep the interface but represent the interior on a discretisation shared by the parameter family; and inexact substructuring improves approximate local solves inside a preconditioner. The learned substructures of</w:t>
      </w:r>
      <w:r>
        <w:t xml:space="preserve"> </w:t>
      </w:r>
      <w:hyperlink r:id="rId16">
        <w:r>
          <w:rPr>
            <w:rStyle w:val="Hyperlink"/>
          </w:rPr>
          <w:t xml:space="preserve">Huang et al. (2023)</w:t>
        </w:r>
      </w:hyperlink>
      <w:r>
        <w:t xml:space="preserve"> </w:t>
      </w:r>
      <w:r>
        <w:t xml:space="preserve">and</w:t>
      </w:r>
      <w:r>
        <w:t xml:space="preserve"> </w:t>
      </w:r>
      <w:hyperlink r:id="rId17">
        <w:r>
          <w:rPr>
            <w:rStyle w:val="Hyperlink"/>
          </w:rPr>
          <w:t xml:space="preserve">Guo et al. (2026a)</w:t>
        </w:r>
      </w:hyperlink>
      <w:r>
        <w:t xml:space="preserve"> </w:t>
      </w:r>
      <w:r>
        <w:t xml:space="preserve">reduce what a component exchanges and learn shape functions for that reduced boundary; NICE keeps what a component exchanges and learns only how its interior responds. It keeps the complete retained space, represents the interior by a geometry-conditioned network, and improves the approximation inside the condensed operator that is assembled. Section 1.1 relates it to each family.</w:t>
      </w:r>
    </w:p>
    <w:p>
      <w:pPr>
        <w:pStyle w:val="BodyText"/>
      </w:pPr>
      <w:r>
        <w:t xml:space="preserve">The contributions of this work follow this division.</w:t>
      </w:r>
    </w:p>
    <w:p>
      <w:pPr>
        <w:pStyle w:val="Compact"/>
        <w:numPr>
          <w:ilvl w:val="0"/>
          <w:numId w:val="1001"/>
        </w:numPr>
      </w:pPr>
      <w:r>
        <w:rPr>
          <w:b/>
          <w:bCs/>
        </w:rPr>
        <w:t xml:space="preserve">(i) Condensation on the complete, geometry-dependent retained space.</w:t>
      </w:r>
      <w:r>
        <w:t xml:space="preserve"> </w:t>
      </w:r>
      <w:r>
        <w:t xml:space="preserve">Every degree of freedom through which a cell exchanges displacement with its neighbours, supports and loads is kept, and the approximation is confined to the interior response; cut-surface supports and loads therefore act on the original degrees of freedom without retraining, although these change with the geometry (Sections 2, 5.7 and 5.10).</w:t>
      </w:r>
    </w:p>
    <w:p>
      <w:pPr>
        <w:pStyle w:val="Compact"/>
        <w:numPr>
          <w:ilvl w:val="0"/>
          <w:numId w:val="1001"/>
        </w:numPr>
      </w:pPr>
      <w:r>
        <w:rPr>
          <w:b/>
          <w:bCs/>
        </w:rPr>
        <w:t xml:space="preserve">(ii) A learned extension whose size does not depend on the retained set.</w:t>
      </w:r>
      <w:r>
        <w:t xml:space="preserve"> </w:t>
      </w:r>
      <w:r>
        <w:t xml:space="preserve">The network is nonlinear only in the geometry and exactly linear in the retained displacement, with the retained values and rigid-body motion imposed by construction, so that the relations of Section 3 apply to it and its transpose returns the work-conjugate force.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(Sections 4.2 and 4.6).</w:t>
      </w:r>
    </w:p>
    <w:p>
      <w:pPr>
        <w:pStyle w:val="Compact"/>
        <w:numPr>
          <w:ilvl w:val="0"/>
          <w:numId w:val="1001"/>
        </w:numPr>
      </w:pPr>
      <w:r>
        <w:rPr>
          <w:b/>
          <w:bCs/>
        </w:rPr>
        <w:t xml:space="preserve">(iii) A correction that improves a deployed network without retraining.</w:t>
      </w:r>
      <w:r>
        <w:t xml:space="preserve"> </w:t>
      </w:r>
      <w:r>
        <w:t xml:space="preserve">One fixed two-grid cycle inside the condensed energy keeps the properties of static condensation for any discrete model with a symmetric positive semidefinite stiffness and a positive definite interior block, and under the condition of Proposition 4 cannot increase the error (Sections 4.3, 4.4 and 5.5).</w:t>
      </w:r>
    </w:p>
    <w:p>
      <w:pPr>
        <w:pStyle w:val="Compact"/>
        <w:numPr>
          <w:ilvl w:val="0"/>
          <w:numId w:val="1001"/>
        </w:numPr>
      </w:pPr>
      <w:r>
        <w:rPr>
          <w:b/>
          <w:bCs/>
        </w:rPr>
        <w:t xml:space="preserve">(iv) Compliance and sensitivity as separate acceptance criteria for design.</w:t>
      </w:r>
      <w:r>
        <w:t xml:space="preserve"> </w:t>
      </w:r>
      <w:r>
        <w:t xml:space="preserve">The interior error of any approximate extension reaches the compliance weighted by each cell's energy share, but the thickness sensitivity through a term linear in that error, which the energy error bounds only at the order of its square root. NICE is therefore trained and checked on both, and its designs are verified against exact condensation (Propositions 2 and 3; Sections 5.6, 5.8 and 5.10).</w:t>
      </w:r>
    </w:p>
    <w:p>
      <w:pPr>
        <w:pStyle w:val="FirstParagraph"/>
      </w:pPr>
      <w:r>
        <w:t xml:space="preserve">Section 2 states the cut finite element model of the cells, exact condensation, the design problem and the properties sought for an approximate condensed stiffness. Section 3 states the error relations that hold for any admissible extension as Propositions 1–3: the Ritz identity, the share-weighted bound on the compliance and the error of the thickness sensitivity. Section 4 constructs NICE: the variational condensed stiffness, the geometry-conditioned network that supplies the extension, the two-grid correction and its ordering (Proposition 4), training through the correction and the application of the operator without forming it.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3"/>
      </w:pPr>
      <w:r>
        <w:t xml:space="preserve">1.1. Related work</w:t>
      </w:r>
    </w:p>
    <w:p>
      <w:pPr>
        <w:pStyle w:val="FirstParagraph"/>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5">
        <w:r>
          <w:rPr>
            <w:rStyle w:val="Hyperlink"/>
          </w:rPr>
          <w:t xml:space="preserve">Huang et al. (2022)</w:t>
        </w:r>
      </w:hyperlink>
      <w:r>
        <w:t xml:space="preserve">,</w:t>
      </w:r>
      <w:r>
        <w:t xml:space="preserve"> </w:t>
      </w:r>
      <w:hyperlink r:id="rId16">
        <w:r>
          <w:rPr>
            <w:rStyle w:val="Hyperlink"/>
          </w:rPr>
          <w:t xml:space="preserve">Huang et al. (2023)</w:t>
        </w:r>
      </w:hyperlink>
      <w:r>
        <w:t xml:space="preserve">. Its variants train without labelled shape functions by minimum potential energy</w:t>
      </w:r>
      <w:r>
        <w:t xml:space="preserve"> </w:t>
      </w:r>
      <w:hyperlink r:id="rId36">
        <w:r>
          <w:rPr>
            <w:rStyle w:val="Hyperlink"/>
          </w:rPr>
          <w:t xml:space="preserve">Huang et al. (2024)</w:t>
        </w:r>
      </w:hyperlink>
      <w:r>
        <w:t xml:space="preserve">, enrich the boundary with Bézier functions, compared there with a variant that predicts shape functions for every boundary node; for voxel substructures this variant cost more than it saved and, on the larger substructures, was less accurate, as its network had to predict many more outputs</w:t>
      </w:r>
      <w:r>
        <w:t xml:space="preserve"> </w:t>
      </w:r>
      <w:hyperlink r:id="rId17">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7">
        <w:r>
          <w:rPr>
            <w:rStyle w:val="Hyperlink"/>
          </w:rPr>
          <w:t xml:space="preserve">Guo et al. (2026b)</w:t>
        </w:r>
      </w:hyperlink>
      <w:r>
        <w:t xml:space="preserve">, impose symmetry equivariance</w:t>
      </w:r>
      <w:r>
        <w:t xml:space="preserve"> </w:t>
      </w:r>
      <w:hyperlink r:id="rId38">
        <w:r>
          <w:rPr>
            <w:rStyle w:val="Hyperlink"/>
          </w:rPr>
          <w:t xml:space="preserve">Jiang, C. et al. (2026)</w:t>
        </w:r>
      </w:hyperlink>
      <w:r>
        <w:t xml:space="preserve">, treat isoparametric substructures</w:t>
      </w:r>
      <w:r>
        <w:t xml:space="preserve"> </w:t>
      </w:r>
      <w:hyperlink r:id="rId39">
        <w:r>
          <w:rPr>
            <w:rStyle w:val="Hyperlink"/>
          </w:rPr>
          <w:t xml:space="preserve">Zhang, L. et al. (2024)</w:t>
        </w:r>
      </w:hyperlink>
      <w:r>
        <w:t xml:space="preserve">, transfer them to complex three-dimensional design domains</w:t>
      </w:r>
      <w:r>
        <w:t xml:space="preserve"> </w:t>
      </w:r>
      <w:hyperlink r:id="rId40">
        <w:r>
          <w:rPr>
            <w:rStyle w:val="Hyperlink"/>
          </w:rPr>
          <w:t xml:space="preserve">Zhang et al. (2026)</w:t>
        </w:r>
      </w:hyperlink>
      <w:r>
        <w:t xml:space="preserve"> </w:t>
      </w:r>
      <w:r>
        <w:t xml:space="preserve">and optimise lattices</w:t>
      </w:r>
      <w:r>
        <w:t xml:space="preserve"> </w:t>
      </w:r>
      <w:hyperlink r:id="rId41">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 NICE sits at the other end of this trade-off: it keeps every retained degree of freedom of a cell, so that no boundary model error arises and the assembled model is larger, and it learns the interior extension for each geometry of a family whose discrete space changes with the cut, rather than shape functions for a fixed set of boundary degrees of freedom. NICE addresses both obstacles of retaining every boundary node. The interior of a thin-walled cell is several times larger than its retained set (the cell of Figure 1b retains 9,674 of its 72,631 nodes), so that condensation still removes most unknowns; and the size of the network does not grow with the number of retained degrees of freedom, while the equilibrium correction reduces the error that the network leaves (Section 5.5).</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24">
        <w:r>
          <w:rPr>
            <w:rStyle w:val="Hyperlink"/>
          </w:rPr>
          <w:t xml:space="preserve">Huynh et al. (2013)</w:t>
        </w:r>
      </w:hyperlink>
      <w:r>
        <w:t xml:space="preserve">, and for lattices such component-wise models have been reused in design optimisation with error bounds on the displacement, the compliance and its sensitivity</w:t>
      </w:r>
      <w:r>
        <w:t xml:space="preserve"> </w:t>
      </w:r>
      <w:hyperlink r:id="rId42">
        <w:r>
          <w:rPr>
            <w:rStyle w:val="Hyperlink"/>
          </w:rPr>
          <w:t xml:space="preserve">McBane &amp; Choi (2021)</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43">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44">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5">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6">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7">
        <w:r>
          <w:rPr>
            <w:rStyle w:val="Hyperlink"/>
          </w:rPr>
          <w:t xml:space="preserve">Chen &amp; Li (2026)</w:t>
        </w:r>
      </w:hyperlink>
      <w:r>
        <w:t xml:space="preserve">. Learned elements condense an embedded inner domain into a symmetric positive semidefinite interface stiffness</w:t>
      </w:r>
      <w:r>
        <w:t xml:space="preserve"> </w:t>
      </w:r>
      <w:hyperlink r:id="rId48">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9">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50">
        <w:r>
          <w:rPr>
            <w:rStyle w:val="Hyperlink"/>
          </w:rPr>
          <w:t xml:space="preserve">Dohrmann (2007)</w:t>
        </w:r>
      </w:hyperlink>
      <w:r>
        <w:t xml:space="preserve">,</w:t>
      </w:r>
      <w:r>
        <w:t xml:space="preserve"> </w:t>
      </w:r>
      <w:hyperlink r:id="rId51">
        <w:r>
          <w:rPr>
            <w:rStyle w:val="Hyperlink"/>
          </w:rPr>
          <w:t xml:space="preserve">Li &amp; Widlund (2007)</w:t>
        </w:r>
      </w:hyperlink>
      <w:r>
        <w:t xml:space="preserve">,</w:t>
      </w:r>
      <w:r>
        <w:t xml:space="preserve"> </w:t>
      </w:r>
      <w:hyperlink r:id="rId52">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6.2). Convex neural energy elements, for a nonlinear example, refine the exact lifting by Newton steps through which they differentiate</w:t>
      </w:r>
      <w:r>
        <w:t xml:space="preserve"> </w:t>
      </w:r>
      <w:hyperlink r:id="rId49">
        <w:r>
          <w:rPr>
            <w:rStyle w:val="Hyperlink"/>
          </w:rPr>
          <w:t xml:space="preserve">Jiang, H. et al. (2026)</w:t>
        </w:r>
      </w:hyperlink>
      <w:r>
        <w:t xml:space="preserve">. Component reduced-basis methods bound the error of the component or assembled solution a posteriori</w:t>
      </w:r>
      <w:r>
        <w:t xml:space="preserve"> </w:t>
      </w:r>
      <w:hyperlink r:id="rId24">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53">
        <w:r>
          <w:rPr>
            <w:rStyle w:val="Hyperlink"/>
          </w:rPr>
          <w:t xml:space="preserve">Greenfeld et al. (2019)</w:t>
        </w:r>
      </w:hyperlink>
      <w:r>
        <w:t xml:space="preserve">,</w:t>
      </w:r>
      <w:r>
        <w:t xml:space="preserve"> </w:t>
      </w:r>
      <w:hyperlink r:id="rId54">
        <w:r>
          <w:rPr>
            <w:rStyle w:val="Hyperlink"/>
          </w:rPr>
          <w:t xml:space="preserve">Luz et al. (2020)</w:t>
        </w:r>
      </w:hyperlink>
      <w:r>
        <w:t xml:space="preserve">, machine-learning-assisted adaptive FETI-DP coarse spaces</w:t>
      </w:r>
      <w:r>
        <w:t xml:space="preserve"> </w:t>
      </w:r>
      <w:hyperlink r:id="rId55">
        <w:r>
          <w:rPr>
            <w:rStyle w:val="Hyperlink"/>
          </w:rPr>
          <w:t xml:space="preserve">Heinlein et al. (2021)</w:t>
        </w:r>
      </w:hyperlink>
      <w:r>
        <w:t xml:space="preserve">, hybrid neural solvers that combine learned predictions with relaxation, learned inverse actions or coarse spaces</w:t>
      </w:r>
      <w:r>
        <w:t xml:space="preserve"> </w:t>
      </w:r>
      <w:hyperlink r:id="rId56">
        <w:r>
          <w:rPr>
            <w:rStyle w:val="Hyperlink"/>
          </w:rPr>
          <w:t xml:space="preserve">Zhang, E. et al. (2024)</w:t>
        </w:r>
      </w:hyperlink>
      <w:r>
        <w:t xml:space="preserve">,</w:t>
      </w:r>
      <w:r>
        <w:t xml:space="preserve"> </w:t>
      </w:r>
      <w:hyperlink r:id="rId57">
        <w:r>
          <w:rPr>
            <w:rStyle w:val="Hyperlink"/>
          </w:rPr>
          <w:t xml:space="preserve">Kopaničáková &amp; Karniadakis (2025)</w:t>
        </w:r>
      </w:hyperlink>
      <w:r>
        <w:t xml:space="preserve">,</w:t>
      </w:r>
      <w:r>
        <w:t xml:space="preserve"> </w:t>
      </w:r>
      <w:hyperlink r:id="rId58">
        <w:r>
          <w:rPr>
            <w:rStyle w:val="Hyperlink"/>
          </w:rPr>
          <w:t xml:space="preserve">Xing et al. (2026)</w:t>
        </w:r>
      </w:hyperlink>
      <w:r>
        <w:t xml:space="preserve"> </w:t>
      </w:r>
      <w:r>
        <w:t xml:space="preserve">and networks trained through the solver</w:t>
      </w:r>
      <w:r>
        <w:t xml:space="preserve"> </w:t>
      </w:r>
      <w:hyperlink r:id="rId59">
        <w:r>
          <w:rPr>
            <w:rStyle w:val="Hyperlink"/>
          </w:rPr>
          <w:t xml:space="preserve">Um et al. (2020)</w:t>
        </w:r>
      </w:hyperlink>
      <w:r>
        <w:t xml:space="preserve">. Geometry-aware neural operators and graph networks</w:t>
      </w:r>
      <w:r>
        <w:t xml:space="preserve"> </w:t>
      </w:r>
      <w:hyperlink r:id="rId60">
        <w:r>
          <w:rPr>
            <w:rStyle w:val="Hyperlink"/>
          </w:rPr>
          <w:t xml:space="preserve">Li et al. (2023a)</w:t>
        </w:r>
      </w:hyperlink>
      <w:r>
        <w:t xml:space="preserve">,</w:t>
      </w:r>
      <w:r>
        <w:t xml:space="preserve"> </w:t>
      </w:r>
      <w:hyperlink r:id="rId61">
        <w:r>
          <w:rPr>
            <w:rStyle w:val="Hyperlink"/>
          </w:rPr>
          <w:t xml:space="preserve">Li et al. (2023b)</w:t>
        </w:r>
      </w:hyperlink>
      <w:r>
        <w:t xml:space="preserve">,</w:t>
      </w:r>
      <w:r>
        <w:t xml:space="preserve"> </w:t>
      </w:r>
      <w:hyperlink r:id="rId62">
        <w:r>
          <w:rPr>
            <w:rStyle w:val="Hyperlink"/>
          </w:rPr>
          <w:t xml:space="preserve">Pfaff et al. (2021)</w:t>
        </w:r>
      </w:hyperlink>
      <w:r>
        <w:t xml:space="preserve">, multigrid-structured operators</w:t>
      </w:r>
      <w:r>
        <w:t xml:space="preserve"> </w:t>
      </w:r>
      <w:hyperlink r:id="rId63">
        <w:r>
          <w:rPr>
            <w:rStyle w:val="Hyperlink"/>
          </w:rPr>
          <w:t xml:space="preserve">He et al. (2024)</w:t>
        </w:r>
      </w:hyperlink>
      <w:r>
        <w:t xml:space="preserve">, learned Green's functions</w:t>
      </w:r>
      <w:r>
        <w:t xml:space="preserve"> </w:t>
      </w:r>
      <w:hyperlink r:id="rId64">
        <w:r>
          <w:rPr>
            <w:rStyle w:val="Hyperlink"/>
          </w:rPr>
          <w:t xml:space="preserve">Boullé &amp; Townsend (2023)</w:t>
        </w:r>
      </w:hyperlink>
      <w:r>
        <w:t xml:space="preserve"> </w:t>
      </w:r>
      <w:r>
        <w:t xml:space="preserve">and Ritz-type training</w:t>
      </w:r>
      <w:r>
        <w:t xml:space="preserve"> </w:t>
      </w:r>
      <w:hyperlink r:id="rId65">
        <w:r>
          <w:rPr>
            <w:rStyle w:val="Hyperlink"/>
          </w:rPr>
          <w:t xml:space="preserve">E &amp; Yu (2018)</w:t>
        </w:r>
      </w:hyperlink>
      <w:r>
        <w:t xml:space="preserve"> </w:t>
      </w:r>
      <w:r>
        <w:t xml:space="preserve">instead learn solution maps of the whole problem. Spectral multiscale coarse bases</w:t>
      </w:r>
      <w:r>
        <w:t xml:space="preserve"> </w:t>
      </w:r>
      <w:hyperlink r:id="rId66">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7">
        <w:r>
          <w:rPr>
            <w:rStyle w:val="Hyperlink"/>
          </w:rPr>
          <w:t xml:space="preserve">Alexandersen &amp; Lazarov (2015)</w:t>
        </w:r>
      </w:hyperlink>
      <w:r>
        <w:t xml:space="preserve">. These methods accelerate a global solve or approximate the solution of the whole problem; here the learned map is a per-cell extension whose energy defines a condensed operator that can be assembled, differentiated and improved. The corrected extension</w:t>
      </w:r>
      <w:r>
        <w:t xml:space="preserve"> </w:t>
      </w:r>
      <m:oMath>
        <m:r>
          <m:t>F</m:t>
        </m:r>
      </m:oMath>
      <w:r>
        <w:t xml:space="preserve"> </w:t>
      </w:r>
      <w:r>
        <w:t xml:space="preserve">is in effect a geometry-conditioned prolongation from the retained to the active DOFs, with</w:t>
      </w:r>
      <w:r>
        <w:t xml:space="preserve"> </w:t>
      </w:r>
      <m:oMath>
        <m:acc>
          <m:accPr>
            <m:chr m:val="̂"/>
          </m:accPr>
          <m:e>
            <m:r>
              <m:t>S</m:t>
            </m:r>
          </m:e>
        </m:acc>
        <m:r>
          <m:rPr>
            <m:sty m:val="p"/>
          </m:rPr>
          <m:t>=</m:t>
        </m:r>
        <m:sSup>
          <m:e>
            <m:r>
              <m:t>F</m:t>
            </m:r>
          </m:e>
          <m:sup>
            <m:r>
              <m:t>T</m:t>
            </m:r>
          </m:sup>
        </m:sSup>
        <m:r>
          <m:t>K</m:t>
        </m:r>
        <m:r>
          <m:t>F</m:t>
        </m:r>
      </m:oMath>
      <w:r>
        <w:t xml:space="preserve"> </w:t>
      </w:r>
      <w:r>
        <w:t xml:space="preserve">as its Galerkin operator; learned multigrid prolongations</w:t>
      </w:r>
      <w:r>
        <w:t xml:space="preserve"> </w:t>
      </w:r>
      <w:hyperlink r:id="rId53">
        <w:r>
          <w:rPr>
            <w:rStyle w:val="Hyperlink"/>
          </w:rPr>
          <w:t xml:space="preserve">Greenfeld et al. (2019)</w:t>
        </w:r>
      </w:hyperlink>
      <w:r>
        <w:t xml:space="preserve">,</w:t>
      </w:r>
      <w:r>
        <w:t xml:space="preserve"> </w:t>
      </w:r>
      <w:hyperlink r:id="rId54">
        <w:r>
          <w:rPr>
            <w:rStyle w:val="Hyperlink"/>
          </w:rPr>
          <w:t xml:space="preserve">Luz et al. (2020)</w:t>
        </w:r>
      </w:hyperlink>
      <w:r>
        <w:t xml:space="preserve"> </w:t>
      </w:r>
      <w:r>
        <w:t xml:space="preserve">are likewise nonlinear in the operator and linear in the vector they act on, but serve as part of a solver, whereas</w:t>
      </w:r>
      <w:r>
        <w:t xml:space="preserve"> </w:t>
      </w:r>
      <m:oMath>
        <m:r>
          <m:t>F</m:t>
        </m:r>
      </m:oMath>
      <w:r>
        <w:t xml:space="preserve"> </w:t>
      </w:r>
      <w:r>
        <w:t xml:space="preserve">is a component model: it serves retained sets that change with the cut, and its Galerkin operator is assembled into the lattice and differentiated in design.</w:t>
      </w:r>
    </w:p>
    <w:p>
      <w:pPr>
        <w:pStyle w:val="Heading2"/>
      </w:pPr>
      <w:r>
        <w:t xml:space="preserve">2. Discrete substructures and static condensation</w:t>
      </w:r>
    </w:p>
    <w:p>
      <w:pPr>
        <w:pStyle w:val="FirstParagraph"/>
      </w:pPr>
      <w:r>
        <w:t xml:space="preserve">The cells are discretised by a stabilised cut finite element method (CutFEM)</w:t>
      </w:r>
      <w:r>
        <w:t xml:space="preserve"> </w:t>
      </w:r>
      <w:hyperlink r:id="rId68">
        <w:r>
          <w:rPr>
            <w:rStyle w:val="Hyperlink"/>
          </w:rPr>
          <w:t xml:space="preserve">Burman et al. (2015)</w:t>
        </w:r>
      </w:hyperlink>
      <w:r>
        <w:t xml:space="preserve"> </w:t>
      </w:r>
      <w:r>
        <w:t xml:space="preserve">on a fixed Cartesian background mesh. The walls and the cut are not meshed: they decide which background elements are active and enter the stiffness through integrals over the material part of each element. A change of wall thickness or of the cut therefore needs no remeshing, the thickness sensitivity follows from the derivatives of these integrals (Appendix H), and every cell lives on the same background grid, on which the network of Section 4.2 places its fixed latent grids. The price is that the active elements, and with them the retained set, change with the geometry, which Sections 3 and 4 must accommodate; their relations use only the symmetry and positive semidefiniteness of the resulting stiffness and the positive definiteness of its interior block.</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set the width of the implicit band and with it the wall thickness and material distribution; we call them corner thickness parameters,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9">
        <w:r>
          <w:rPr>
            <w:rStyle w:val="Hyperlink"/>
          </w:rPr>
          <w:t xml:space="preserve">Burman (2010)</w:t>
        </w:r>
      </w:hyperlink>
      <w:r>
        <w:t xml:space="preserve"> </w:t>
      </w:r>
      <w:r>
        <w:t xml:space="preserve">couples neighbouring active elements to control small-cut effects</w:t>
      </w:r>
      <w:r>
        <w:t xml:space="preserve"> </w:t>
      </w:r>
      <w:hyperlink r:id="rId68">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a cut lattice and one of its cut cells; Table 1 (Section 5.1) lists the settings of the examples, and Appendix A gives the integration and assembly details.</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DOFs of the box-face nodes of every positive-area material patch on the faces of the cell box and all displacement DOFs of active elements carrying a positive-area cut-surface patch (Appendix A.1).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w:t>
      </w:r>
      <w:r>
        <w:t xml:space="preserve"> </w:t>
      </w:r>
      <m:oMath>
        <m:r>
          <m:t>K</m:t>
        </m:r>
      </m:oMath>
      <w:r>
        <w:t xml:space="preserve"> </w:t>
      </w:r>
      <w:r>
        <w:t xml:space="preserve">is symmetric positive semidefinite. Its null space consists of the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the geometry generator accepts only cells whose active elements form a single face-connected set, and material connected only through partially filled elements is coupled through shared basis functions and the ghost penalty (Appendix A.1). The interior block</w:t>
      </w:r>
      <w:r>
        <w:t xml:space="preserve"> </w:t>
      </w:r>
      <m:oMath>
        <m:r>
          <m:t>A</m:t>
        </m:r>
      </m:oMath>
      <w:r>
        <w:t xml:space="preserve"> </w:t>
      </w:r>
      <w:r>
        <w:t xml:space="preserve">is then positive definite, since an interior field of zero energy would be a rigid-body motion vanishing on the retained DOFs,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In design, the corner thickness parameters at the lattice vertices, collected in</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solve</w:t>
      </w:r>
    </w:p>
    <w:p>
      <w:pPr>
        <w:pStyle w:val="BodyText"/>
      </w:pPr>
      <m:oMathPara>
        <m:oMathParaPr>
          <m:jc m:val="center"/>
        </m:oMathParaPr>
        <m:oMath>
          <m:limLow>
            <m:e>
              <m:r>
                <m:rPr>
                  <m:sty m:val="p"/>
                </m:rPr>
                <m:t>min</m:t>
              </m:r>
            </m:e>
            <m:lim>
              <m:sSub>
                <m:e>
                  <m:r>
                    <m:rPr>
                      <m:sty m:val="bi"/>
                    </m:rPr>
                    <m:t>τ</m:t>
                  </m:r>
                </m:e>
                <m:sub>
                  <m:r>
                    <m:t>g</m:t>
                  </m:r>
                </m:sub>
              </m:sSub>
            </m:lim>
          </m:limLow>
          <m:r>
            <m:t> </m:t>
          </m:r>
          <m:r>
            <m:t>C</m:t>
          </m:r>
          <m:r>
            <m:rPr>
              <m:sty m:val="p"/>
            </m:rPr>
            <m:t>(</m:t>
          </m:r>
          <m:sSub>
            <m:e>
              <m:r>
                <m:rPr>
                  <m:sty m:val="bi"/>
                </m:rPr>
                <m:t>τ</m:t>
              </m:r>
            </m:e>
            <m:sub>
              <m:r>
                <m:t>g</m:t>
              </m:r>
            </m:sub>
          </m:sSub>
          <m:r>
            <m:rPr>
              <m:sty m:val="p"/>
            </m:rPr>
            <m:t>)</m:t>
          </m:r>
          <m:r>
            <m:t> </m:t>
          </m:r>
          <m:r>
            <m:rPr>
              <m:nor/>
              <m:sty m:val="p"/>
            </m:rPr>
            <m:t>subject to</m:t>
          </m:r>
          <m:r>
            <m:t> </m:t>
          </m:r>
          <m:r>
            <m:t>V</m:t>
          </m:r>
          <m:r>
            <m:rPr>
              <m:sty m:val="p"/>
            </m:rPr>
            <m:t>(</m:t>
          </m:r>
          <m:sSub>
            <m:e>
              <m:r>
                <m:rPr>
                  <m:sty m:val="bi"/>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with</w:t>
      </w:r>
      <w:r>
        <w:t xml:space="preserve"> </w:t>
      </w:r>
      <m:oMath>
        <m:r>
          <m:t>V</m:t>
        </m:r>
      </m:oMath>
      <w:r>
        <w:t xml:space="preserve"> </w:t>
      </w:r>
      <w:r>
        <w:t xml:space="preserve">the material volume of the discrete model, together with limits on each cell's corner span and gradient norm that keep the cells in the trained domain (Section 5.10). Its gradient collects the cell sensitivities at each vertex,</w:t>
      </w:r>
      <w:r>
        <w:t xml:space="preserve"> </w:t>
      </w:r>
      <m:oMath>
        <m:r>
          <m:rPr>
            <m:sty m:val="p"/>
          </m:rPr>
          <m:t>∂</m:t>
        </m:r>
        <m:r>
          <m:t>C</m:t>
        </m:r>
        <m:r>
          <m:rPr>
            <m:sty m:val="p"/>
          </m:rPr>
          <m:t>/</m:t>
        </m:r>
        <m:r>
          <m:rPr>
            <m:sty m:val="p"/>
          </m:rPr>
          <m:t>∂</m:t>
        </m:r>
        <m:sSub>
          <m:e>
            <m:r>
              <m:rPr>
                <m:sty m:val="bi"/>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r>
              <m:rPr>
                <m:sty m:val="bi"/>
              </m:rPr>
              <m:t>s</m:t>
            </m:r>
          </m:e>
          <m:sub>
            <m:r>
              <m:t>m</m:t>
            </m:r>
          </m:sub>
        </m:sSub>
      </m:oMath>
      <w:r>
        <w:t xml:space="preserve">, with</w:t>
      </w:r>
      <w:r>
        <w:t xml:space="preserve"> </w:t>
      </w:r>
      <m:oMath>
        <m:sSub>
          <m:e>
            <m:r>
              <m:rPr>
                <m:sty m:val="bi"/>
              </m:rPr>
              <m:t>s</m:t>
            </m:r>
          </m:e>
          <m:sub>
            <m:r>
              <m:t>m</m:t>
            </m:r>
          </m:sub>
        </m:sSub>
      </m:oMath>
      <w:r>
        <w:t xml:space="preserve"> </w:t>
      </w:r>
      <w:r>
        <w:t xml:space="preserve">the eight-component sensitivity vector of cell</w:t>
      </w:r>
      <w:r>
        <w:t xml:space="preserve"> </w:t>
      </w:r>
      <m:oMath>
        <m:r>
          <m:t>m</m:t>
        </m:r>
      </m:oMath>
      <w:r>
        <w:t xml:space="preserve"> </w:t>
      </w:r>
      <w:r>
        <w:t xml:space="preserve">(Section 3.3).</w:t>
      </w:r>
    </w:p>
    <w:p>
      <w:pPr>
        <w:pStyle w:val="BodyText"/>
      </w:pPr>
      <w:r>
        <w:t xml:space="preserve">Of the four properties named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and the supported</w:t>
      </w:r>
      <w:r>
        <w:t xml:space="preserve"> </w:t>
      </w:r>
      <m:oMath>
        <m:acc>
          <m:accPr>
            <m:chr m:val="̂"/>
          </m:accPr>
          <m:e>
            <m:r>
              <m:rPr>
                <m:scr m:val="double-struck"/>
                <m:sty m:val="p"/>
              </m:rPr>
              <m:t>K</m:t>
            </m:r>
          </m:e>
        </m:acc>
      </m:oMath>
      <w:r>
        <w:t xml:space="preserve"> </w:t>
      </w:r>
      <w:r>
        <w:t xml:space="preserve">of Eq. (3) must be positive definite, which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has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This section follows the error of any admissible linear extension through the condensed stiffness to the two quantities that design uses, and arrives at three results. First, the condensed stiffness exceeds the exact Schur complement by the energy of the interior error: the error is one-sided, quadratic and computable from the interior residual (Section 3.1). Second, this error reaches the assembled compliance weighted by the share of the energy that each cell carries (Section 3.2). Third, it reaches the thickness sensitivity through the stiffness derivative, with a term linear in the interior error, so that an accurate compliance does not imply an accurate local sensitivity (Section 3.3). The relations are stated for a single substructure and apply to every cell of an assembly. The Ritz identity, the residual form and the self-adjoint compliance sensitivity are classical</w:t>
      </w:r>
      <w:r>
        <w:t xml:space="preserve"> </w:t>
      </w:r>
      <w:hyperlink r:id="rId70">
        <w:r>
          <w:rPr>
            <w:rStyle w:val="Hyperlink"/>
          </w:rPr>
          <w:t xml:space="preserve">Fraeijs de Veubeke (1965)</w:t>
        </w:r>
      </w:hyperlink>
      <w:r>
        <w:t xml:space="preserve">,</w:t>
      </w:r>
      <w:r>
        <w:t xml:space="preserve"> </w:t>
      </w:r>
      <w:hyperlink r:id="rId29">
        <w:r>
          <w:rPr>
            <w:rStyle w:val="Hyperlink"/>
          </w:rPr>
          <w:t xml:space="preserve">Toselli &amp; Widlund (2005)</w:t>
        </w:r>
      </w:hyperlink>
      <w:r>
        <w:t xml:space="preserve">,</w:t>
      </w:r>
      <w:r>
        <w:t xml:space="preserve"> </w:t>
      </w:r>
      <w:hyperlink r:id="rId71">
        <w:r>
          <w:rPr>
            <w:rStyle w:val="Hyperlink"/>
          </w:rPr>
          <w:t xml:space="preserve">Becker &amp; Rannacher (2001)</w:t>
        </w:r>
      </w:hyperlink>
      <w:r>
        <w:t xml:space="preserve">,</w:t>
      </w:r>
      <w:r>
        <w:t xml:space="preserve"> </w:t>
      </w:r>
      <w:hyperlink r:id="rId72">
        <w:r>
          <w:rPr>
            <w:rStyle w:val="Hyperlink"/>
          </w:rPr>
          <w:t xml:space="preserve">Haftka &amp; Gürdal (1992)</w:t>
        </w:r>
      </w:hyperlink>
      <w:r>
        <w:t xml:space="preserve">,</w:t>
      </w:r>
      <w:r>
        <w:t xml:space="preserve"> </w:t>
      </w:r>
      <w:hyperlink r:id="rId73">
        <w:r>
          <w:rPr>
            <w:rStyle w:val="Hyperlink"/>
          </w:rPr>
          <w:t xml:space="preserve">Bendsøe &amp; Sigmund (2004)</w:t>
        </w:r>
      </w:hyperlink>
      <w:r>
        <w:t xml:space="preserve">; the share-weighted bound and the sensitivity relations are derived here for approximate extensions.</w:t>
      </w:r>
    </w:p>
    <w:p>
      <w:pPr>
        <w:pStyle w:val="BodyText"/>
      </w:pPr>
      <w:r>
        <w:t xml:space="preserve">The results are stated as Propositions 1–3 under the following assumptions, which Appendix B.1 states in full.</w:t>
      </w:r>
    </w:p>
    <w:p>
      <w:pPr>
        <w:pStyle w:val="Compact"/>
        <w:numPr>
          <w:ilvl w:val="0"/>
          <w:numId w:val="1002"/>
        </w:numPr>
      </w:pPr>
      <w:r>
        <w:t xml:space="preserve">(A1) The cell stiffness</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2.2).</w:t>
      </w:r>
    </w:p>
    <w:p>
      <w:pPr>
        <w:pStyle w:val="Compact"/>
        <w:numPr>
          <w:ilvl w:val="0"/>
          <w:numId w:val="1002"/>
        </w:numPr>
      </w:pPr>
      <w:r>
        <w:t xml:space="preserve">(A2) The extension</w:t>
      </w:r>
      <w:r>
        <w:t xml:space="preserve"> </w:t>
      </w:r>
      <m:oMath>
        <m:r>
          <m:t>F</m:t>
        </m:r>
      </m:oMath>
      <w:r>
        <w:t xml:space="preserve"> </w:t>
      </w:r>
      <w:r>
        <w:t xml:space="preserve">is linear and admissible,</w:t>
      </w:r>
      <w:r>
        <w:t xml:space="preserve"> </w:t>
      </w:r>
      <m:oMath>
        <m:sSub>
          <m:e>
            <m:r>
              <m:t>J</m:t>
            </m:r>
          </m:e>
          <m:sub>
            <m:r>
              <m:t>P</m:t>
            </m:r>
          </m:sub>
        </m:sSub>
        <m:r>
          <m:t>F</m:t>
        </m:r>
        <m:r>
          <m:rPr>
            <m:sty m:val="p"/>
          </m:rPr>
          <m:t>=</m:t>
        </m:r>
        <m:sSub>
          <m:e>
            <m:r>
              <m:t>I</m:t>
            </m:r>
          </m:e>
          <m:sub>
            <m:r>
              <m:t>p</m:t>
            </m:r>
          </m:sub>
        </m:sSub>
      </m:oMath>
      <w:r>
        <w:t xml:space="preserve">, and reproduces rigid-body motion,</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degrees of freedom, and the supported assembled stiffness</w:t>
      </w:r>
      <w:r>
        <w:t xml:space="preserve"> </w:t>
      </w:r>
      <m:oMath>
        <m:r>
          <m:rPr>
            <m:scr m:val="double-struck"/>
            <m:sty m:val="p"/>
          </m:rPr>
          <m:t>K</m:t>
        </m:r>
      </m:oMath>
      <w:r>
        <w:t xml:space="preserve"> </w:t>
      </w:r>
      <w:r>
        <w:t xml:space="preserve">is positive definite (Section 2.3).</w:t>
      </w:r>
    </w:p>
    <w:p>
      <w:pPr>
        <w:pStyle w:val="Compact"/>
        <w:numPr>
          <w:ilvl w:val="0"/>
          <w:numId w:val="1002"/>
        </w:numPr>
      </w:pPr>
    </w:p>
    <w:p>
      <w:pPr>
        <w:pStyle w:val="Compact"/>
        <w:numPr>
          <w:ilvl w:val="1"/>
          <w:numId w:val="1003"/>
        </w:numPr>
      </w:pPr>
      <w:r>
        <w:t xml:space="preserve">On a design interval, the discrete choices listed in Appendix B.1 are fixed.</w:t>
      </w:r>
    </w:p>
    <w:p>
      <w:pPr>
        <w:pStyle w:val="Heading3"/>
      </w:pPr>
      <w:r>
        <w:t xml:space="preserve">3.1. Condensed stiffness: a one-sided error quadratic in the interior error</w:t>
      </w:r>
    </w:p>
    <w:p>
      <w:pPr>
        <w:pStyle w:val="FirstParagraph"/>
      </w:pPr>
      <w:r>
        <w:t xml:space="preserve">Under (A1),</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Schur complement 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nonnegative by Eq. (4),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residual is available without the reference extension; evaluating its</w:t>
      </w:r>
      <w:r>
        <w:t xml:space="preserve"> </w:t>
      </w:r>
      <m:oMath>
        <m:sSup>
          <m:e>
            <m:r>
              <m:t>A</m:t>
            </m:r>
          </m:e>
          <m:sup>
            <m:r>
              <m:rPr>
                <m:sty m:val="p"/>
              </m:rPr>
              <m:t>−</m:t>
            </m:r>
            <m:r>
              <m:t>1</m:t>
            </m:r>
          </m:sup>
        </m:sSup>
      </m:oMath>
      <w:r>
        <w:t xml:space="preserve">-norm needs one interior solve per direction. A bound over all directions follows only from the coverage of the sampled directions (Appendices B and G.4).</w:t>
      </w:r>
    </w:p>
    <w:p>
      <w:pPr>
        <w:pStyle w:val="Heading3"/>
      </w:pPr>
      <w:r>
        <w:t xml:space="preserve">3.2. Compliance: the error weighted by the energy share</w:t>
      </w:r>
    </w:p>
    <w:p>
      <w:pPr>
        <w:pStyle w:val="FirstParagraph"/>
      </w:pPr>
      <w:r>
        <w:t xml:space="preserve">Consider the exact equilibria of the two supported systems in Eq. (3), with the same local matrices, assembly maps, homogeneous supports and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6</m:t>
          </m:r>
          <m:r>
            <m:rPr>
              <m:sty m:val="p"/>
            </m:rPr>
            <m:t>)</m:t>
          </m:r>
        </m:oMath>
      </m:oMathPara>
    </w:p>
    <w:p>
      <w:pPr>
        <w:pStyle w:val="FirstParagraph"/>
      </w:pPr>
      <w:r>
        <w:t xml:space="preserve">Compliance underestimation is the total reconstructed error energy, with orthogonal contributions from the changed retained solution and from the interior departure from equilibrium at that solution. How much of a cell's error reaches it depends on how much energy the cell carries.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which sum to one, 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zero-energy rigid-body responses contributing zero.</w:t>
      </w:r>
    </w:p>
    <w:p>
      <w:pPr>
        <w:pStyle w:val="BodyText"/>
      </w:pPr>
      <w:r>
        <w:rPr>
          <w:b/>
          <w:bCs/>
        </w:rPr>
        <w:t xml:space="preserve">Proposition 2 (share-weighted compliance error).</w:t>
      </w:r>
      <w:r>
        <w:t xml:space="preserve"> </w:t>
      </w:r>
      <w:r>
        <w:t xml:space="preserve">Under (A1)–(A3), the relative compliance error is bounded by the share-weighted energy error (Appendix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7</m:t>
          </m:r>
          <m:r>
            <m:rPr>
              <m:sty m:val="p"/>
            </m:rPr>
            <m:t>)</m:t>
          </m:r>
        </m:oMath>
      </m:oMathPara>
    </w:p>
    <w:p>
      <w:pPr>
        <w:pStyle w:val="FirstParagraph"/>
      </w:pPr>
      <w:r>
        <w:t xml:space="preserve">A cell with a small energy share can thus leave the compliance accurate even when its own field is not.</w:t>
      </w:r>
    </w:p>
    <w:p>
      <w:pPr>
        <w:pStyle w:val="BodyText"/>
      </w:pPr>
      <w:r>
        <w:t xml:space="preserve">For the numerical checks of Section 5.8, Eq. (6) also separates the operator error from that of an incomplete assembled solve. For an approximate solution</w:t>
      </w:r>
      <w:r>
        <w:t xml:space="preserve"> </w:t>
      </w:r>
      <m:oMath>
        <m:acc>
          <m:accPr>
            <m:chr m:val="‾"/>
          </m:accPr>
          <m:e>
            <m:r>
              <m:t>U</m:t>
            </m:r>
          </m:e>
        </m:acc>
      </m:oMath>
      <w:r>
        <w:t xml:space="preserve">,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so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3.3. Sensitivity: a linear term through the stiffness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summed over the affected substructures; interior equilibrium removes the design derivative of the exact extension</w:t>
      </w:r>
      <w:r>
        <w:t xml:space="preserve"> </w:t>
      </w:r>
      <w:hyperlink r:id="rId74">
        <w:r>
          <w:rPr>
            <w:rStyle w:val="Hyperlink"/>
          </w:rPr>
          <w:t xml:space="preserve">Giles &amp; Pierce (2000)</w:t>
        </w:r>
      </w:hyperlink>
      <w:r>
        <w:t xml:space="preserve">,</w:t>
      </w:r>
      <w:r>
        <w:t xml:space="preserve"> </w:t>
      </w:r>
      <w:hyperlink r:id="rId72">
        <w:r>
          <w:rPr>
            <w:rStyle w:val="Hyperlink"/>
          </w:rPr>
          <w:t xml:space="preserve">Haftka &amp; Gürdal (1992)</w:t>
        </w:r>
      </w:hyperlink>
      <w:r>
        <w:t xml:space="preserve">. 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vectors</w:t>
      </w:r>
      <w:r>
        <w:t xml:space="preserve"> </w:t>
      </w:r>
      <m:oMath>
        <m:r>
          <m:rPr>
            <m:sty m:val="bi"/>
          </m:rPr>
          <m:t>s</m:t>
        </m:r>
      </m:oMath>
      <w:r>
        <w:t xml:space="preserve"> </w:t>
      </w:r>
      <w:r>
        <w:t xml:space="preserve">and</w:t>
      </w:r>
      <w:r>
        <w:t xml:space="preserve"> </w:t>
      </w:r>
      <m:oMath>
        <m:acc>
          <m:accPr>
            <m:chr m:val="̃"/>
          </m:accPr>
          <m:e>
            <m:r>
              <m:rPr>
                <m:sty m:val="bi"/>
              </m:rPr>
              <m:t>s</m:t>
            </m:r>
          </m:e>
        </m:acc>
      </m:oMath>
      <w:r>
        <w:t xml:space="preserve">.</w:t>
      </w:r>
    </w:p>
    <w:p>
      <w:pPr>
        <w:pStyle w:val="BodyText"/>
      </w:pPr>
      <w:r>
        <w:rPr>
          <w:b/>
          <w:bCs/>
        </w:rPr>
        <w:t xml:space="preserve">Proposition 3 (sensitivity error).</w:t>
      </w:r>
      <w:r>
        <w:t xml:space="preserve"> </w:t>
      </w:r>
      <w:r>
        <w:t xml:space="preserve">Under (A1), (A2) and (D), at the same retained displacement:</w:t>
      </w:r>
    </w:p>
    <w:p>
      <w:pPr>
        <w:pStyle w:val="Compact"/>
        <w:numPr>
          <w:ilvl w:val="0"/>
          <w:numId w:val="1004"/>
        </w:numPr>
      </w:pPr>
      <w:r>
        <w:t xml:space="preserve">the field-based estimate differs from the exact sensitivity by a term linear and a term quadratic in the interior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9</m:t>
          </m:r>
          <m:r>
            <m:rPr>
              <m:sty m:val="p"/>
            </m:rPr>
            <m:t>)</m:t>
          </m:r>
        </m:oMath>
      </m:oMathPara>
    </w:p>
    <w:p>
      <w:pPr>
        <w:pStyle w:val="Compact"/>
        <w:numPr>
          <w:ilvl w:val="0"/>
          <w:numId w:val="1005"/>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direction and the stiffness derivatives, so that the energy error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a decrease of the energy error need not decrease the sensitivity error monotonically. Because thickening a corner enlarges the material domain,</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(9) is then nonpositive, while the linear term can have either sign (Appendix H.2).</w:t>
      </w:r>
    </w:p>
    <w:p>
      <w:pPr>
        <w:pStyle w:val="BodyText"/>
      </w:pPr>
      <w:r>
        <w:t xml:space="preserve">The field-based estimate is not the derivative of the surrogate compliance, which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for an equilibrated extension, but energy accuracy alone does not control it: whether Eq. (10) or the field-based estimate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where</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extension error and of the exact interior extension (Appendix H.2, Eq. (H.6)). All sensitivities reported in this paper are the field-based estimates</w:t>
      </w:r>
      <w:r>
        <w:t xml:space="preserve"> </w:t>
      </w:r>
      <m:oMath>
        <m:sSub>
          <m:e>
            <m:acc>
              <m:accPr>
                <m:chr m:val="̃"/>
              </m:accPr>
              <m:e>
                <m:r>
                  <m:t>s</m:t>
                </m:r>
              </m:e>
            </m:acc>
          </m:e>
          <m:sub>
            <m:r>
              <m:t>c</m:t>
            </m:r>
          </m:sub>
        </m:sSub>
      </m:oMath>
      <w:r>
        <w:t xml:space="preserve">, which estimate the exact sensitivity. Both derivatives hold on intervals where the discrete choices of Appendix B.1 are fixed. Across a switch of the discrete model the reference compliance itself can jump, and any jump that the surrogate adds is bounded by its own error level,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Supplementary Note S4.3). Appendix H specifies the numerical stiffness derivatives.</w:t>
      </w:r>
    </w:p>
    <w:p>
      <w:pPr>
        <w:pStyle w:val="BodyText"/>
      </w:pPr>
      <w:r>
        <w:t xml:space="preserve">For the construction of Section 4, these results become three conditions on the extension:</w:t>
      </w:r>
    </w:p>
    <w:p>
      <w:pPr>
        <w:pStyle w:val="Compact"/>
        <w:numPr>
          <w:ilvl w:val="0"/>
          <w:numId w:val="1006"/>
        </w:numPr>
      </w:pPr>
      <w:r>
        <w:t xml:space="preserve">its interior error energy must be small in the directions that the assembled solution selects, which Eq. (5) expresses through the interior residual (Section 4.2);</w:t>
      </w:r>
    </w:p>
    <w:p>
      <w:pPr>
        <w:pStyle w:val="Compact"/>
        <w:numPr>
          <w:ilvl w:val="0"/>
          <w:numId w:val="1006"/>
        </w:numPr>
      </w:pPr>
      <w:r>
        <w:t xml:space="preserve">a correction applied at deployment must not increase that energy, so that Eq. (4) places the corrected condensed stiffness between the uncorrected one and the exact Schur complement (Proposition 4);</w:t>
      </w:r>
    </w:p>
    <w:p>
      <w:pPr>
        <w:pStyle w:val="Compact"/>
        <w:numPr>
          <w:ilvl w:val="0"/>
          <w:numId w:val="1006"/>
        </w:numPr>
      </w:pPr>
      <w:r>
        <w:t xml:space="preserve">the local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NICE is defined by one object, the corrected extension</w:t>
      </w:r>
      <w:r>
        <w:t xml:space="preserve"> </w:t>
      </w:r>
      <m:oMath>
        <m:r>
          <m:t>F</m:t>
        </m:r>
      </m:oMath>
      <w:r>
        <w:t xml:space="preserve">, which maps a retained displacement to a displacement of the whole cell; its energy</w:t>
      </w:r>
      <w:r>
        <w:t xml:space="preserve"> </w:t>
      </w:r>
      <m:oMath>
        <m:acc>
          <m:accPr>
            <m:chr m:val="̂"/>
          </m:accPr>
          <m:e>
            <m:r>
              <m:t>S</m:t>
            </m:r>
          </m:e>
        </m:acc>
        <m:r>
          <m:rPr>
            <m:sty m:val="p"/>
          </m:rPr>
          <m:t>=</m:t>
        </m:r>
        <m:sSup>
          <m:e>
            <m:r>
              <m:t>F</m:t>
            </m:r>
          </m:e>
          <m:sup>
            <m:r>
              <m:t>T</m:t>
            </m:r>
          </m:sup>
        </m:sSup>
        <m:r>
          <m:t>K</m:t>
        </m:r>
        <m:r>
          <m:t>F</m:t>
        </m:r>
      </m:oMath>
      <w:r>
        <w:t xml:space="preserve"> </w:t>
      </w:r>
      <w:r>
        <w:t xml:space="preserve">is the condensed stiffness, the Galerkin operator of</w:t>
      </w:r>
      <w:r>
        <w:t xml:space="preserve"> </w:t>
      </w:r>
      <m:oMath>
        <m:r>
          <m:t>F</m:t>
        </m:r>
      </m:oMath>
      <w:r>
        <w:t xml:space="preserve">, and exact static condensation is the case</w:t>
      </w:r>
      <w:r>
        <w:t xml:space="preserve"> </w:t>
      </w:r>
      <m:oMath>
        <m:r>
          <m:t>F</m:t>
        </m:r>
        <m:r>
          <m:rPr>
            <m:sty m:val="p"/>
          </m:rPr>
          <m:t>=</m:t>
        </m:r>
        <m:r>
          <m:t>E</m:t>
        </m:r>
      </m:oMath>
      <w:r>
        <w:t xml:space="preserve">, the ideal interpolation. The construction divides the work on</w:t>
      </w:r>
      <w:r>
        <w:t xml:space="preserve"> </w:t>
      </w:r>
      <m:oMath>
        <m:r>
          <m:t>F</m:t>
        </m:r>
      </m:oMath>
      <w:r>
        <w:t xml:space="preserve">. The energy form, applied with the transpose of the complete extension, supplies the mechanical structure for any admissible extension (Section 4.1). A geometry-conditioned network, exactly linear in the retained displacement and admissible by construction, supplies the trial interior field (Section 4.2). A fixed correction</w:t>
      </w:r>
      <w:r>
        <w:t xml:space="preserve"> </w:t>
      </w:r>
      <m:oMath>
        <m:r>
          <m:rPr>
            <m:scr m:val="script"/>
            <m:sty m:val="p"/>
          </m:rPr>
          <m:t>W</m:t>
        </m:r>
      </m:oMath>
      <w:r>
        <w:t xml:space="preserve"> </w:t>
      </w:r>
      <w:r>
        <w:t xml:space="preserve">inside the same energy reduces the interior imbalance that the network leaves (Sections 4.3 and 4.4), and the network is trained through that correction (Section 4.5). Figure 2 shows how the parts define both the condensed action and the displacement recovered after assembly.</w:t>
      </w:r>
    </w:p>
    <w:p>
      <w:pPr>
        <w:pStyle w:val="BodyText"/>
      </w:pPr>
      <w:r>
        <w:drawing>
          <wp:inline>
            <wp:extent cx="5334000" cy="4322464"/>
            <wp:effectExtent b="0" l="0" r="0" t="0"/>
            <wp:docPr descr="Figure 2" title="" id="76" name="Picture"/>
            <a:graphic>
              <a:graphicData uri="http://schemas.openxmlformats.org/drawingml/2006/picture">
                <pic:pic>
                  <pic:nvPicPr>
                    <pic:cNvPr descr="figures/F01_method_overview.png" id="77" name="Picture"/>
                    <pic:cNvPicPr>
                      <a:picLocks noChangeArrowheads="1" noChangeAspect="1"/>
                    </pic:cNvPicPr>
                  </pic:nvPicPr>
                  <pic:blipFill>
                    <a:blip r:embed="rId75"/>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is that of Proposition 4; it concerns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4.2 constructs it with a geometry-conditioned network (Eq. (14)).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symmetric two-grid cycle at fixed retained displacement, specified in Sections 4.3 and 4.4;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Since the null space of</w:t>
      </w:r>
      <w:r>
        <w:t xml:space="preserve"> </w:t>
      </w:r>
      <m:oMath>
        <m:r>
          <m:t>K</m:t>
        </m:r>
      </m:oMath>
      <w:r>
        <w:t xml:space="preserve"> </w:t>
      </w:r>
      <w:r>
        <w:t xml:space="preserve">consists of the rigid-body modes (Section 2.2)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4.3 and 4.4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Its approximation provides both a displacement field and, through its energy, the condensed operator on the complete retained space (Section 4.1). The retained set has 2,679 to 45,900 DOFs and changes with the cut, which rules out the obvious alternatives: an extension matrix formed for every geometry costs one interior solve per retained DOF, and a network with one output per retained DOF would have to change its output dimension with the cut.</w:t>
      </w:r>
    </w:p>
    <w:p>
      <w:pPr>
        <w:pStyle w:val="BodyText"/>
      </w:pPr>
      <w:r>
        <w:t xml:space="preserve">Three properties are needed exactly, because the relations of Sections 3 and 4.1 rest on them, and the architecture provides them by construction. The extension is linear in</w:t>
      </w:r>
      <w:r>
        <w:t xml:space="preserve"> </w:t>
      </w:r>
      <m:oMath>
        <m:r>
          <m:t>q</m:t>
        </m:r>
      </m:oMath>
      <w:r>
        <w:t xml:space="preserve"> </w:t>
      </w:r>
      <w:r>
        <w:t xml:space="preserve">at fixed geometry: nonlinearity is confined to a geometry branch, and every operation on displacement features is linear. It reproduces the retained values and rigid-body motion: rigid motion is separated before learning and reconstructed, and the retained values are overwritten at the output (Eq. (14)). Its transpose, needed for the work-conjugate force of Eq. (12), follows by transposing the linear displacement path operation by operation (Appendix G.1, Eq. (E.1)). Section 5.2 verifies all three numerically.</w:t>
      </w:r>
    </w:p>
    <w:p>
      <w:pPr>
        <w:pStyle w:val="BodyText"/>
      </w:pPr>
      <w:r>
        <w:t xml:space="preserve">The remaining choices govern how well the map is approximated and were not ablated individually. Weights act on stencil slots, channels and grid levels, with coefficients generated per stencil from the geometry, so that one network serves the retained sets of the trained domain. Element moments enter as geometry input, because wall surfaces and the cut plane intersect the background elements. A U-shaped latent hierarchy carries the long-range coupling of the nonlocal map, and additional local interactions act on stencils containing weakly supported nodes, which few, small stiffness entries couple to the rest of the cell.</w:t>
      </w:r>
    </w:p>
    <w:p>
      <w:pPr>
        <w:pStyle w:val="BodyText"/>
      </w:pPr>
      <w:r>
        <w:t xml:space="preserve">Accordingly, the network has two branches: a nonlinear geometry branch computes, once per geometry, the coefficients of a linear operator, and the displacement branch is that operator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node masks</w:t>
      </w:r>
      <w:r>
        <w:t xml:space="preserve"> </w:t>
      </w:r>
      <m:oMath>
        <m:sSub>
          <m:e>
            <m:r>
              <m:rPr>
                <m:scr m:val="sans-serif"/>
                <m:sty m:val="p"/>
              </m:rPr>
              <m:t>M</m:t>
            </m:r>
          </m:e>
          <m:sub>
            <m:r>
              <m:t>I</m:t>
            </m:r>
          </m:sub>
        </m:sSub>
        <m:r>
          <m:rPr>
            <m:sty m:val="p"/>
          </m:rPr>
          <m:t>,</m:t>
        </m:r>
        <m:sSub>
          <m:e>
            <m:r>
              <m:rPr>
                <m:scr m:val="sans-serif"/>
                <m:sty m:val="p"/>
              </m:rP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the first being the</w:t>
      </w:r>
      <w:r>
        <w:t xml:space="preserve"> </w:t>
      </w:r>
      <m:oMath>
        <m:sSub>
          <m:e>
            <m:r>
              <m:t>Q</m:t>
            </m:r>
          </m:e>
          <m:sub>
            <m:r>
              <m:t>2</m:t>
            </m:r>
          </m:sub>
        </m:sSub>
      </m:oMath>
      <w:r>
        <w:t xml:space="preserve"> </w:t>
      </w:r>
      <w:r>
        <w:t xml:space="preserve">node grid of the cell, supplies the long-range coupling; pairs of local interactions before and after it, and further pairs on stencils containing weakly supported nodes, complete the branch, and a linear map reconstructs nodal displacement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(Table ST15), serves every retained set. For a given channel width and stencil size, one application costs work proportional to the number of element and ghost-face stencils and to the size of the fixed latent grids, independently of how many of the nodes are retained, and treats a batch of displacement directions at once.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from the final overwrite of the retained values, and rigid reproduction, from the rigid-body split,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(12) is the composition of the transposed operations in reverse order (Appendix G.1, Eq. (E.1)), so that, in exact arithmetic, the returned force is the derivative of the energy of the learned extension.</w:t>
      </w:r>
    </w:p>
    <w:p>
      <w:pPr>
        <w:pStyle w:val="BodyText"/>
      </w:pPr>
      <w:r>
        <w:t xml:space="preserve">The data flow of the displacement branch resembles that of an iterative solver for the interior problem with the retained displacement as Dirichlet data: each local interaction, Eq. (13), updates the interior features from their stencil neighbours with geometry-dependent coefficients while the retained features are reset to their lifted prescribed values, and the latent hierarchy carries information between distant parts of the cell, as coarse levels do in multigrid. Unlike a solver, the branch never applies the stiffness matrix or forms a residual, and the equilibrium field is not a fixed point of its layers; it is a fixed sequence of learned linear maps. The correction of Sections 4.3 and 4.4, in contrast, acts on the residual of the same interior problem with prescribed coefficients; trained through it (Section 4.5), the network supplies the part of the interior field that a fixed number of these steps does not recover.</w:t>
      </w:r>
    </w:p>
    <w:p>
      <w:pPr>
        <w:pStyle w:val="BodyText"/>
      </w:pPr>
      <w:r>
        <w:drawing>
          <wp:inline>
            <wp:extent cx="5334000" cy="6521285"/>
            <wp:effectExtent b="0" l="0" r="0" t="0"/>
            <wp:docPr descr="Figure 3" title="" id="79" name="Picture"/>
            <a:graphic>
              <a:graphicData uri="http://schemas.openxmlformats.org/drawingml/2006/picture">
                <pic:pic>
                  <pic:nvPicPr>
                    <pic:cNvPr descr="figures/F11_network_architecture.png" id="80" name="Picture"/>
                    <pic:cNvPicPr>
                      <a:picLocks noChangeArrowheads="1" noChangeAspect="1"/>
                    </pic:cNvPicPr>
                  </pic:nvPicPr>
                  <pic:blipFill>
                    <a:blip r:embed="rId78"/>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r>
        <w:t xml:space="preserve"> </w:t>
      </w:r>
      <m:oMath>
        <m:r>
          <m:rPr>
            <m:scr m:val="script"/>
            <m:sty m:val="p"/>
          </m:rPr>
          <m:t>R</m:t>
        </m:r>
      </m:oMath>
      <w:r>
        <w:t xml:space="preserve"> </w:t>
      </w:r>
      <w:r>
        <w:t xml:space="preserve">and</w:t>
      </w:r>
      <w:r>
        <w:t xml:space="preserve"> </w:t>
      </w:r>
      <m:oMath>
        <m:r>
          <m:rPr>
            <m:scr m:val="script"/>
            <m:sty m:val="p"/>
          </m:rPr>
          <m:t>I</m:t>
        </m:r>
      </m:oMath>
      <w:r>
        <w:t xml:space="preserve"> </w:t>
      </w:r>
      <w:r>
        <w:t xml:space="preserve">in (c) denote restriction and prolongation.</w:t>
      </w:r>
    </w:p>
    <w:p>
      <w:pPr>
        <w:pStyle w:val="Heading3"/>
      </w:pPr>
      <w:r>
        <w:t xml:space="preserve">4.3.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81">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33">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the smoothing of a tentative prolongation in smoothed aggregation</w:t>
      </w:r>
      <w:r>
        <w:t xml:space="preserve"> </w:t>
      </w:r>
      <w:hyperlink r:id="rId32">
        <w:r>
          <w:rPr>
            <w:rStyle w:val="Hyperlink"/>
          </w:rPr>
          <w:t xml:space="preserve">Vaněk et al. (1996)</w:t>
        </w:r>
      </w:hyperlink>
      <w:r>
        <w:t xml:space="preserve"> </w:t>
      </w:r>
      <w:r>
        <w:t xml:space="preserve">and hybrid solvers in which relaxation removes the high-frequency error that a learned prediction leaves</w:t>
      </w:r>
      <w:r>
        <w:t xml:space="preserve"> </w:t>
      </w:r>
      <w:hyperlink r:id="rId56">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(15)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verifies that</w:t>
      </w:r>
      <w:r>
        <w:t xml:space="preserve"> </w:t>
      </w:r>
      <m:oMath>
        <m:r>
          <m:t>b</m:t>
        </m:r>
      </m:oMath>
      <w:r>
        <w:t xml:space="preserve"> </w:t>
      </w:r>
      <w:r>
        <w:t xml:space="preserve">bounds the spectrum, and Appendix D gives the polynomial, recurrence, interval estimator and contraction bound.</w:t>
      </w:r>
    </w:p>
    <w:p>
      <w:pPr>
        <w:pStyle w:val="Heading3"/>
      </w:pPr>
      <w:r>
        <w:t xml:space="preserve">4.4.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 (Appendix F.1 treats a basis without it),</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31">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82">
        <w:r>
          <w:rPr>
            <w:rStyle w:val="Hyperlink"/>
          </w:rPr>
          <w:t xml:space="preserve">Hackbusch (1985)</w:t>
        </w:r>
      </w:hyperlink>
      <w:r>
        <w:t xml:space="preserve">,</w:t>
      </w:r>
      <w:r>
        <w:t xml:space="preserve"> </w:t>
      </w:r>
      <w:hyperlink r:id="rId83">
        <w:r>
          <w:rPr>
            <w:rStyle w:val="Hyperlink"/>
          </w:rPr>
          <w:t xml:space="preserve">Trottenberg et al. (2001)</w:t>
        </w:r>
      </w:hyperlink>
      <w:r>
        <w:t xml:space="preserve">,</w:t>
      </w:r>
      <w:r>
        <w:t xml:space="preserve"> </w:t>
      </w:r>
      <w:hyperlink r:id="rId34">
        <w:r>
          <w:rPr>
            <w:rStyle w:val="Hyperlink"/>
          </w:rPr>
          <w:t xml:space="preserve">Xu &amp; Zikatanov (2002)</w:t>
        </w:r>
      </w:hyperlink>
      <w:r>
        <w:t xml:space="preserve">,</w:t>
      </w:r>
      <w:r>
        <w:t xml:space="preserve"> </w:t>
      </w:r>
      <w:hyperlink r:id="rId84">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rPr>
          <w:b/>
          <w:bCs/>
        </w:rPr>
        <w:t xml:space="preserve">Proposition 4 (correction ordering).</w:t>
      </w:r>
      <w:r>
        <w:t xml:space="preserve"> </w:t>
      </w:r>
      <w:r>
        <w:t xml:space="preserve">Let the network extension</w:t>
      </w:r>
      <w:r>
        <w:t xml:space="preserve"> </w:t>
      </w:r>
      <m:oMath>
        <m:acc>
          <m:accPr>
            <m:chr m:val="̂"/>
          </m:accPr>
          <m:e>
            <m:r>
              <m:t>E</m:t>
            </m:r>
          </m:e>
        </m:acc>
      </m:oMath>
      <w:r>
        <w:t xml:space="preserve"> </w:t>
      </w:r>
      <w:r>
        <w:t xml:space="preserve">satisfy (A2), let the coarse solve be exact or use the nonnegatively shifted inverse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(Appendix D.1). The same ordering holds for any geometry-fixed linear correction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The correction therefore cannot increase the error in the</w:t>
      </w:r>
      <w:r>
        <w:t xml:space="preserve"> </w:t>
      </w:r>
      <m:oMath>
        <m:r>
          <m:t>A</m:t>
        </m:r>
      </m:oMath>
      <w:r>
        <w:t xml:space="preserve">-energy norm, and by the order reversal of Appendix C it moves the assembled compliance towards the reference (Appendix D.1). The ordering is guaranteed; the size of the reduction is not (Appendix D), and Section 5.5 measures it.</w:t>
      </w:r>
    </w:p>
    <w:p>
      <w:pPr>
        <w:pStyle w:val="BodyText"/>
      </w:pPr>
      <w:r>
        <w:rPr>
          <w:b/>
          <w:bCs/>
        </w:rPr>
        <w:t xml:space="preserve">Remark 1.</w:t>
      </w:r>
      <w:r>
        <w:t xml:space="preserve"> </w:t>
      </w:r>
      <w:r>
        <w:t xml:space="preserve">The guarantee rests on both conditions and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those modes and the cycle can increase the energy error (Appendix D). Changing the smoothing degree changes the polynomial, so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stays nonexpansive when</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which the nonnegative shift satisfies and an arbitrary approximation need not. And the ordering does not reach the sensitivity: in the example of Appendix D.1, a projection that halves the energy of the interior error changes the sensitivity discrepancy of Eq. (9) from zero to</w:t>
      </w:r>
      <w:r>
        <w:t xml:space="preserve"> </w:t>
      </w:r>
      <m:oMath>
        <m:r>
          <m:t>2</m:t>
        </m:r>
        <m:r>
          <m:t>t</m:t>
        </m:r>
        <m:r>
          <m:rPr>
            <m:sty m:val="p"/>
          </m:rPr>
          <m:t>−</m:t>
        </m:r>
        <m:sSup>
          <m:e>
            <m:r>
              <m:t>t</m:t>
            </m:r>
          </m:e>
          <m:sup>
            <m:r>
              <m:t>2</m:t>
            </m:r>
          </m:sup>
        </m:sSup>
      </m:oMath>
      <w:r>
        <w:t xml:space="preserve">, against a reference sensitivity of</w:t>
      </w:r>
      <w:r>
        <w:t xml:space="preserve"> </w:t>
      </w:r>
      <m:oMath>
        <m:r>
          <m:rPr>
            <m:sty m:val="p"/>
          </m:rPr>
          <m:t>−</m:t>
        </m:r>
        <m:r>
          <m:t>1</m:t>
        </m:r>
      </m:oMath>
      <w:r>
        <w:t xml:space="preserve">.</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the two-grid cycle of Table 1, written 8 /</w:t>
      </w:r>
      <w:r>
        <w:t xml:space="preserve"> </w:t>
      </w:r>
      <m:oMath>
        <m:sSub>
          <m:e>
            <m:r>
              <m:t>Q</m:t>
            </m:r>
          </m:e>
          <m:sub>
            <m:r>
              <m:t>1</m:t>
            </m:r>
          </m:sub>
        </m:sSub>
        <m:r>
          <m:rPr>
            <m:sty m:val="p"/>
          </m:rPr>
          <m:t>(</m:t>
        </m:r>
        <m:r>
          <m:t>17</m:t>
        </m:r>
        <m:r>
          <m:rPr>
            <m:sty m:val="p"/>
          </m:rPr>
          <m:t>)</m:t>
        </m:r>
      </m:oMath>
      <w:r>
        <w:t xml:space="preserve"> </w:t>
      </w:r>
      <w:r>
        <w:t xml:space="preserve">/ 8 for its smoothing steps and coarse space.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9">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 one two-grid cycle, one stiffness action and the transposes of the cycle and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 23,604 DOFs, would take 4.2 GiB in double precision.</w:t>
      </w:r>
    </w:p>
    <w:p>
      <w:pPr>
        <w:pStyle w:val="BodyText"/>
      </w:pPr>
      <w:r>
        <w:rPr>
          <w:b/>
          <w:bCs/>
        </w:rPr>
        <w:t xml:space="preserve">Algorithm 1. Corrected condensed stiffness action.</w:t>
      </w:r>
    </w:p>
    <w:p>
      <w:pPr>
        <w:pStyle w:val="Compact"/>
        <w:numPr>
          <w:ilvl w:val="0"/>
          <w:numId w:val="1007"/>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two-grid cycle</w:t>
      </w:r>
      <w:r>
        <w:t xml:space="preserve"> </w:t>
      </w:r>
      <m:oMath>
        <m:r>
          <m:rPr>
            <m:scr m:val="script"/>
            <m:sty m:val="p"/>
          </m:rPr>
          <m:t>W</m:t>
        </m:r>
      </m:oMath>
      <w:r>
        <w:t xml:space="preserve"> </w:t>
      </w:r>
      <w:r>
        <w:t xml:space="preserve">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7"/>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apply</w:t>
      </w:r>
      <w:r>
        <w:t xml:space="preserve"> </w:t>
      </w:r>
      <m:oMath>
        <m:sSup>
          <m:e>
            <m:r>
              <m:rPr>
                <m:scr m:val="script"/>
                <m:sty m:val="p"/>
              </m:rPr>
              <m:t>W</m:t>
            </m:r>
          </m:e>
          <m:sup>
            <m:r>
              <m:t>T</m:t>
            </m:r>
          </m:sup>
        </m:sSup>
      </m:oMath>
      <w:r>
        <w:t xml:space="preserve">, then the transposed learned extension.</w:t>
      </w:r>
    </w:p>
    <w:p>
      <w:pPr>
        <w:pStyle w:val="Compact"/>
        <w:numPr>
          <w:ilvl w:val="0"/>
          <w:numId w:val="1007"/>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show three things. On single cells, the corrected learned extension reaches a mean energy error of 0.074% on 80 validation geometries, and the network and the correction each remove error that the other leaves (Sections 5.3–5.5). After assembly, compliance follows the share-weighted relation of Proposition 2, whereas the local sensitivity has to be checked on its own (Sections 5.6–5.8). In design, an eight-cell analysis with sensitivities is about ten times faster than direct solution, and the optimised designs agree with exact condensation in compliance and gradient (Sections 5.9 and 5.10). Table 3 collects the accuracy against exact condensation in every assembled example. Sections 5.1 and 5.2 first state the settings and verify the discrete reference.</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 and Figure 4 shows four of the cells used for detailed comparisons.</w:t>
      </w:r>
    </w:p>
    <w:p>
      <w:pPr>
        <w:pStyle w:val="BodyText"/>
      </w:pPr>
      <w:r>
        <w:drawing>
          <wp:inline>
            <wp:extent cx="5334000" cy="1815829"/>
            <wp:effectExtent b="0" l="0" r="0" t="0"/>
            <wp:docPr descr="Figure 4" title="" id="86" name="Picture"/>
            <a:graphic>
              <a:graphicData uri="http://schemas.openxmlformats.org/drawingml/2006/picture">
                <pic:pic>
                  <pic:nvPicPr>
                    <pic:cNvPr descr="figures/F08_geometry.png" id="87" name="Picture"/>
                    <pic:cNvPicPr>
                      <a:picLocks noChangeArrowheads="1" noChangeAspect="1"/>
                    </pic:cNvPicPr>
                  </pic:nvPicPr>
                  <pic:blipFill>
                    <a:blip r:embed="rId85"/>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DOFs of the box-face nodes of positive-area material patches on the box faces;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4.3)</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Section 5.9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4.3 and 4.4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pool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at most 153 of the 591 in their 15,000 steps (Table ST01).</w:t>
      </w:r>
    </w:p>
    <w:p>
      <w:pPr>
        <w:pStyle w:val="BodyText"/>
      </w:pPr>
      <w:r>
        <w:t xml:space="preserve">Twenty of the 80 validation geometries (6 uncut, 14 cut) were used for checkpoint selection (Table ST01); statistics are therefore also given for the 60 geometries outside checkpoint selection. The target cells of the two-cell assemblies of Section 5.6 belong to these 20 selection geometries; nine further cells outside checkpoint selection are assembled there as an additional check. The principal variant was designated after all variants had been compared on the 80 validation geometries and the two-cell configurations (Table ST01); the sixteen cells of the lattices of Section 5.8 entered no selection step. Population statistics average the directional energy error within each geometry and loading class and weight geometries equally (Appendix A.1), so the population maximum is the largest geometry mean.</w:t>
      </w:r>
    </w:p>
    <w:p>
      <w:pPr>
        <w:pStyle w:val="BodyText"/>
      </w:pPr>
      <w:r>
        <w:rPr>
          <w:b/>
          <w:bCs/>
        </w:rPr>
        <w:t xml:space="preserve">Table 3. Accuracy of NICE against exact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a cell's eight-component thickness-sensitivity vector; gradient error: relative error of the lattice gradient over the shared vertex parameters. Maxima or ranges over the loads and designs listed. In the two-cell assemblies only the target cell is learned; in all other examples every cell is.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cut-face tractions</w:t>
            </w:r>
          </w:p>
        </w:tc>
        <w:tc>
          <w:tcPr/>
          <w:p>
            <w:pPr>
              <w:pStyle w:val="Compact"/>
            </w:pPr>
            <w:r>
              <w:t xml:space="preserve">5.6</w:t>
            </w:r>
          </w:p>
        </w:tc>
        <w:tc>
          <w:tcPr/>
          <w:p>
            <w:pPr>
              <w:pStyle w:val="Compact"/>
            </w:pPr>
            <w:r>
              <w:t xml:space="preserve">2, 7 configurations</w:t>
            </w:r>
          </w:p>
        </w:tc>
        <w:tc>
          <w:tcPr/>
          <w:p>
            <w:pPr>
              <w:pStyle w:val="Compact"/>
            </w:pPr>
            <w:r>
              <w:t xml:space="preserve">three cut-face tractions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clamped through its cut band</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apart from the heavily cut H2, the compliance changes by at most 0.28% and the thickness sensitivities by at most 0.44%, whereas in H2 the changes reach about 1% in compliance and 3.6% in sensitivity. On uncut cells and assemblies of them, the compliance of the discrete model agrees with an independent body-fitted quadratic-tetrahedral discretisation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On five cells (U2, M1, M2, H1 and H2), the deployed operator is symmetric and satisfies the work–energy identity to relative deviations of at most</w:t>
      </w:r>
      <w:r>
        <w:t xml:space="preserve"> </w:t>
      </w:r>
      <m:oMath>
        <m:r>
          <m:t>3</m:t>
        </m:r>
        <m:r>
          <m:rPr>
            <m:sty m:val="p"/>
          </m:rPr>
          <m:t>×</m:t>
        </m:r>
        <m:sSup>
          <m:e>
            <m:r>
              <m:t>10</m:t>
            </m:r>
          </m:e>
          <m:sup>
            <m:r>
              <m:rPr>
                <m:sty m:val="p"/>
              </m:rPr>
              <m:t>−</m:t>
            </m:r>
            <m:r>
              <m:t>8</m:t>
            </m:r>
          </m:sup>
        </m:sSup>
      </m:oMath>
      <w:r>
        <w:t xml:space="preserve">, gives the rigid-body modes zero energy to round-off and reproduces the training-time field to</w:t>
      </w:r>
      <w:r>
        <w:t xml:space="preserve"> </w:t>
      </w:r>
      <m:oMath>
        <m:r>
          <m:t>1.1</m:t>
        </m:r>
        <m:r>
          <m:rPr>
            <m:sty m:val="p"/>
          </m:rPr>
          <m:t>×</m:t>
        </m:r>
        <m:sSup>
          <m:e>
            <m:r>
              <m:t>10</m:t>
            </m:r>
          </m:e>
          <m:sup>
            <m:r>
              <m:rPr>
                <m:sty m:val="p"/>
              </m:rPr>
              <m:t>−</m:t>
            </m:r>
            <m:r>
              <m:t>7</m:t>
            </m:r>
          </m:sup>
        </m:sSup>
      </m:oMath>
      <w:r>
        <w:t xml:space="preserve"> </w:t>
      </w:r>
      <w:r>
        <w:t xml:space="preserve">(Table ST04).</w:t>
      </w:r>
    </w:p>
    <w:p>
      <w:pPr>
        <w:pStyle w:val="BodyText"/>
      </w:pPr>
      <w:r>
        <w:t xml:space="preserve">The nonexpansiveness of Section 4.3 is guaranteed by</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Single cells: about 0.1% mean energy error or less in every cut stratum</w:t>
      </w:r>
    </w:p>
    <w:p>
      <w:pPr>
        <w:pStyle w:val="FirstParagraph"/>
      </w:pPr>
      <w:r>
        <w:t xml:space="preserve">NICE's stratum-mean errors are 64 to 102 times lower than those of the Uncorrected continuation, although its error still grows about sevenfold from uncut to heavily cut cells (Figure 5). Under consistent tractions, NICE's stratum means rise from 0.016% in uncut to 0.109% in heavily cut cells, against 1.03% to 11.2% for the Uncorrected continuation (Supplementary Table ST03b). Over all 80 geometries the mean is 0.074% for NICE, 6.33% for the Uncorrected continuation and 6.89% for the base network, and the largest geometry means are 0.65%, 42% and 48.6%. Taken direction by direction, 99% of NICE's errors over the 5,120 sampled consistent-traction directions lie below 0.69%, and the largest is 1.24% (Supplementary Table ST03).</w:t>
      </w:r>
    </w:p>
    <w:p>
      <w:pPr>
        <w:pStyle w:val="BodyText"/>
      </w:pPr>
      <w:r>
        <w:t xml:space="preserve">Under nodal forces, the base network's mean rises from 0.908% in uncut to 11.3% in heavily cut cells (largest 70.1%), whereas NICE's stratum means stay between 0.013% and 0.090%; under the other loading classes NICE's means are of the same order (Supplementary Table ST03; per-geometry distributions in Figure S02). On the 60 geometries outside checkpoint selection, NICE's class means differ from those over all 80 by at most 0.005 percentage points; under consistent tractions its heavily cut stratum mean is higher (0.126% against 0.109%),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 Under the same correction, a deterministic harmonic start leaves 5.4 to 265 times the error of NICE (Section 5.5).</w:t>
      </w:r>
    </w:p>
    <w:p>
      <w:pPr>
        <w:pStyle w:val="BodyText"/>
      </w:pPr>
      <w:r>
        <w:drawing>
          <wp:inline>
            <wp:extent cx="5334000" cy="3240234"/>
            <wp:effectExtent b="0" l="0" r="0" t="0"/>
            <wp:docPr descr="Figure 5" title="" id="89" name="Picture"/>
            <a:graphic>
              <a:graphicData uri="http://schemas.openxmlformats.org/drawingml/2006/picture">
                <pic:pic>
                  <pic:nvPicPr>
                    <pic:cNvPr descr="figures/F02_validation.png" id="90" name="Picture"/>
                    <pic:cNvPicPr>
                      <a:picLocks noChangeArrowheads="1" noChangeAspect="1"/>
                    </pic:cNvPicPr>
                  </pic:nvPicPr>
                  <pic:blipFill>
                    <a:blip r:embed="rId88"/>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What the network leaves: slow modes, the cut band and a stiff error</w:t>
      </w:r>
    </w:p>
    <w:p>
      <w:pPr>
        <w:pStyle w:val="FirstParagraph"/>
      </w:pPr>
      <w:r>
        <w:t xml:space="preserve">The error that the network leaves lies partly in modes that smoothing damps slowly and partly next to the cut, and it is stiffer than the solution. Before the correction is applied, it is examined in four ways: where it lies in the interior spectrum, where it lies in space, why an interior displacement error of about one percent becomes an energy error of several percent, and how its effect on the sensitivity divides between the linear and quadratic terms of Eq. (9).</w:t>
      </w:r>
    </w:p>
    <w:p>
      <w:pPr>
        <w:pStyle w:val="BodyText"/>
      </w:pPr>
      <w:r>
        <w:t xml:space="preserve">The base network's error occupies different parts of the Jacobi-scaled interior spectrum in different cells (Figure 6).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6" title="" id="92" name="Picture"/>
            <a:graphic>
              <a:graphicData uri="http://schemas.openxmlformats.org/drawingml/2006/picture">
                <pic:pic>
                  <pic:nvPicPr>
                    <pic:cNvPr descr="figures/F03_spectrum.png" id="93" name="Picture"/>
                    <pic:cNvPicPr>
                      <a:picLocks noChangeArrowheads="1" noChangeAspect="1"/>
                    </pic:cNvPicPr>
                  </pic:nvPicPr>
                  <pic:blipFill>
                    <a:blip r:embed="rId91"/>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7),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7" title="" id="95" name="Picture"/>
            <a:graphic>
              <a:graphicData uri="http://schemas.openxmlformats.org/drawingml/2006/picture">
                <pic:pic>
                  <pic:nvPicPr>
                    <pic:cNvPr descr="figures/F12_field_error_M1.png" id="96" name="Picture"/>
                    <pic:cNvPicPr>
                      <a:picLocks noChangeArrowheads="1" noChangeAspect="1"/>
                    </pic:cNvPicPr>
                  </pic:nvPicPr>
                  <pic:blipFill>
                    <a:blip r:embed="rId94"/>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identically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(Supplementary Table ST04).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in M1 and H2, with sensitivity errors of 14.1% and 75.1% at fixed retained displacement, the linear term contributes only 7.2% and 0.79% of the sum of the linear- and quadratic-term norms. Under consistent tractions it contributes 28–43% in the three cells whose energy errors are below 2% (U1, U2 and H1), and under nodal forces 24–72% in all six cells. Being first order in the field error, it dominates as that error tends to zero (Table ST05, Figure S03).</w:t>
      </w:r>
    </w:p>
    <w:p>
      <w:pPr>
        <w:pStyle w:val="Heading3"/>
      </w:pPr>
      <w:r>
        <w:t xml:space="preserve">5.5. Correction at fixed network parameters: learned field and correction are complementary</w:t>
      </w:r>
    </w:p>
    <w:p>
      <w:pPr>
        <w:pStyle w:val="FirstParagraph"/>
      </w:pPr>
      <w:r>
        <w:t xml:space="preserve">Holding the base network fixed isolates the effect of the correction (Figure 8).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8a,b).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4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4 and U1); only in H2 does it reach that result. The learned field thus supplies the part of the interior equilibrium that smoothing and the coarse space do not reach.</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8" title="" id="98" name="Picture"/>
            <a:graphic>
              <a:graphicData uri="http://schemas.openxmlformats.org/drawingml/2006/picture">
                <pic:pic>
                  <pic:nvPicPr>
                    <pic:cNvPr descr="figures/F04_correction.png" id="99" name="Picture"/>
                    <pic:cNvPicPr>
                      <a:picLocks noChangeArrowheads="1" noChangeAspect="1"/>
                    </pic:cNvPicPr>
                  </pic:nvPicPr>
                  <pic:blipFill>
                    <a:blip r:embed="rId97"/>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After assembly: compliance follows the energy share, the sensitivity does not</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9).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9" title="" id="101" name="Picture"/>
            <a:graphic>
              <a:graphicData uri="http://schemas.openxmlformats.org/drawingml/2006/picture">
                <pic:pic>
                  <pic:nvPicPr>
                    <pic:cNvPr descr="figures/F09_assembly_loads.png" id="102" name="Picture"/>
                    <pic:cNvPicPr>
                      <a:picLocks noChangeArrowheads="1" noChangeAspect="1"/>
                    </pic:cNvPicPr>
                  </pic:nvPicPr>
                  <pic:blipFill>
                    <a:blip r:embed="rId100"/>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10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Nine further validation cells outside checkpoint selection were assembled in the same way: the five geometries with NICE's largest single-cell errors and one randomly chosen cell from each of the uncut, lightly, moderately and heavily cut strata. All eighteen configurations stay below both 3% lines, with maxima of 0.27% in compliance and 1.49% in sensitivity, both on the geometry with the largest single-cell error (Supplementary Table ST08b). The five largest-error geometries account for all compliance errors above 0.02%; the four stratum cells stay below 0.011% and 0.22%.</w:t>
      </w:r>
    </w:p>
    <w:p>
      <w:pPr>
        <w:pStyle w:val="BodyText"/>
      </w:pPr>
      <w:r>
        <w:t xml:space="preserve">The Uncorrected continuation exceeds the 3% sensitivity line in four of the eleven configurations on which it was evaluated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tractions on the target cut face, NICE reaches at most 0.10% in compliance and 0.16% in sensitivity, whereas the Uncorrected continuation exceeds the 3% line in four of its seven configurations, up to 14.1% in sensitivity (Table ST09).</w:t>
      </w:r>
    </w:p>
    <w:p>
      <w:pPr>
        <w:pStyle w:val="BodyText"/>
      </w:pPr>
      <w:r>
        <w:t xml:space="preserve">Table 5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10" title="" id="104" name="Picture"/>
            <a:graphic>
              <a:graphicData uri="http://schemas.openxmlformats.org/drawingml/2006/picture">
                <pic:pic>
                  <pic:nvPicPr>
                    <pic:cNvPr descr="figures/F05_assembly.png" id="105" name="Picture"/>
                    <pic:cNvPicPr>
                      <a:picLocks noChangeArrowheads="1" noChangeAspect="1"/>
                    </pic:cNvPicPr>
                  </pic:nvPicPr>
                  <pic:blipFill>
                    <a:blip r:embed="rId103"/>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5.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5) explains why the compliance error can be orders of magnitude smaller than the sensitivity error. Under the neighbour-face z load in U1/x, NICE's target cell carries 0.127% of the exact assembled energy and has a local energy error of 0.0575%; their product</w:t>
      </w:r>
      <w:r>
        <w:t xml:space="preserve"> </w:t>
      </w:r>
      <m:oMath>
        <m:r>
          <m:t>β</m:t>
        </m:r>
        <m:r>
          <m:rPr>
            <m:sty m:val="p"/>
          </m:rPr>
          <m:t>=</m:t>
        </m:r>
        <m:r>
          <m:t>w</m:t>
        </m:r>
        <m:r>
          <m:t>ε</m:t>
        </m:r>
      </m:oMath>
      <w:r>
        <w:t xml:space="preserve"> </w:t>
      </w:r>
      <w:r>
        <w:t xml:space="preserve">gives a relative compliance bound of</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whereas the target-cell sensitivity error is 0.598%, about 8,200 times the compliance error. Two factors make up this ratio. The compliance error is relative to the compliance of the whole assembly, so the local error enters it weighted by</w:t>
      </w:r>
      <w:r>
        <w:t xml:space="preserve"> </w:t>
      </w:r>
      <m:oMath>
        <m:r>
          <m:t>w</m:t>
        </m:r>
      </m:oMath>
      <w:r>
        <w:t xml:space="preserve">, a factor</w:t>
      </w:r>
      <w:r>
        <w:t xml:space="preserve"> </w:t>
      </w:r>
      <m:oMath>
        <m:r>
          <m:t>1</m:t>
        </m:r>
        <m:r>
          <m:rPr>
            <m:sty m:val="p"/>
          </m:rPr>
          <m:t>/</m:t>
        </m:r>
        <m:r>
          <m:t>w</m:t>
        </m:r>
        <m:r>
          <m:rPr>
            <m:sty m:val="p"/>
          </m:rPr>
          <m:t>≈</m:t>
        </m:r>
        <m:r>
          <m:t>780</m:t>
        </m:r>
      </m:oMath>
      <w:r>
        <w:t xml:space="preserve">. The sensitivity error is relative to the target's own sensitivity, which scales with the target's energy as its error does, so that</w:t>
      </w:r>
      <w:r>
        <w:t xml:space="preserve"> </w:t>
      </w:r>
      <m:oMath>
        <m:r>
          <m:t>w</m:t>
        </m:r>
      </m:oMath>
      <w:r>
        <w:t xml:space="preserve"> </w:t>
      </w:r>
      <w:r>
        <w:t xml:space="preserve">cancels; at fixed retained displacement the energy error controls it only at the order</w:t>
      </w:r>
      <w:r>
        <w:t xml:space="preserve"> </w:t>
      </w:r>
      <m:oMath>
        <m:rad>
          <m:radPr>
            <m:degHide m:val="on"/>
          </m:radPr>
          <m:deg/>
          <m:e>
            <m:r>
              <m:t>ε</m:t>
            </m:r>
          </m:e>
        </m:rad>
      </m:oMath>
      <w:r>
        <w:t xml:space="preserve"> </w:t>
      </w:r>
      <w:r>
        <w:t xml:space="preserve">(Proposition 3(b)), and here it is about ten times</w:t>
      </w:r>
      <w:r>
        <w:t xml:space="preserve"> </w:t>
      </w:r>
      <m:oMath>
        <m:r>
          <m:t>ε</m:t>
        </m:r>
      </m:oMath>
      <w:r>
        <w:t xml:space="preserve">. Figure 11 shows this weighting for NICE over all loads; the other four variants follow the same relations (Figure S04).</w:t>
      </w:r>
    </w:p>
    <w:p>
      <w:pPr>
        <w:pStyle w:val="BodyText"/>
      </w:pPr>
      <w:r>
        <w:drawing>
          <wp:inline>
            <wp:extent cx="5334000" cy="2064301"/>
            <wp:effectExtent b="0" l="0" r="0" t="0"/>
            <wp:docPr descr="Figure 11" title="" id="107" name="Picture"/>
            <a:graphic>
              <a:graphicData uri="http://schemas.openxmlformats.org/drawingml/2006/picture">
                <pic:pic>
                  <pic:nvPicPr>
                    <pic:cNvPr descr="figures/F10_energy_share.png" id="108" name="Picture"/>
                    <pic:cNvPicPr>
                      <a:picLocks noChangeArrowheads="1" noChangeAspect="1"/>
                    </pic:cNvPicPr>
                  </pic:nvPicPr>
                  <pic:blipFill>
                    <a:blip r:embed="rId106"/>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target's energy share scales down the compliance error but not the sensitivity error.</w:t>
      </w:r>
      <w:r>
        <w:t xml:space="preserve"> </w:t>
      </w:r>
      <w:r>
        <w:t xml:space="preserve">NICE in the fourteen configurations of the seven selection cells, one point per load: 84 face loads (filled markers) and 30 cut-surface loads (open markers); the maxima over the loads are given in Tables ST08 and ST09.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The line denotes equality. For every load the compliance error lies between 0.963 and 1.004 times</w:t>
      </w:r>
      <w:r>
        <w:t xml:space="preserve"> </w:t>
      </w:r>
      <m:oMath>
        <m:r>
          <m:t>β</m:t>
        </m:r>
      </m:oMath>
      <w:r>
        <w:t xml:space="preserve">; the five ratios above 1 correspond to at most</w:t>
      </w:r>
      <w:r>
        <w:t xml:space="preserve"> </w:t>
      </w:r>
      <m:oMath>
        <m:r>
          <m:t>7.8</m:t>
        </m:r>
        <m:r>
          <m:rPr>
            <m:sty m:val="p"/>
          </m:rPr>
          <m:t>×</m:t>
        </m:r>
        <m:sSup>
          <m:e>
            <m:r>
              <m:t>10</m:t>
            </m:r>
          </m:e>
          <m:sup>
            <m:r>
              <m:rPr>
                <m:sty m:val="p"/>
              </m:rPr>
              <m:t>−</m:t>
            </m:r>
            <m:r>
              <m:t>10</m:t>
            </m:r>
          </m:sup>
        </m:sSup>
      </m:oMath>
      <w:r>
        <w:t xml:space="preserve"> </w:t>
      </w:r>
      <w:r>
        <w:t xml:space="preserve">of the compliance, whereas the residual work of the pair solves reaches</w:t>
      </w:r>
      <w:r>
        <w:t xml:space="preserve"> </w:t>
      </w:r>
      <m:oMath>
        <m:r>
          <m:t>1.8</m:t>
        </m:r>
        <m:r>
          <m:rPr>
            <m:sty m:val="p"/>
          </m:rPr>
          <m:t>×</m:t>
        </m:r>
        <m:sSup>
          <m:e>
            <m:r>
              <m:t>10</m:t>
            </m:r>
          </m:e>
          <m:sup>
            <m:r>
              <m:rPr>
                <m:sty m:val="p"/>
              </m:rPr>
              <m:t>−</m:t>
            </m:r>
            <m:r>
              <m:t>8</m:t>
            </m:r>
          </m:sup>
        </m:sSup>
      </m:oMath>
      <w:r>
        <w:t xml:space="preserve"> </w:t>
      </w:r>
      <w:r>
        <w:t xml:space="preserve">of the compliance (Supplementary Note S4.3). (b) Compliance error and (c) target-cell sensitivity error against the target's exact energy share</w:t>
      </w:r>
      <w:r>
        <w:t xml:space="preserve"> </w:t>
      </w:r>
      <m:oMath>
        <m:r>
          <m:t>w</m:t>
        </m:r>
      </m:oMath>
      <w:r>
        <w:t xml:space="preserve">; solid lines are least-squares fits in logarithmic coordinates. The circled load is U1/x under the neighbour-face z traction (Table 5). The other four variants are shown in Figure S04.</w:t>
      </w:r>
    </w:p>
    <w:p>
      <w:pPr>
        <w:pStyle w:val="Heading3"/>
      </w:pPr>
      <w:r>
        <w:t xml:space="preserve">5.7. Ablation: restricting the box faces costs sensitivity before compliance</w:t>
      </w:r>
    </w:p>
    <w:p>
      <w:pPr>
        <w:pStyle w:val="FirstParagraph"/>
      </w:pPr>
      <w:r>
        <w:t xml:space="preserve">Keeping the complete retained space matters more for the local sensitivity than for the compliance. To isolate its role,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6">
        <w:r>
          <w:rPr>
            <w:rStyle w:val="Hyperlink"/>
          </w:rPr>
          <w:t xml:space="preserve">Huang et al. (2024)</w:t>
        </w:r>
      </w:hyperlink>
      <w:r>
        <w:t xml:space="preserve">,</w:t>
      </w:r>
      <w:r>
        <w:t xml:space="preserve"> </w:t>
      </w:r>
      <w:hyperlink r:id="rId17">
        <w:r>
          <w:rPr>
            <w:rStyle w:val="Hyperlink"/>
          </w:rPr>
          <w:t xml:space="preserve">Guo et al. (2026a)</w:t>
        </w:r>
      </w:hyperlink>
      <w:r>
        <w:t xml:space="preserve">,</w:t>
      </w:r>
      <w:r>
        <w:t xml:space="preserve"> </w:t>
      </w:r>
      <w:hyperlink r:id="rId37">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2" title="" id="110" name="Picture"/>
            <a:graphic>
              <a:graphicData uri="http://schemas.openxmlformats.org/drawingml/2006/picture">
                <pic:pic>
                  <pic:nvPicPr>
                    <pic:cNvPr descr="figures/F06_bernstein.png" id="111" name="Picture"/>
                    <pic:cNvPicPr>
                      <a:picLocks noChangeArrowheads="1" noChangeAspect="1"/>
                    </pic:cNvPicPr>
                  </pic:nvPicPr>
                  <pic:blipFill>
                    <a:blip r:embed="rId109"/>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Lattices with every cell learned: the errors do not accumulate</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Both lattices keep the compliance error below 0.015% under the face loads and every cell's sensitivity error below 0.14% (Table 3); the assembled retained solutions differ from the exact ones by 0.13% and 0.12% (relative Euclidean norm over all six loads).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This level is consistent with rounding in the single-precision network and does not come from the correction: running the correction in single instead of double precision changes it by less than 1% in the block.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within 0.09% under the face loads, with cosines above 0.999999 (Table 3).</w:t>
      </w:r>
    </w:p>
    <w:p>
      <w:pPr>
        <w:pStyle w:val="Heading3"/>
      </w:pPr>
      <w:r>
        <w:t xml:space="preserve">5.9. Cost: a lattice analysis with sensitivities in about a tenth of the direct-solution time</w:t>
      </w:r>
    </w:p>
    <w:p>
      <w:pPr>
        <w:pStyle w:val="FirstParagraph"/>
      </w:pPr>
      <w:r>
        <w:t xml:space="preserve">NICE solves the assembled problem on the retained DOFs only, 139,002 and 143,685 for the eight-cell lattices instead of the 1.83 and 2.11 million DOFs of the whole-lattice model, and prepares every cell by a network evaluation and a fixed correction instead of an interior factorisation. A lattice analysis with sensitivities therefore takes less time and memory than the whole-lattice direct solution and conventional exact condensation, and less time than whole-lattice conjugate gradients with algebraic multigrid; at the scale of Section 5.10, a design iteration of a 110-cell plate, whose cut finite element model has 32.7 million DOFs and whose assembled retained system has 1.6 million, takes 19 min, about 11 s per cell. 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6 compares three routes.</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The exact routes solve six loads but do not evaluate sensitivities, which would add to their time; the solution of the six loads takes 3–4% of the total of route (a) (Supplementary Table ST12b). The routes run on different processors, one GPU against 16 CPU threads; the comparison is between the routes as each is deployed, not between hardware-equivalent amounts of work.</w:t>
      </w:r>
    </w:p>
    <w:p>
      <w:pPr>
        <w:pStyle w:val="BodyText"/>
      </w:pPr>
      <w:r>
        <w:rPr>
          <w:b/>
          <w:bCs/>
        </w:rPr>
        <w:t xml:space="preserve">Table 6.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Routes (a) and (b) solve six loads and do not evaluate sensitivities; route (c) solves three loads and evaluates them.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NICE takes 79 and 105 s per analysis; the whole-lattice direct solution takes 868 and 1,042 s, about ten times as long, and conventional exact condensation longer still (Table 6). The four-cell lattices give similar ratios, and the learned compliance agrees with the direct solution within 0.022%. More threads help the direct solution little, because cell setup and assembly do not speed up (32-thread and single-thread times in Supplementary Table ST12b). In route (a), cell setup and stiffness assembly on the CPU take 41 to 53% of the time; with them excluded, and with NICE's cell preparation on the GPU excluded as well, which besides setup and assembly contains the network encoding and the correction setup, NICE remains five to eight times faster (phase times in Supplementary Tables ST12b and ST12d).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Memory follows the same pattern. The process peak of the direct solution is 71 and 86 GiB for the eight-cell lattices, set by its Cholesky factor, which grows slightly faster than the number of DOFs;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Whole-lattice iterative solvers were compared on the two eight-cell lattices, with the systems of route (a) on the same CPU with 16 MPI processes (PETSc</w:t>
      </w:r>
      <w:r>
        <w:t xml:space="preserve"> </w:t>
      </w:r>
      <w:hyperlink r:id="rId112">
        <w:r>
          <w:rPr>
            <w:rStyle w:val="Hyperlink"/>
          </w:rPr>
          <w:t xml:space="preserve">Balay et al. (2026)</w:t>
        </w:r>
      </w:hyperlink>
      <w:r>
        <w:t xml:space="preserve">; Supplementary Note S3, Table ST12e). Conjugate gradients preconditioned by smoothed-aggregation algebraic multigrid</w:t>
      </w:r>
      <w:r>
        <w:t xml:space="preserve"> </w:t>
      </w:r>
      <w:hyperlink r:id="rId32">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at which the compliance differs from the converged solution by less than</w:t>
      </w:r>
      <w:r>
        <w:t xml:space="preserve"> </w:t>
      </w:r>
      <m:oMath>
        <m:r>
          <m:t>5</m:t>
        </m:r>
        <m:r>
          <m:rPr>
            <m:sty m:val="p"/>
          </m:rPr>
          <m:t>×</m:t>
        </m:r>
        <m:sSup>
          <m:e>
            <m:r>
              <m:t>10</m:t>
            </m:r>
          </m:e>
          <m:sup>
            <m:r>
              <m:rPr>
                <m:sty m:val="p"/>
              </m:rPr>
              <m:t>−</m:t>
            </m:r>
            <m:r>
              <m:t>10</m:t>
            </m:r>
          </m:sup>
        </m:sSup>
      </m:oMath>
      <w:r>
        <w:t xml:space="preserve">, in 52 to 84 s per load after a setup of 35 and 39 s; with the setup and assembly of route (a), the analysis of the three loads of route (c) takes 637 and 752 s, eight and seven times as long as NICE. Classical algebraic multigrid (BoomerAMG</w:t>
      </w:r>
      <w:r>
        <w:t xml:space="preserve"> </w:t>
      </w:r>
      <w:hyperlink r:id="rId113">
        <w:r>
          <w:rPr>
            <w:rStyle w:val="Hyperlink"/>
          </w:rPr>
          <w:t xml:space="preserve">Falgout &amp; Yang (2002)</w:t>
        </w:r>
      </w:hyperlink>
      <w:r>
        <w:t xml:space="preserve">) gave an indefinite preconditioner for one lattice and needed 250 to 260 iterations per load for the other, and for BDDC</w:t>
      </w:r>
      <w:r>
        <w:t xml:space="preserve"> </w:t>
      </w:r>
      <w:hyperlink r:id="rId114">
        <w:r>
          <w:rPr>
            <w:rStyle w:val="Hyperlink"/>
          </w:rPr>
          <w:t xml:space="preserve">Dohrmann (2003)</w:t>
        </w:r>
      </w:hyperlink>
      <w:r>
        <w:t xml:space="preserve"> </w:t>
      </w:r>
      <w:r>
        <w:t xml:space="preserve">with exact local solvers and one subdomain per cell, factorising every cell's Dirichlet and complete Neumann matrices alone takes 449 and 523 s (Supplementary Note S3). Every fine-scale route repeats the cell setup and the assembly of the whole-lattice system, 416 and 474 s in route (a) (Table ST12b), which alone take 5.3 and 4.5 times as long as the NICE analysis.</w:t>
      </w:r>
    </w:p>
    <w:p>
      <w:pPr>
        <w:pStyle w:val="BodyText"/>
      </w:pPr>
      <w:r>
        <w:t xml:space="preserve">In a design iteration the geometry of every cell changes, so every cell's preparation (its interior factorisation, or its network encoding and correction setup) is repeated, as in the analyses of Table 6; the assembled solve can start from the previous solution, and the conventional routes can reuse their symbolic factorisation while the active-element pattern is unchanged.</w:t>
      </w:r>
    </w:p>
    <w:p>
      <w:pPr>
        <w:pStyle w:val="Heading3"/>
      </w:pPr>
      <w:r>
        <w:t xml:space="preserve">5.10. Thickness design: designs and gradients agree with exact condensation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(Figure 13 shows the plate). In both, the corner thickness parameters solve the design problem of Section 2.3 under one unit consistent face traction, 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2.3 with the field-based estimates</w:t>
      </w:r>
      <w:r>
        <w:t xml:space="preserve"> </w:t>
      </w:r>
      <m:oMath>
        <m:sSub>
          <m:e>
            <m:acc>
              <m:accPr>
                <m:chr m:val="̃"/>
              </m:accPr>
              <m:e>
                <m:r>
                  <m:rPr>
                    <m:sty m:val="bi"/>
                  </m:rPr>
                  <m:t>s</m:t>
                </m:r>
              </m:e>
            </m:acc>
          </m:e>
          <m:sub>
            <m:r>
              <m:t>m</m:t>
            </m:r>
          </m:sub>
        </m:sSub>
      </m:oMath>
      <w:r>
        <w:t xml:space="preserve"> </w:t>
      </w:r>
      <w:r>
        <w:t xml:space="preserve">of Section 3.3 in place of</w:t>
      </w:r>
      <w:r>
        <w:t xml:space="preserve"> </w:t>
      </w:r>
      <m:oMath>
        <m:sSub>
          <m:e>
            <m:r>
              <m:rPr>
                <m:sty m:val="bi"/>
              </m:rPr>
              <m:t>s</m:t>
            </m:r>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6.3).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15">
        <w:r>
          <w:rPr>
            <w:rStyle w:val="Hyperlink"/>
          </w:rPr>
          <w:t xml:space="preserve">Svanberg (1987)</w:t>
        </w:r>
      </w:hyperlink>
      <w:r>
        <w:t xml:space="preserve">, in the variant of Svanberg (2007), with a move limit of 5% of the parameter range and no line search (Table ST16).</w:t>
      </w:r>
    </w:p>
    <w:p>
      <w:pPr>
        <w:pStyle w:val="BodyText"/>
      </w:pPr>
      <w:r>
        <w:drawing>
          <wp:inline>
            <wp:extent cx="5334000" cy="3662633"/>
            <wp:effectExtent b="0" l="0" r="0" t="0"/>
            <wp:docPr descr="Figure 13" title="" id="117" name="Picture"/>
            <a:graphic>
              <a:graphicData uri="http://schemas.openxmlformats.org/drawingml/2006/picture">
                <pic:pic>
                  <pic:nvPicPr>
                    <pic:cNvPr descr="figures/F14_plate_design3d.png" id="118" name="Picture"/>
                    <pic:cNvPicPr>
                      <a:picLocks noChangeArrowheads="1" noChangeAspect="1"/>
                    </pic:cNvPicPr>
                  </pic:nvPicPr>
                  <pic:blipFill>
                    <a:blip r:embed="rId116"/>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clamped through its cut band.</w:t>
      </w:r>
      <w:r>
        <w:t xml:space="preserve"> </w:t>
      </w:r>
      <w:r>
        <w:t xml:space="preserve">(a) Final NICE design, walls coloured by the local thickness parameter, with the NICE and exact compliances (Table ST21). (b) Change from the uniform start,</w:t>
      </w:r>
      <w:r>
        <w:t xml:space="preserve"> </w:t>
      </w:r>
      <m:oMath>
        <m:r>
          <m:t>τ</m:t>
        </m:r>
        <m:r>
          <m:rPr>
            <m:sty m:val="p"/>
          </m:rPr>
          <m:t>−</m:t>
        </m:r>
        <m:r>
          <m:t>0.40</m:t>
        </m:r>
      </m:oMath>
      <w:r>
        <w:t xml:space="preserve">: material moves into the cells next to the support near the loaded end (up to</w:t>
      </w:r>
      <w:r>
        <w:t xml:space="preserve"> </w:t>
      </w:r>
      <m:oMath>
        <m:r>
          <m:rPr>
            <m:sty m:val="p"/>
          </m:rPr>
          <m:t>+</m:t>
        </m:r>
        <m:r>
          <m:t>0.29</m:t>
        </m:r>
      </m:oMath>
      <w:r>
        <w:t xml:space="preserve">), and the cells far from the load are thinned (down to</w:t>
      </w:r>
      <w:r>
        <w:t xml:space="preserve"> </w:t>
      </w:r>
      <m:oMath>
        <m:r>
          <m:rPr>
            <m:sty m:val="p"/>
          </m:rPr>
          <m:t>−</m:t>
        </m:r>
        <m:r>
          <m:t>0.22</m:t>
        </m:r>
      </m:oMath>
      <w:r>
        <w:t xml:space="preserve">). (c) The cut cell of Figure 1b at the final design under the design load: displacement magnitude on the walls from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from exact condensation</w:t>
      </w:r>
      <w:r>
        <w:t xml:space="preserve"> </w:t>
      </w:r>
      <m:oMath>
        <m:sSub>
          <m:e>
            <m:r>
              <m:t>E</m:t>
            </m:r>
          </m:e>
          <m:sub>
            <m:r>
              <m:t>m</m:t>
            </m:r>
          </m:sub>
        </m:sSub>
        <m:sSub>
          <m:e>
            <m:r>
              <m:t>B</m:t>
            </m:r>
          </m:e>
          <m:sub>
            <m:r>
              <m:t>m</m:t>
            </m:r>
          </m:sub>
        </m:sSub>
        <m:r>
          <m:t>U</m:t>
        </m:r>
      </m:oMath>
      <w:r>
        <w:t xml:space="preserve"> </w:t>
      </w:r>
      <w:r>
        <w:t xml:space="preserve">on one scale, and their difference on its own scale. The two fields differ by 1.04% in the energy norm of the cell and by 0.76% in the Euclidean norm of the nodal displacements; the same extension applied to the exact retained displacements also gives 1.04%, so the difference comes from the local extension. Over the plate the energy-norm difference is 1.72%, whose square equals the relative compliance gap of</w:t>
      </w:r>
      <w:r>
        <w:t xml:space="preserve"> </w:t>
      </w:r>
      <m:oMath>
        <m:r>
          <m:t>2.96</m:t>
        </m:r>
        <m:r>
          <m:rPr>
            <m:sty m:val="p"/>
          </m:rPr>
          <m:t>×</m:t>
        </m:r>
        <m:sSup>
          <m:e>
            <m:r>
              <m:t>10</m:t>
            </m:r>
          </m:e>
          <m:sup>
            <m:r>
              <m:rPr>
                <m:sty m:val="p"/>
              </m:rPr>
              <m:t>−</m:t>
            </m:r>
            <m:r>
              <m:t>4</m:t>
            </m:r>
          </m:sup>
        </m:sSup>
      </m:oMath>
      <w:r>
        <w:t xml:space="preserve"> </w:t>
      </w:r>
      <w:r>
        <w:t xml:space="preserve">(Eq. (6)).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7, Figure 14a).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the sign given by Eq. (7), and the lattice gradient has errors of at most 0.33% with the exact sign in every component (Table 3, Table ST17). Both errors grow as the design approaches the bounds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15a).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6.3).</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14b).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15a). Checked with exact condensation, the NICE compliance lies 0.011% below the exact one at the uniform start and 0.030% below it at the final design, and the lattice gradient has errors of 0.029% and 0.30% with the exact sign in all 64 components (Table 3, Table ST21). Two uniform designs of the same volume serve as references: in the first the ten loaded-face parameters are kept at 0.40 and the other 64 take the common value that meets</w:t>
      </w:r>
      <w:r>
        <w:t xml:space="preserve"> </w:t>
      </w:r>
      <m:oMath>
        <m:sSup>
          <m:e>
            <m:r>
              <m:t>V</m:t>
            </m:r>
          </m:e>
          <m:sup>
            <m:r>
              <m:rPr>
                <m:sty m:val="p"/>
              </m:rPr>
              <m:t>*</m:t>
            </m:r>
          </m:sup>
        </m:sSup>
      </m:oMath>
      <w:r>
        <w:t xml:space="preserve">; in the second all 74 parameters are uniform. Against the first, the NICE design lowers the exact compliance by 32.1%, from 115.36 to 78.29, and against the second by 30.9%; the homogenisation design lowers it by 30.5% against the first. NICE reproduces both uniform designs to within 0.019% in compliance and 0.064% in gradient (Table ST21).</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with 12 instead of 6 elements per cell and axis it underestimates it by 25.8%, and a hundredfold penalty changes the macroscale compliance by less than 0.001% (Supplementary Note S6.3). The underestimate is not an artefact of the support: the fine-scale model clamps the whole cut band, a support at least as stiff as one acting on the cut surface alone; this lowers the exact compliance and so narrows the difference rather than widening it. The macroscale compliance lies 27–33% below the NICE compliance along its own optimisation path; up to iteration 3 the two runs analyse the same designs (Figure 14b).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15b). The homogenised model thus underestimates the compliance of the cut layer by about a quarter on either macroscale mesh and leads to a design that is less stiff on the cut geometry.</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7,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15c, Table ST20). The largest has 32.7 million DOFs in the cut finite-element model and 1.62 million free retained DOFs; each plate was run over its first four design iterations, with the learned substructures beyond 4 GiB of GPU memory streamed from CPU memory. The time of a design iteration grew in proportion to the number of cells, at 10.1 to 10.9 s per cell (19.4 min for 110 cells),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 Exact checks of the 24- and 51-cell plates at their first design iteration give the compliance and gradient errors of Table 3, with the exact sign in every gradient component.</w:t>
      </w:r>
    </w:p>
    <w:p>
      <w:pPr>
        <w:pStyle w:val="BodyText"/>
      </w:pPr>
      <w:r>
        <w:rPr>
          <w:b/>
          <w:bCs/>
        </w:rPr>
        <w:t xml:space="preserve">Table 7.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6,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4" title="" id="120" name="Picture"/>
            <a:graphic>
              <a:graphicData uri="http://schemas.openxmlformats.org/drawingml/2006/picture">
                <pic:pic>
                  <pic:nvPicPr>
                    <pic:cNvPr descr="figures/F13_optimisation.png" id="121" name="Picture"/>
                    <pic:cNvPicPr>
                      <a:picLocks noChangeArrowheads="1" noChangeAspect="1"/>
                    </pic:cNvPicPr>
                  </pic:nvPicPr>
                  <pic:blipFill>
                    <a:blip r:embed="rId119"/>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5" title="" id="123" name="Picture"/>
            <a:graphic>
              <a:graphicData uri="http://schemas.openxmlformats.org/drawingml/2006/picture">
                <pic:pic>
                  <pic:nvPicPr>
                    <pic:cNvPr descr="figures/F14_designs_scale.png" id="124" name="Picture"/>
                    <pic:cNvPicPr>
                      <a:picLocks noChangeArrowheads="1" noChangeAspect="1"/>
                    </pic:cNvPicPr>
                  </pic:nvPicPr>
                  <pic:blipFill>
                    <a:blip r:embed="rId122"/>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15.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carries directly the support for which the homogenised model needs a separate constraint on the plane of the cut (Section 5.10); where the cut surfaces carry nothing, it enlarges the assembled system, whose solve takes most of the time of a NICE analysis (Section 6.3, Table ST12d).</w:t>
      </w:r>
    </w:p>
    <w:p>
      <w:pPr>
        <w:pStyle w:val="BodyText"/>
      </w:pPr>
      <w:r>
        <w:t xml:space="preserve">The representation is what makes the complete retained space learnable (Section 4.2). Weights that act on stencil slots, channels and grid levels let one network of about</w:t>
      </w:r>
      <w:r>
        <w:t xml:space="preserve"> </w:t>
      </w:r>
      <m:oMath>
        <m:r>
          <m:t>6</m:t>
        </m:r>
        <m:r>
          <m:rPr>
            <m:sty m:val="p"/>
          </m:rPr>
          <m:t>×</m:t>
        </m:r>
        <m:sSup>
          <m:e>
            <m:r>
              <m:t>10</m:t>
            </m:r>
          </m:e>
          <m:sup>
            <m:r>
              <m:t>5</m:t>
            </m:r>
          </m:sup>
        </m:sSup>
      </m:oMath>
      <w:r>
        <w:t xml:space="preserve"> </w:t>
      </w:r>
      <w:r>
        <w:t xml:space="preserve">parameters serve every retained set, and the same network, unchanged, served the 80 validation geometries, the sixteen cells of the lattices and the cut cells of the plate clamped through its cut band (Sections 5.3, 5.8 and 5.10). Exact linearity in the retained displacement lets the relations of Section 3 apply to the network itself (Section 4.2). Because the correction is linear and fixed for each geometry, the network can be trained through it (Section 4.5). And since the operator is applied without being formed, a cell stores what its geometry determines rather than a dense matrix on its retained DOFs (Section 4.6).</w:t>
      </w:r>
    </w:p>
    <w:p>
      <w:pPr>
        <w:pStyle w:val="BodyText"/>
      </w:pPr>
      <w:r>
        <w:t xml:space="preserve">Within the interior, prediction and correction are complementary, and the variational structure makes the role of each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4.4).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comparable budget (Table 4). Conversely, the correction relieves the network of what it represents poorly: a base-network error of 13.5% on a moderately cut cell (M1) becomes 0.19% without any change of network parameters, and 'Base network, corrected' already stays below the 3% lines in the two-cell configurations. Training through the correction adds less than the correction itself, a further factor of 1.31 (Section 5.3).</w:t>
      </w:r>
    </w:p>
    <w:p>
      <w:pPr>
        <w:pStyle w:val="Heading3"/>
      </w:pPr>
      <w:r>
        <w:t xml:space="preserve">6.2. Computational value</w:t>
      </w:r>
    </w:p>
    <w:p>
      <w:pPr>
        <w:pStyle w:val="FirstParagraph"/>
      </w:pPr>
      <w:r>
        <w:t xml:space="preserve">A correction budget adequate for compliance can leave local sensitivity inaccurate, so the relevant cost is the total work needed to reach the prescribed accuracy of both. On the lattices of Section 5.9, NICE is faster than all three exact routes and needs less memory than the two direct ones. The advantage comes from where the interior is resolved: the exact routes, direct or iterative, solve the fine-scale problem of every cell or of the whole lattice, whereas NICE resolves each interior by a network evaluation and a fixed number of correction steps and solves the assembled problem only on the retained DOFs (Section 5.9). Unlike inexact BDDC and FETI-DP methods</w:t>
      </w:r>
      <w:r>
        <w:t xml:space="preserve"> </w:t>
      </w:r>
      <w:hyperlink r:id="rId51">
        <w:r>
          <w:rPr>
            <w:rStyle w:val="Hyperlink"/>
          </w:rPr>
          <w:t xml:space="preserve">Li &amp; Widlund (2007)</w:t>
        </w:r>
      </w:hyperlink>
      <w:r>
        <w:t xml:space="preserve">,</w:t>
      </w:r>
      <w:r>
        <w:t xml:space="preserve"> </w:t>
      </w:r>
      <w:hyperlink r:id="rId52">
        <w:r>
          <w:rPr>
            <w:rStyle w:val="Hyperlink"/>
          </w:rPr>
          <w:t xml:space="preserve">Klawonn &amp; Rheinbach (2007)</w:t>
        </w:r>
      </w:hyperlink>
      <w:r>
        <w:t xml:space="preserve">,</w:t>
      </w:r>
      <w:r>
        <w:t xml:space="preserve"> </w:t>
      </w:r>
      <w:hyperlink r:id="rId45">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A smaller smoothing budget would lower the cost of an application,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need further training. On gyroid sheet cells, the network trained on Schwarz-P cells gives mean energy errors under loads and supports 56 to 234 times those on their P twins; 8,000 further training steps with eighteen gyroid cells lower them six- to tenfold, which still leaves 6 to 23 times the P level (Supplementary Note S7). Other families, like cells with several cuts or curved boundaries, other resolutions and other materials, therefore require new training data and network parameters; training on several families and testing on one held out would show how far the network itself transfers, and is left to future work. The network is not equivariant under the cube symmetries, as symmetry-decoupled shape functions are for voxel substructures</w:t>
      </w:r>
      <w:r>
        <w:t xml:space="preserve"> </w:t>
      </w:r>
      <w:hyperlink r:id="rId38">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and underestimates the compliance (Eq. (7)); its compliance is not a conservative estimate.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five of the cut 24-cell plate and the first designs of the 24- and 51-cell plates of the scale study (Section 5.10); all training comparisons use one seed, and the effect of the sensitivity term in Eq. (18) was not isolated. The reported sensitivities are field-based estimates that omit the design dependence of the extension in Eq. (10). A central-difference check of</w:t>
      </w:r>
      <w:r>
        <w:t xml:space="preserve"> </w:t>
      </w:r>
      <m:oMath>
        <m:sSub>
          <m:e>
            <m:acc>
              <m:accPr>
                <m:chr m:val="̂"/>
              </m:accPr>
              <m:e>
                <m:r>
                  <m:t>C</m:t>
                </m:r>
              </m:e>
            </m:acc>
          </m:e>
          <m:sub>
            <m:r>
              <m:rPr>
                <m:sty m:val="p"/>
              </m:rPr>
              <m:t>,</m:t>
            </m:r>
            <m:r>
              <m:t>c</m:t>
            </m:r>
          </m:sub>
        </m:sSub>
      </m:oMath>
      <w:r>
        <w:t xml:space="preserve"> </w:t>
      </w:r>
      <w:r>
        <w:t xml:space="preserve">cannot decide which gradient is the more accurate: at least one of the discrete choices listed in Appendix B.1 switches in 21 to 48 of the 49 rebuilds of each lattice cell, and the difference quotient grows as the step decreases (Supplementary Note S4.3, Table ST14). The field-based estimate needs no difference quotient and gives the shared-variable gradient of the two eight-cell lattices and the two four-cell layers to 0.02–0.13% under the face loads and 0.22–0.35% under the random loads (Table ST14); the optimisations of Section 5.10 therefore take steps without a line search, which would compare the surrogate objective with a gradient that is not its derivative. Where the cut surfaces carry no loads or supports, the retained cut band enlarges the assembled system, by 37 to 50% of the free retained DOFs in the lattices of Sections 5.8 and 5.9; a reduced representation of the cut band where it carries no loads or supports is a natural next step.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stays within a fixed budget; a further level of the multilevel correction or an iterative coarse solve is the natural way to remove this limit.</w:t>
      </w:r>
    </w:p>
    <w:p>
      <w:pPr>
        <w:pStyle w:val="BodyText"/>
      </w:pPr>
      <w:r>
        <w:t xml:space="preserve">Fine-scale iterative solvers of the whole lattice were compared on the two eight-cell lattices only, with algebraic multigrid</w:t>
      </w:r>
      <w:r>
        <w:t xml:space="preserve"> </w:t>
      </w:r>
      <w:hyperlink r:id="rId32">
        <w:r>
          <w:rPr>
            <w:rStyle w:val="Hyperlink"/>
          </w:rPr>
          <w:t xml:space="preserve">Vaněk et al. (1996)</w:t>
        </w:r>
      </w:hyperlink>
      <w:r>
        <w:t xml:space="preserve">,</w:t>
      </w:r>
      <w:r>
        <w:t xml:space="preserve"> </w:t>
      </w:r>
      <w:hyperlink r:id="rId125">
        <w:r>
          <w:rPr>
            <w:rStyle w:val="Hyperlink"/>
          </w:rPr>
          <w:t xml:space="preserve">Henson &amp; Yang (2002)</w:t>
        </w:r>
      </w:hyperlink>
      <w:r>
        <w:t xml:space="preserve">,</w:t>
      </w:r>
      <w:r>
        <w:t xml:space="preserve"> </w:t>
      </w:r>
      <w:hyperlink r:id="rId113">
        <w:r>
          <w:rPr>
            <w:rStyle w:val="Hyperlink"/>
          </w:rPr>
          <w:t xml:space="preserve">Falgout &amp; Yang (2002)</w:t>
        </w:r>
      </w:hyperlink>
      <w:r>
        <w:t xml:space="preserve"> </w:t>
      </w:r>
      <w:r>
        <w:t xml:space="preserve">in standard settings and with the local factorisation cost of BDDC with exact local solvers</w:t>
      </w:r>
      <w:r>
        <w:t xml:space="preserve"> </w:t>
      </w:r>
      <w:hyperlink r:id="rId114">
        <w:r>
          <w:rPr>
            <w:rStyle w:val="Hyperlink"/>
          </w:rPr>
          <w:t xml:space="preserve">Dohrmann (2003)</w:t>
        </w:r>
      </w:hyperlink>
      <w:r>
        <w:t xml:space="preserve"> </w:t>
      </w:r>
      <w:r>
        <w:t xml:space="preserve">(Section 5.9); FETI-DP</w:t>
      </w:r>
      <w:r>
        <w:t xml:space="preserve"> </w:t>
      </w:r>
      <w:hyperlink r:id="rId126">
        <w:r>
          <w:rPr>
            <w:rStyle w:val="Hyperlink"/>
          </w:rPr>
          <w:t xml:space="preserve">Farhat et al. (2001)</w:t>
        </w:r>
      </w:hyperlink>
      <w:r>
        <w:t xml:space="preserve"> </w:t>
      </w:r>
      <w:r>
        <w:t xml:space="preserve">and tuned multigrid were not compared. An optimiser must keep designs inside the parameter domain above, as the bounds and limits of Section 5.10 do; the optimisations there are local.</w:t>
      </w:r>
    </w:p>
    <w:p>
      <w:pPr>
        <w:pStyle w:val="Heading2"/>
      </w:pPr>
      <w:r>
        <w:t xml:space="preserve">7. Conclusions</w:t>
      </w:r>
    </w:p>
    <w:p>
      <w:pPr>
        <w:pStyle w:val="FirstParagraph"/>
      </w:pPr>
      <w:r>
        <w:t xml:space="preserve">A learned component model can carry the structure of static condensation on its complete, geometry-dependent retained space when the tasks are divided: learning supplies the trial field, the variational form the structure and a fixed correction the improvability, so that the network has to be accurate but not structure-preserving. Evaluated in the energy form with the transpose of the complete extension, the corrected extension gives a condensed operator that is symmetric and positive semidefinite with the rigid-body kernel and bounded below by the exact Schur complement with an error quadratic in the interior error (Proposition 1). A correction that satisfies Proposition 4 cannot increase this error, and in every example of Table ST07 a larger correction budget reduced it further. The three parts are complementary: under the same correction a harmonic start leaves 5.4 to 265 times the error of NICE, and the correction alone, applied to the base network without retraining, lowers its mean energy error under consistent tractions on the 80 validation geometries from 6.89% to 0.0965%.</w:t>
      </w:r>
    </w:p>
    <w:p>
      <w:pPr>
        <w:pStyle w:val="BodyText"/>
      </w:pPr>
      <w:r>
        <w:t xml:space="preserve">The error relations fix what such a model must be checked against. The interior error enters the assembled compliance weighted by the energy share of each cell (Proposition 2), but the thickness sensitivity through a term linear in that error (Proposition 3), and in cut cells the base network's displacement errors of about one percent lie in stiff directions and become energy errors of 1.8 to 35% (Section 5.4). This holds for any approximate extension, so a condensed surrogate used in design has to be checked on its sensitivities as well as on its compliance; NICE is trained and checked on both.</w:t>
      </w:r>
    </w:p>
    <w:p>
      <w:pPr>
        <w:pStyle w:val="BodyText"/>
      </w:pPr>
      <w:r>
        <w:t xml:space="preserve">For cut thin-walled Schwarz-P cells with tens of thousands of retained degrees of freedom, NICE keeps the mean energy error at 0.074% on 80 validation geometries and the compliance and sensitivity errors at most 0.27% and 1.49% in every two-cell configuration. An eight-cell lattice analysis with sensitivities takes 79–105 s on one GPU, against 868–1,042 s for the whole-lattice direct solution and 637–752 s for whole-lattice conjugate gradients with algebraic multigrid on 16 CPU threads or processes. Thickness optimisation reproduces the exact-condensation design of an eight-cell lattice to 0.0051 in every corner parameter. On a 24-cell plate clamped through its cut band, where a homogenised model underestimates the compliance by 27%, compliance and gradient agree with exact condensation to 0.03% and 0.3%, and the optimised design has a 32% lower compliance than the uniform design of the same volume. On the plates of the scale study, exact checks up to 51 cells give compliance and gradient errors below 0.014% and 0.05%, and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provides a component model that keeps the structure of static condensation without its interior factorisation. Folding the coarse-grid correction into the network, as a coarse level that solves the Galerkin problem, would leave the smoothing as the only fixed stage. Because the structure comes from the energy form and not from the network, the error relations and the correction carry over to any component family with a symmetric positive semidefinite stiffness and a positive definite interior block: a new family needs new training, not a new theory.</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a conical Gauss–Jacobi product rule of four points per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and the integrand that the templates expand in monomials is</w:t>
      </w:r>
      <w:r>
        <w:t xml:space="preserve"> </w:t>
      </w:r>
      <m:oMath>
        <m:sSup>
          <m:e>
            <m:r>
              <m:t>B</m:t>
            </m:r>
          </m:e>
          <m:sup>
            <m:r>
              <m:t>T</m:t>
            </m:r>
          </m:sup>
        </m:sSup>
        <m:r>
          <m:rPr>
            <m:scr m:val="sans-serif"/>
            <m:sty m:val="p"/>
          </m:rPr>
          <m:t>C</m:t>
        </m:r>
        <m:r>
          <m:t>B</m:t>
        </m:r>
      </m:oMath>
      <w:r>
        <w:t xml:space="preserve">, with</w:t>
      </w:r>
      <w:r>
        <w:t xml:space="preserve"> </w:t>
      </w:r>
      <m:oMath>
        <m:r>
          <m:t>B</m:t>
        </m:r>
      </m:oMath>
      <w:r>
        <w:t xml:space="preserve"> </w:t>
      </w:r>
      <w:r>
        <w:t xml:space="preserve">the strain–displacement matrix and</w:t>
      </w:r>
      <w:r>
        <w:t xml:space="preserve"> </w:t>
      </w:r>
      <m:oMath>
        <m:r>
          <m:rPr>
            <m:scr m:val="sans-serif"/>
            <m:sty m:val="p"/>
          </m:rPr>
          <m:t>C</m:t>
        </m:r>
      </m:oMath>
      <w:r>
        <w:t xml:space="preserve"> </w:t>
      </w:r>
      <w:r>
        <w:t xml:space="preserve">the elasticity tensor, so each numerically integrated</w:t>
      </w:r>
      <w:r>
        <w:t xml:space="preserve"> </w:t>
      </w:r>
      <m:oMath>
        <m:sSub>
          <m:e>
            <m:r>
              <m:t>K</m:t>
            </m:r>
          </m:e>
          <m:sub>
            <m:r>
              <m:t>e</m:t>
            </m:r>
          </m:sub>
        </m:sSub>
      </m:oMath>
      <w:r>
        <w:t xml:space="preserve"> </w:t>
      </w:r>
      <w:r>
        <w:t xml:space="preserve">is a positive combination of positive semidefinite matrices; hence</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extension therefore cannot add zero-energy modes to the condensed operator; a mode beyond the retained rigid-body modes could only be one of the discrete model itself, which Appendix A.1 excludes under its connectivity condition and the assumption that the numerically integrated element matrices keep the rigid-body kernel. For the lattices of Table 6,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(14),</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(15))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 (proof of Proposition 2)</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(16).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4.4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4">
        <w:r>
          <w:rPr>
            <w:rStyle w:val="Hyperlink"/>
          </w:rPr>
          <w:t xml:space="preserve">Xu &amp; Zikatanov (2002)</w:t>
        </w:r>
      </w:hyperlink>
      <w:r>
        <w:t xml:space="preserve">. This is the standard energy-projection mechanism of subspace correction</w:t>
      </w:r>
      <w:r>
        <w:t xml:space="preserve"> </w:t>
      </w:r>
      <w:hyperlink r:id="rId31">
        <w:r>
          <w:rPr>
            <w:rStyle w:val="Hyperlink"/>
          </w:rPr>
          <w:t xml:space="preserve">Xu (1992)</w:t>
        </w:r>
      </w:hyperlink>
      <w:r>
        <w:t xml:space="preserve">.</w:t>
      </w:r>
    </w:p>
    <w:p>
      <w:pPr>
        <w:pStyle w:val="Heading3"/>
      </w:pPr>
      <w:r>
        <w:t xml:space="preserve">D.1. Corrections, orderings and approximate coarse inverses (proof of Proposition 4)</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towards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(14)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6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4.2 (Figure 3a), carry no displacement-direction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(13)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(14).</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 (proof of Proposition 3)</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a common retained vector</w:t>
      </w:r>
      <w:r>
        <w:t xml:space="preserve"> </w:t>
      </w:r>
      <m:oMath>
        <m:r>
          <m:t>q</m:t>
        </m:r>
      </m:oMath>
      <w:r>
        <w:t xml:space="preserve">, Eqs. (9)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(10)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contains in addition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Aage, N., Andreassen, E., Lazarov, B. S., Sigmund, O. (2017).</w:t>
      </w:r>
      <w:r>
        <w:t xml:space="preserve"> </w:t>
      </w:r>
      <w:hyperlink r:id="rId12">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1">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7">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5">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6">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12">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2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71">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3">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6">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64">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9">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8">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5">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3">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4">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0">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5">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6">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2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28">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84">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3">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2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70">
        <w:r>
          <w:rPr>
            <w:rStyle w:val="Hyperlink"/>
          </w:rPr>
          <w:t xml:space="preserve">doi:10.1002/nme.339</w:t>
        </w:r>
      </w:hyperlink>
      <w:r>
        <w:t xml:space="preserve">.</w:t>
      </w:r>
    </w:p>
    <w:p>
      <w:pPr>
        <w:pStyle w:val="BodyText"/>
      </w:pPr>
      <w:r>
        <w:t xml:space="preserve">Giles, M. B., Pierce, N. A. (2000).</w:t>
      </w:r>
      <w:r>
        <w:t xml:space="preserve"> </w:t>
      </w:r>
      <w:hyperlink r:id="rId74">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7">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3">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53">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7">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7">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3">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82">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72">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63">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27">
        <w:r>
          <w:rPr>
            <w:rStyle w:val="Hyperlink"/>
          </w:rPr>
          <w:t xml:space="preserve">8OxL034uEr</w:t>
        </w:r>
      </w:hyperlink>
      <w:r>
        <w:t xml:space="preserve">.</w:t>
      </w:r>
    </w:p>
    <w:p>
      <w:pPr>
        <w:pStyle w:val="BodyText"/>
      </w:pPr>
      <w:r>
        <w:t xml:space="preserve">Heinlein, A., Klawonn, A., Lanser, M., Weber, J. (2021).</w:t>
      </w:r>
      <w:r>
        <w:t xml:space="preserve"> </w:t>
      </w:r>
      <w:hyperlink r:id="rId55">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25">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30">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5">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6">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6">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24">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4">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8">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9">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52">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7">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51">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60">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61">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54">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2">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48">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62">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2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15">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9">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3">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9">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32">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11">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8">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1">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4">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41">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6">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9">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40">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85" Target="media/rId85.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78" Target="media/rId78.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16" Target="media/rId116.png" /><Relationship Type="http://schemas.openxmlformats.org/officeDocument/2006/relationships/hyperlink" Id="rId37" Target="https://arxiv.org/abs/2607.22019v1" TargetMode="External" /><Relationship Type="http://schemas.openxmlformats.org/officeDocument/2006/relationships/hyperlink" Id="rId49" Target="https://arxiv.org/abs/2608.02036v1" TargetMode="External" /><Relationship Type="http://schemas.openxmlformats.org/officeDocument/2006/relationships/hyperlink" Id="rId84" Target="https://doi.org/10.1002/nla.437" TargetMode="External" /><Relationship Type="http://schemas.openxmlformats.org/officeDocument/2006/relationships/hyperlink" Id="rId50"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2" Target="https://doi.org/10.1002/nme.1758" TargetMode="External" /><Relationship Type="http://schemas.openxmlformats.org/officeDocument/2006/relationships/hyperlink" Id="rId25" Target="https://doi.org/10.1002/nme.2536" TargetMode="External" /><Relationship Type="http://schemas.openxmlformats.org/officeDocument/2006/relationships/hyperlink" Id="rId70"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7"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26" Target="https://doi.org/10.1002/nme.76" TargetMode="External" /><Relationship Type="http://schemas.openxmlformats.org/officeDocument/2006/relationships/hyperlink" Id="rId30"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82" Target="https://doi.org/10.1007/978-3-662-02427-0" TargetMode="External" /><Relationship Type="http://schemas.openxmlformats.org/officeDocument/2006/relationships/hyperlink" Id="rId73" Target="https://doi.org/10.1007/978-3-662-05086-6" TargetMode="External" /><Relationship Type="http://schemas.openxmlformats.org/officeDocument/2006/relationships/hyperlink" Id="rId72" Target="https://doi.org/10.1007/978-94-011-2550-5" TargetMode="External" /><Relationship Type="http://schemas.openxmlformats.org/officeDocument/2006/relationships/hyperlink" Id="rId33" Target="https://doi.org/10.1007/BF01386013" TargetMode="External" /><Relationship Type="http://schemas.openxmlformats.org/officeDocument/2006/relationships/hyperlink" Id="rId32" Target="https://doi.org/10.1007/BF02238511" TargetMode="External" /><Relationship Type="http://schemas.openxmlformats.org/officeDocument/2006/relationships/hyperlink" Id="rId29" Target="https://doi.org/10.1007/b137868" TargetMode="External" /><Relationship Type="http://schemas.openxmlformats.org/officeDocument/2006/relationships/hyperlink" Id="rId26"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8"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5"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51" Target="https://doi.org/10.1016/j.cma.2006.03.011" TargetMode="External" /><Relationship Type="http://schemas.openxmlformats.org/officeDocument/2006/relationships/hyperlink" Id="rId67"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5"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2" Target="https://doi.org/10.1016/j.cma.2021.113813" TargetMode="External" /><Relationship Type="http://schemas.openxmlformats.org/officeDocument/2006/relationships/hyperlink" Id="rId43" Target="https://doi.org/10.1016/j.cma.2023.115997" TargetMode="External" /><Relationship Type="http://schemas.openxmlformats.org/officeDocument/2006/relationships/hyperlink" Id="rId17" Target="https://doi.org/10.1016/j.cma.2026.118955" TargetMode="External" /><Relationship Type="http://schemas.openxmlformats.org/officeDocument/2006/relationships/hyperlink" Id="rId46" Target="https://doi.org/10.1016/j.cma.2026.119304" TargetMode="External" /><Relationship Type="http://schemas.openxmlformats.org/officeDocument/2006/relationships/hyperlink" Id="rId41" Target="https://doi.org/10.1016/j.compstruct.2025.119330" TargetMode="External" /><Relationship Type="http://schemas.openxmlformats.org/officeDocument/2006/relationships/hyperlink" Id="rId38"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5" Target="https://doi.org/10.1016/j.eml.2022.101887" TargetMode="External" /><Relationship Type="http://schemas.openxmlformats.org/officeDocument/2006/relationships/hyperlink" Id="rId16" Target="https://doi.org/10.1016/j.eml.2023.102041" TargetMode="External" /><Relationship Type="http://schemas.openxmlformats.org/officeDocument/2006/relationships/hyperlink" Id="rId39" Target="https://doi.org/10.1016/j.eml.2024.102237" TargetMode="External" /><Relationship Type="http://schemas.openxmlformats.org/officeDocument/2006/relationships/hyperlink" Id="rId40" Target="https://doi.org/10.1016/j.ijmecsci.2026.112007" TargetMode="External" /><Relationship Type="http://schemas.openxmlformats.org/officeDocument/2006/relationships/hyperlink" Id="rId66" Target="https://doi.org/10.1016/j.jcp.2013.04.045" TargetMode="External" /><Relationship Type="http://schemas.openxmlformats.org/officeDocument/2006/relationships/hyperlink" Id="rId36"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81" Target="https://doi.org/10.1016/s0021-9991(03)00194-3" TargetMode="External" /><Relationship Type="http://schemas.openxmlformats.org/officeDocument/2006/relationships/hyperlink" Id="rId71" Target="https://doi.org/10.1017/S0962492901000010" TargetMode="External" /><Relationship Type="http://schemas.openxmlformats.org/officeDocument/2006/relationships/hyperlink" Id="rId7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6" Target="https://doi.org/10.1038/s42256-024-00910-x" TargetMode="External" /><Relationship Type="http://schemas.openxmlformats.org/officeDocument/2006/relationships/hyperlink" Id="rId24" Target="https://doi.org/10.1051/m2an/2012022" TargetMode="External" /><Relationship Type="http://schemas.openxmlformats.org/officeDocument/2006/relationships/hyperlink" Id="rId34" Target="https://doi.org/10.1090/S0894-0347-02-00398-3" TargetMode="External" /><Relationship Type="http://schemas.openxmlformats.org/officeDocument/2006/relationships/hyperlink" Id="rId31"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5" Target="https://doi.org/10.1137/20M1344913" TargetMode="External" /><Relationship Type="http://schemas.openxmlformats.org/officeDocument/2006/relationships/hyperlink" Id="rId57" Target="https://doi.org/10.1137/24m162861x" TargetMode="External" /><Relationship Type="http://schemas.openxmlformats.org/officeDocument/2006/relationships/hyperlink" Id="rId28"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8" Target="https://doi.org/10.1145/3811333" TargetMode="External" /><Relationship Type="http://schemas.openxmlformats.org/officeDocument/2006/relationships/hyperlink" Id="rId13" Target="https://doi.org/10.2514/3.2874" TargetMode="External" /><Relationship Type="http://schemas.openxmlformats.org/officeDocument/2006/relationships/hyperlink" Id="rId14"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27"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4" Target="https://proceedings.mlr.press/v119/luz20a.html" TargetMode="External" /><Relationship Type="http://schemas.openxmlformats.org/officeDocument/2006/relationships/hyperlink" Id="rId53" Target="https://proceedings.mlr.press/v97/greenfeld19a.html" TargetMode="External" /><Relationship Type="http://schemas.openxmlformats.org/officeDocument/2006/relationships/hyperlink" Id="rId59" Target="https://proceedings.neurips.cc/paper/2020/hash/43e4e6a6f341e00671e123714de019a8-Abstract.html" TargetMode="External" /><Relationship Type="http://schemas.openxmlformats.org/officeDocument/2006/relationships/hyperlink" Id="rId83" Target="https://shop.elsevier.com/books/multigrid/trottenberg/978-0-12-701070-0" TargetMode="External" /><Relationship Type="http://schemas.openxmlformats.org/officeDocument/2006/relationships/hyperlink" Id="rId60"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abs/2607.22019v1" TargetMode="External" /><Relationship Type="http://schemas.openxmlformats.org/officeDocument/2006/relationships/hyperlink" Id="rId49" Target="https://arxiv.org/abs/2608.02036v1" TargetMode="External" /><Relationship Type="http://schemas.openxmlformats.org/officeDocument/2006/relationships/hyperlink" Id="rId84" Target="https://doi.org/10.1002/nla.437" TargetMode="External" /><Relationship Type="http://schemas.openxmlformats.org/officeDocument/2006/relationships/hyperlink" Id="rId50" Target="https://doi.org/10.1002/nla.514" TargetMode="External" /><Relationship Type="http://schemas.openxmlformats.org/officeDocument/2006/relationships/hyperlink" Id="rId115" Target="https://doi.org/10.1002/nme.1620240207" TargetMode="External" /><Relationship Type="http://schemas.openxmlformats.org/officeDocument/2006/relationships/hyperlink" Id="rId52" Target="https://doi.org/10.1002/nme.1758" TargetMode="External" /><Relationship Type="http://schemas.openxmlformats.org/officeDocument/2006/relationships/hyperlink" Id="rId25" Target="https://doi.org/10.1002/nme.2536" TargetMode="External" /><Relationship Type="http://schemas.openxmlformats.org/officeDocument/2006/relationships/hyperlink" Id="rId70" Target="https://doi.org/10.1002/nme.339" TargetMode="External" /><Relationship Type="http://schemas.openxmlformats.org/officeDocument/2006/relationships/hyperlink" Id="rId21" Target="https://doi.org/10.1002/nme.4543" TargetMode="External" /><Relationship Type="http://schemas.openxmlformats.org/officeDocument/2006/relationships/hyperlink" Id="rId27" Target="https://doi.org/10.1002/nme.4797" TargetMode="External" /><Relationship Type="http://schemas.openxmlformats.org/officeDocument/2006/relationships/hyperlink" Id="rId68"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26" Target="https://doi.org/10.1002/nme.76" TargetMode="External" /><Relationship Type="http://schemas.openxmlformats.org/officeDocument/2006/relationships/hyperlink" Id="rId30" Target="https://doi.org/10.1006/jcph.1997.5682" TargetMode="External" /><Relationship Type="http://schemas.openxmlformats.org/officeDocument/2006/relationships/hyperlink" Id="rId113" Target="https://doi.org/10.1007/3-540-47789-6_66" TargetMode="External" /><Relationship Type="http://schemas.openxmlformats.org/officeDocument/2006/relationships/hyperlink" Id="rId82" Target="https://doi.org/10.1007/978-3-662-02427-0" TargetMode="External" /><Relationship Type="http://schemas.openxmlformats.org/officeDocument/2006/relationships/hyperlink" Id="rId73" Target="https://doi.org/10.1007/978-3-662-05086-6" TargetMode="External" /><Relationship Type="http://schemas.openxmlformats.org/officeDocument/2006/relationships/hyperlink" Id="rId72" Target="https://doi.org/10.1007/978-94-011-2550-5" TargetMode="External" /><Relationship Type="http://schemas.openxmlformats.org/officeDocument/2006/relationships/hyperlink" Id="rId33" Target="https://doi.org/10.1007/BF01386013" TargetMode="External" /><Relationship Type="http://schemas.openxmlformats.org/officeDocument/2006/relationships/hyperlink" Id="rId32" Target="https://doi.org/10.1007/BF02238511" TargetMode="External" /><Relationship Type="http://schemas.openxmlformats.org/officeDocument/2006/relationships/hyperlink" Id="rId29" Target="https://doi.org/10.1007/b137868" TargetMode="External" /><Relationship Type="http://schemas.openxmlformats.org/officeDocument/2006/relationships/hyperlink" Id="rId26" Target="https://doi.org/10.1007/s00158-009-0463-4" TargetMode="External" /><Relationship Type="http://schemas.openxmlformats.org/officeDocument/2006/relationships/hyperlink" Id="rId11" Target="https://doi.org/10.1007/s00158-021-02881-8" TargetMode="External" /><Relationship Type="http://schemas.openxmlformats.org/officeDocument/2006/relationships/hyperlink" Id="rId48" Target="https://doi.org/10.1007/s00466-024-02481-5" TargetMode="External" /><Relationship Type="http://schemas.openxmlformats.org/officeDocument/2006/relationships/hyperlink" Id="rId64" Target="https://doi.org/10.1007/s10208-022-09556-w" TargetMode="External" /><Relationship Type="http://schemas.openxmlformats.org/officeDocument/2006/relationships/hyperlink" Id="rId65" Target="https://doi.org/10.1007/s40304-018-0127-z" TargetMode="External" /><Relationship Type="http://schemas.openxmlformats.org/officeDocument/2006/relationships/hyperlink" Id="rId125" Target="https://doi.org/10.1016/S0168-9274(01)00115-5" TargetMode="External" /><Relationship Type="http://schemas.openxmlformats.org/officeDocument/2006/relationships/hyperlink" Id="rId10"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51" Target="https://doi.org/10.1016/j.cma.2006.03.011" TargetMode="External" /><Relationship Type="http://schemas.openxmlformats.org/officeDocument/2006/relationships/hyperlink" Id="rId67" Target="https://doi.org/10.1016/j.cma.2015.02.028" TargetMode="External" /><Relationship Type="http://schemas.openxmlformats.org/officeDocument/2006/relationships/hyperlink" Id="rId23" Target="https://doi.org/10.1016/j.cma.2017.09.014" TargetMode="External" /><Relationship Type="http://schemas.openxmlformats.org/officeDocument/2006/relationships/hyperlink" Id="rId15"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2" Target="https://doi.org/10.1016/j.cma.2021.113813" TargetMode="External" /><Relationship Type="http://schemas.openxmlformats.org/officeDocument/2006/relationships/hyperlink" Id="rId43" Target="https://doi.org/10.1016/j.cma.2023.115997" TargetMode="External" /><Relationship Type="http://schemas.openxmlformats.org/officeDocument/2006/relationships/hyperlink" Id="rId17" Target="https://doi.org/10.1016/j.cma.2026.118955" TargetMode="External" /><Relationship Type="http://schemas.openxmlformats.org/officeDocument/2006/relationships/hyperlink" Id="rId46" Target="https://doi.org/10.1016/j.cma.2026.119304" TargetMode="External" /><Relationship Type="http://schemas.openxmlformats.org/officeDocument/2006/relationships/hyperlink" Id="rId41" Target="https://doi.org/10.1016/j.compstruct.2025.119330" TargetMode="External" /><Relationship Type="http://schemas.openxmlformats.org/officeDocument/2006/relationships/hyperlink" Id="rId38" Target="https://doi.org/10.1016/j.compstruct.2026.120865" TargetMode="External" /><Relationship Type="http://schemas.openxmlformats.org/officeDocument/2006/relationships/hyperlink" Id="rId69" Target="https://doi.org/10.1016/j.crma.2010.10.006" TargetMode="External" /><Relationship Type="http://schemas.openxmlformats.org/officeDocument/2006/relationships/hyperlink" Id="rId35" Target="https://doi.org/10.1016/j.eml.2022.101887" TargetMode="External" /><Relationship Type="http://schemas.openxmlformats.org/officeDocument/2006/relationships/hyperlink" Id="rId16" Target="https://doi.org/10.1016/j.eml.2023.102041" TargetMode="External" /><Relationship Type="http://schemas.openxmlformats.org/officeDocument/2006/relationships/hyperlink" Id="rId39" Target="https://doi.org/10.1016/j.eml.2024.102237" TargetMode="External" /><Relationship Type="http://schemas.openxmlformats.org/officeDocument/2006/relationships/hyperlink" Id="rId40" Target="https://doi.org/10.1016/j.ijmecsci.2026.112007" TargetMode="External" /><Relationship Type="http://schemas.openxmlformats.org/officeDocument/2006/relationships/hyperlink" Id="rId66" Target="https://doi.org/10.1016/j.jcp.2013.04.045" TargetMode="External" /><Relationship Type="http://schemas.openxmlformats.org/officeDocument/2006/relationships/hyperlink" Id="rId36"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81" Target="https://doi.org/10.1016/s0021-9991(03)00194-3" TargetMode="External" /><Relationship Type="http://schemas.openxmlformats.org/officeDocument/2006/relationships/hyperlink" Id="rId71" Target="https://doi.org/10.1017/S0962492901000010" TargetMode="External" /><Relationship Type="http://schemas.openxmlformats.org/officeDocument/2006/relationships/hyperlink" Id="rId74" Target="https://doi.org/10.1023/a:1011430410075" TargetMode="External" /><Relationship Type="http://schemas.openxmlformats.org/officeDocument/2006/relationships/hyperlink" Id="rId12" Target="https://doi.org/10.1038/nature23911" TargetMode="External" /><Relationship Type="http://schemas.openxmlformats.org/officeDocument/2006/relationships/hyperlink" Id="rId56" Target="https://doi.org/10.1038/s42256-024-00910-x" TargetMode="External" /><Relationship Type="http://schemas.openxmlformats.org/officeDocument/2006/relationships/hyperlink" Id="rId24" Target="https://doi.org/10.1051/m2an/2012022" TargetMode="External" /><Relationship Type="http://schemas.openxmlformats.org/officeDocument/2006/relationships/hyperlink" Id="rId34" Target="https://doi.org/10.1090/S0894-0347-02-00398-3" TargetMode="External" /><Relationship Type="http://schemas.openxmlformats.org/officeDocument/2006/relationships/hyperlink" Id="rId31" Target="https://doi.org/10.1137/1034116" TargetMode="External" /><Relationship Type="http://schemas.openxmlformats.org/officeDocument/2006/relationships/hyperlink" Id="rId22" Target="https://doi.org/10.1137/15m1009603" TargetMode="External" /><Relationship Type="http://schemas.openxmlformats.org/officeDocument/2006/relationships/hyperlink" Id="rId55" Target="https://doi.org/10.1137/20M1344913" TargetMode="External" /><Relationship Type="http://schemas.openxmlformats.org/officeDocument/2006/relationships/hyperlink" Id="rId57" Target="https://doi.org/10.1137/24m162861x" TargetMode="External" /><Relationship Type="http://schemas.openxmlformats.org/officeDocument/2006/relationships/hyperlink" Id="rId28" Target="https://doi.org/10.1137/S0036142903429742" TargetMode="External" /><Relationship Type="http://schemas.openxmlformats.org/officeDocument/2006/relationships/hyperlink" Id="rId114" Target="https://doi.org/10.1137/S1064827502412887" TargetMode="External" /><Relationship Type="http://schemas.openxmlformats.org/officeDocument/2006/relationships/hyperlink" Id="rId58" Target="https://doi.org/10.1145/3811333" TargetMode="External" /><Relationship Type="http://schemas.openxmlformats.org/officeDocument/2006/relationships/hyperlink" Id="rId13" Target="https://doi.org/10.2514/3.2874" TargetMode="External" /><Relationship Type="http://schemas.openxmlformats.org/officeDocument/2006/relationships/hyperlink" Id="rId14" Target="https://doi.org/10.2514/3.3027" TargetMode="External" /><Relationship Type="http://schemas.openxmlformats.org/officeDocument/2006/relationships/hyperlink" Id="rId61" Target="https://doi.org/10.52202/075280-1556" TargetMode="External" /><Relationship Type="http://schemas.openxmlformats.org/officeDocument/2006/relationships/hyperlink" Id="rId127" Target="https://openreview.net/forum?id=8OxL034uEr" TargetMode="External" /><Relationship Type="http://schemas.openxmlformats.org/officeDocument/2006/relationships/hyperlink" Id="rId62" Target="https://openreview.net/forum?id=roNqYL0_XP" TargetMode="External" /><Relationship Type="http://schemas.openxmlformats.org/officeDocument/2006/relationships/hyperlink" Id="rId112" Target="https://petsc.org/release/manual/" TargetMode="External" /><Relationship Type="http://schemas.openxmlformats.org/officeDocument/2006/relationships/hyperlink" Id="rId63" Target="https://proceedings.iclr.cc/paper_files/paper/2024/hash/eb3c8135137c8a60425a0320869ad87e-Abstract-Conference.html" TargetMode="External" /><Relationship Type="http://schemas.openxmlformats.org/officeDocument/2006/relationships/hyperlink" Id="rId54" Target="https://proceedings.mlr.press/v119/luz20a.html" TargetMode="External" /><Relationship Type="http://schemas.openxmlformats.org/officeDocument/2006/relationships/hyperlink" Id="rId53" Target="https://proceedings.mlr.press/v97/greenfeld19a.html" TargetMode="External" /><Relationship Type="http://schemas.openxmlformats.org/officeDocument/2006/relationships/hyperlink" Id="rId59" Target="https://proceedings.neurips.cc/paper/2020/hash/43e4e6a6f341e00671e123714de019a8-Abstract.html" TargetMode="External" /><Relationship Type="http://schemas.openxmlformats.org/officeDocument/2006/relationships/hyperlink" Id="rId83" Target="https://shop.elsevier.com/books/multigrid/trottenberg/978-0-12-701070-0" TargetMode="External" /><Relationship Type="http://schemas.openxmlformats.org/officeDocument/2006/relationships/hyperlink" Id="rId60"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2026-10-08T15:49:37Z</dcterms:created>
  <dcterms:modified xsi:type="dcterms:W3CDTF">2026-10-08T15:49:37Z</dcterms:modified>
</cp:coreProperties>
</file>

<file path=docProps/custom.xml><?xml version="1.0" encoding="utf-8"?>
<Properties xmlns="http://schemas.openxmlformats.org/officeDocument/2006/custom-properties" xmlns:vt="http://schemas.openxmlformats.org/officeDocument/2006/docPropsVTypes"/>
</file>