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由基础网络继续训练；训练和评估中均不施加校正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的邻胞元构型。部署几何采用表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个（移除了一个表现为近似机构的胞元）以及另外</w:t>
      </w:r>
      <w:r>
        <w:t xml:space="preserve"> 287 </w:t>
      </w:r>
      <w:r>
        <w:rPr>
          <w:rFonts w:hint="eastAsia"/>
        </w:rPr>
        <w:t xml:space="preserve">个训练几何。根据下文所述的几何轮换，每次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的继续训练耗时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（训练期验证列表中由同一厚度场生成的几何；独立生成的验证胞元自成一族）和取向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的三等分区间上对保留胞元立方体体积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切割体积指立方体与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个自由度；激活自由度中位数为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个几何上进行了评估。刚度缩放支撑类别与邻胞元诱导类别不在此比较之列。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时计算；每个数组包含该胞元和该类别中全部八个角点及全部评估方向。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(15)）。累积曲线、节点力结果和方向百分位数见图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个验证方向，固定保留位移），对三种初始场和六个详细胞元，施加在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完整的连续邻胞元装配结果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参考线进行比较。灵敏度最大值涵盖两个胞元。目标胞元采用指定的学习变体，其邻胞元为精确的。胞元标签为验证标识符的缩写（补充材料第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目标胞元</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表中未列出的组合未作评估。本表中所有胞元均属于用于检查点选择的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上的基础网络，在邻胞元面</w:t>
      </w:r>
      <w:r>
        <w:t xml:space="preserve"> z </w:t>
      </w:r>
      <w:r>
        <w:rPr>
          <w:rFonts w:hint="eastAsia"/>
        </w:rPr>
        <w:t xml:space="preserve">向面力作用下（图</w:t>
      </w:r>
      <w:r>
        <w:t xml:space="preserve"> S04(a–c) </w:t>
      </w:r>
      <w:r>
        <w:rPr>
          <w:rFonts w:hint="eastAsia"/>
        </w:rPr>
        <w:t xml:space="preserve">中圈出），目标胞元承担精确装配能量的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0.002827394%，目标胞元灵敏度误差为</w:t>
      </w:r>
      <w:r>
        <w:t xml:space="preserve"> 5.82992%。</w:t>
      </w:r>
    </w:p>
    <w:p>
      <w:pPr>
        <w:pStyle w:val="Heading4"/>
      </w:pPr>
      <w:r>
        <w:t xml:space="preserve">ST08b. </w:t>
      </w:r>
      <w:r>
        <w:rPr>
          <w:rFonts w:hint="eastAsia"/>
        </w:rPr>
        <w:t xml:space="preserve">留出的两胞元配置（NICE）</w:t>
      </w:r>
    </w:p>
    <w:p>
      <w:pPr>
        <w:pStyle w:val="FirstParagraph"/>
      </w:pPr>
      <w:r>
        <w:rPr>
          <w:rFonts w:hint="eastAsia"/>
        </w:rPr>
        <w:t xml:space="preserve">检查点选择之外的胞元：NICE</w:t>
      </w:r>
      <w:r>
        <w:t xml:space="preserve"> </w:t>
      </w:r>
      <w:r>
        <w:rPr>
          <w:rFonts w:hint="eastAsia"/>
        </w:rPr>
        <w:t xml:space="preserve">单胞误差最大的五个验证几何，以及每个分层中随机选取的一个可评估胞元。最大相对误差（%）分别取六种面载荷上的最大值（柔度）和两个胞元上的最大值（厚度灵敏度）；与表</w:t>
      </w:r>
      <w:r>
        <w:t xml:space="preserve"> ST08 </w:t>
      </w:r>
      <w:r>
        <w:rPr>
          <w:rFonts w:hint="eastAsia"/>
        </w:rPr>
        <w:t xml:space="preserve">相同，邻胞元为精确的，目标胞元为学习的。胞元标签的定义见补充材料第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中目标胞元为切割胞元的每种变体与配置，给出三个切割面面力方向上的最大相对误差（%）；表中未列出的组合未作评估。灵敏度最大值涵盖两个胞元。目标胞元为学习的，邻胞元为精确的。与第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在未切割胞元上将其与贴体离散进行比较；本说明最后一段验证数值厚度导数。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单个胞元在一个胞元边界面上固支，并在另一胞元边界面上沿三个方向施加单位一致面力，在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唯一含材料的胞元边界面即为固支面，因此改为施加合力为单位值的一致体力。表中各项：三种载荷中幅值最大的、相对于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在未切割胞元上，离散模型还与一个独立的贴体离散进行了比较：后者以二次四面体对同一隐式几何划分网格，与离散模型不共享任何几何、积分或稳定化代码（表</w:t>
      </w:r>
      <w:r>
        <w:t xml:space="preserve"> </w:t>
      </w:r>
      <w:r>
        <w:rPr>
          <w:rFonts w:hint="eastAsia"/>
        </w:rPr>
        <w:t xml:space="preserve">ST10b）。</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范围内光滑的情形相一致。在相同的胞元上，中心差分刚度导数与在扰动设计处重新计算的柔度之差吻合至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。对八个详细胞元中部分填充单元进行的单元级检查表明，离散矩并非处处保持式</w:t>
      </w:r>
      <w:r>
        <w:t xml:space="preserve"> (H.7) </w:t>
      </w:r>
      <w:r>
        <w:rPr>
          <w:rFonts w:hint="eastAsia"/>
        </w:rPr>
        <w:t xml:space="preserve">所依赖的嵌套性。单元刚度在舍入误差范围内为半正定，但在固定裁剪拓扑下，离散矩的精确导数给出的单元导数矩阵具有负特征值：在未切割胞元中，最小比值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限制的胞元边界面</w:t>
      </w:r>
    </w:p>
    <w:p>
      <w:pPr>
        <w:pStyle w:val="FirstParagraph"/>
      </w:pPr>
      <w:r>
        <w:rPr>
          <w:rFonts w:hint="eastAsia"/>
        </w:rPr>
        <w:t xml:space="preserve">本说明给出第</w:t>
      </w:r>
      <w:r>
        <w:t xml:space="preserve"> 5.7 </w:t>
      </w:r>
      <w:r>
        <w:rPr>
          <w:rFonts w:hint="eastAsia"/>
        </w:rPr>
        <w:t xml:space="preserve">节所概述消融的完整结果：每个胞元算子均为精确的</w:t>
      </w:r>
      <w:r>
        <w:t xml:space="preserve"> Schur </w:t>
      </w:r>
      <w:r>
        <w:rPr>
          <w:rFonts w:hint="eastAsia"/>
        </w:rPr>
        <w:t xml:space="preserve">补，仅对保留胞元边界面位移的表示进行缩减。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受限空间在每个胞元的选定胞元边界面上采用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保持胞元间共享的自由度一致，而胞元边界面迹之外的切割带自由度保留单位列。施加支撑后的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算子，因此内部是精确的，所有误差均来自受限边界。考察两种变体：所有胞元边界面均受限（如同整个点阵完全由此类子结构构成），以及仅共享界面受限。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4.4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S4），每个目标胞元配以其精确的连续厚度邻胞元，针对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每个子结构一个胞元，采用全文统一使用的细尺度一致面力，且不进行过采样。</w:t>
      </w:r>
    </w:p>
    <w:p>
      <w:pPr>
        <w:pStyle w:val="Compact"/>
        <w:numPr>
          <w:ilvl w:val="0"/>
          <w:numId w:val="1003"/>
        </w:numPr>
      </w:pPr>
      <w:r>
        <w:rPr>
          <w:rFonts w:hint="eastAsia"/>
        </w:rPr>
        <w:t xml:space="preserve">载荷：三个目标面面力与三个邻胞元面面力。</w:t>
      </w:r>
    </w:p>
    <w:p>
      <w:pPr>
        <w:pStyle w:val="Compact"/>
        <w:numPr>
          <w:ilvl w:val="0"/>
          <w:numId w:val="1003"/>
        </w:numPr>
      </w:pPr>
      <w:r>
        <w:rPr>
          <w:rFonts w:hint="eastAsia"/>
        </w:rPr>
        <w:t xml:space="preserve">非胞元边界面切割带自由度保持不受限，这对受限模型有利（受控自由度见表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胞元边界面位移的</w:t>
      </w:r>
      <w:r>
        <w:t xml:space="preserve"> Bernstein </w:t>
      </w:r>
      <w:r>
        <w:rPr>
          <w:rFonts w:hint="eastAsia"/>
        </w:rPr>
        <w:t xml:space="preserve">限制</w:t>
      </w:r>
    </w:p>
    <w:p>
      <w:pPr>
        <w:pStyle w:val="FirstParagraph"/>
      </w:pPr>
      <w:r>
        <w:rPr>
          <w:rFonts w:hint="eastAsia"/>
        </w:rPr>
        <w:t xml:space="preserve">每个目标胞元及其连续厚度邻胞元在配置</w:t>
      </w:r>
      <w:r>
        <w:t xml:space="preserve"> x </w:t>
      </w:r>
      <w:r>
        <w:rPr>
          <w:rFonts w:hint="eastAsia"/>
        </w:rPr>
        <w:t xml:space="preserve">中使用精确胞元算子进行装配。次数</w:t>
      </w:r>
      <w:r>
        <w:t xml:space="preserve"> r </w:t>
      </w:r>
      <w:r>
        <w:rPr>
          <w:rFonts w:hint="eastAsia"/>
        </w:rPr>
        <w:t xml:space="preserve">作用于受限胞元边界面；切割带自由度保留其单位表示。受控自由度包括这些不受限的切割带自由度。所有误差均为所述载荷集上的最大值（%），相对于完整保留空间解；灵敏度列指目标胞元的向量。目标面载荷为目标胞元加载面上的三个单位一致面力，六载荷集在此基础上加入三个邻胞元面面力；两个载荷集的最大值未必出现在同一载荷下。</w:t>
      </w:r>
    </w:p>
    <w:p>
      <w:pPr>
        <w:pStyle w:val="Heading4"/>
      </w:pPr>
      <w:r>
        <w:t xml:space="preserve">ST11a. </w:t>
      </w:r>
      <w:r>
        <w:rPr>
          <w:rFonts w:hint="eastAsia"/>
        </w:rPr>
        <w:t xml:space="preserve">所有胞元边界面均受限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成本记录：整体点阵直接求解与逐胞元凝聚</w:t>
      </w:r>
    </w:p>
    <w:p>
      <w:pPr>
        <w:pStyle w:val="FirstParagraph"/>
      </w:pPr>
      <w:r>
        <w:rPr>
          <w:rFonts w:hint="eastAsia"/>
        </w:rPr>
        <w:t xml:space="preserve">本说明定义表</w:t>
      </w:r>
      <w:r>
        <w:t xml:space="preserve"> 6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的逐胞元成本比较（表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，其厚度角点保持不变：每层包含两个未切割胞元和两个切割胞元，后者的保留体积分数分别为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的完整切割胞元刚度（保留自由度与内部自由度）装配为一个全局矩阵。保留自由度的编号与耦合方式与学习点阵完全相同，采用相同的固支、自由集与载荷向量，每个胞元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个线程逐个处理各胞元：胞元的设置与装配同路线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分解得到该胞元在其保留自由度上的稠密凝聚矩阵，之后释放该胞元。凝聚点阵系统按子结构法顺序通过分块</w:t>
      </w:r>
      <w:r>
        <w:t xml:space="preserve"> Cholesky </w:t>
      </w:r>
      <w:r>
        <w:rPr>
          <w:rFonts w:hint="eastAsia"/>
        </w:rPr>
        <w:t xml:space="preserve">分解精确求解：对每个胞元，用稠密核对其私有保留块进行分解与消元；对由多个胞元共享的保留自由度上的稠密界面矩阵进行分解与求解；再通过回代恢复私有自由度。各胞元的凝聚矩阵保存至其被消元为止。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的部署实现运行一次带灵敏度的点阵分析：胞元准备（胞元构建、刚度与矩装配、网络输入与编码，以及为校正做准备的首次作用）、点阵及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求解。共轭梯度法在未缩放的系统上运行，以未预条件的相对残差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为停止条件；在残差首次低于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处记录迭代解，并给出其柔度和能量范数与最终迭代解之差。GAMG（光滑聚集，PETSc</w:t>
      </w:r>
      <w:r>
        <w:t xml:space="preserve"> </w:t>
      </w:r>
      <w:r>
        <w:rPr>
          <w:rFonts w:hint="eastAsia"/>
        </w:rPr>
        <w:t xml:space="preserve">默认设置）采用块大小</w:t>
      </w:r>
      <w:r>
        <w:t xml:space="preserve"> </w:t>
      </w:r>
      <w:r>
        <w:rPr>
          <w:rFonts w:hint="eastAsia"/>
        </w:rPr>
        <w:t xml:space="preserve">3，并以自由度位置的六个刚体模态为近零空间；BoomerAMG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及其默认松弛。对于每胞元一个子区域、采用精确局部求解的</w:t>
      </w:r>
      <w:r>
        <w:t xml:space="preserve"> </w:t>
      </w:r>
      <w:r>
        <w:rPr>
          <w:rFonts w:hint="eastAsia"/>
        </w:rPr>
        <w:t xml:space="preserve">BDDC，胞元的</w:t>
      </w:r>
      <w:r>
        <w:t xml:space="preserve"> Dirichlet </w:t>
      </w:r>
      <w:r>
        <w:rPr>
          <w:rFonts w:hint="eastAsia"/>
        </w:rPr>
        <w:t xml:space="preserve">矩阵是其在不与其他胞元共享的自由度上的刚度，Neumann</w:t>
      </w:r>
      <w:r>
        <w:t xml:space="preserve"> </w:t>
      </w:r>
      <w:r>
        <w:rPr>
          <w:rFonts w:hint="eastAsia"/>
        </w:rPr>
        <w:t xml:space="preserve">矩阵是其在自由自由度上的整胞元刚度。二者均按路线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线程）逐胞元各分解一次；悬浮胞元的奇异</w:t>
      </w:r>
      <w:r>
        <w:t xml:space="preserve"> Neumann </w:t>
      </w:r>
      <w:r>
        <w:rPr>
          <w:rFonts w:hint="eastAsia"/>
        </w:rPr>
        <w:t xml:space="preserve">矩阵在缩放矩阵的对角线上加</w:t>
      </w:r>
      <w:r>
        <w:t xml:space="preserve"> </w:t>
      </w:r>
      <m:oMath>
        <m:sSup>
          <m:e>
            <m:r>
              <m:t>10</m:t>
            </m:r>
          </m:e>
          <m:sup>
            <m:r>
              <m:rPr>
                <m:sty m:val="p"/>
              </m:rPr>
              <m:t>−</m:t>
            </m:r>
            <m:r>
              <m:t>10</m:t>
            </m:r>
          </m:sup>
        </m:sSup>
      </m:oMath>
      <w:r>
        <w:t xml:space="preserve"> </w:t>
      </w:r>
      <w:r>
        <w:rPr>
          <w:rFonts w:hint="eastAsia"/>
        </w:rPr>
        <w:t xml:space="preserve">的平移。这些分解的总时间是该配置下采用精确局部求解的</w:t>
      </w:r>
      <w:r>
        <w:t xml:space="preserve"> BDDC </w:t>
      </w:r>
      <w:r>
        <w:rPr>
          <w:rFonts w:hint="eastAsia"/>
        </w:rPr>
        <w:t xml:space="preserve">局部分解成本的参照，不含局部</w:t>
      </w:r>
      <w:r>
        <w:t xml:space="preserve"> Neumann </w:t>
      </w:r>
      <w:r>
        <w:rPr>
          <w:rFonts w:hint="eastAsia"/>
        </w:rPr>
        <w:t xml:space="preserve">问题中主约束与零空间的处理、粗问题和迭代。以</w:t>
      </w:r>
      <w:r>
        <w:t xml:space="preserve"> MUMPS </w:t>
      </w:r>
      <w:r>
        <w:rPr>
          <w:rFonts w:hint="eastAsia"/>
        </w:rPr>
        <w:t xml:space="preserve">求解局部和粗问题、在八个进程上同时保存全部局部分解时，BDDC</w:t>
      </w:r>
      <w:r>
        <w:t xml:space="preserve"> </w:t>
      </w:r>
      <w:r>
        <w:rPr>
          <w:rFonts w:hint="eastAsia"/>
        </w:rPr>
        <w:t xml:space="preserve">在设置内存超过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6。</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胞元边界面以外的切割带自由度（占自由保留自由度的比例）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6。</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6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s，这是因为胞元的设置与装配并未加速。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6 </w:t>
      </w:r>
      <w:r>
        <w:rPr>
          <w:rFonts w:hint="eastAsia"/>
        </w:rPr>
        <w:t xml:space="preserve">中的总计还包括逐胞元点阵几何、矩阵缩放以及各阶段之间的数据移动（17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6；各阶段之和比总计少</w:t>
      </w:r>
      <w:r>
        <w:t xml:space="preserve"> 0.2–0.5 </w:t>
      </w:r>
      <w:r>
        <w:rPr>
          <w:rFonts w:hint="eastAsia"/>
        </w:rPr>
        <w:t xml:space="preserve">s，差额为阶段之间的簿记开销（GPU</w:t>
      </w:r>
      <w:r>
        <w:t xml:space="preserve"> </w:t>
      </w:r>
      <w:r>
        <w:rPr>
          <w:rFonts w:hint="eastAsia"/>
        </w:rPr>
        <w:t xml:space="preserve">内存：进程分配的峰值；CPU</w:t>
      </w:r>
      <w:r>
        <w:t xml:space="preserve"> </w:t>
      </w:r>
      <w:r>
        <w:rPr>
          <w:rFonts w:hint="eastAsia"/>
        </w:rPr>
        <w:t xml:space="preserve">内存：胞元准备之后的常驻集大小）。常驻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相同，先三个一致面力，后三个随机载荷。不含取自路线</w:t>
      </w:r>
      <w:r>
        <w:t xml:space="preserve"> </w:t>
      </w:r>
      <w:r>
        <w:rPr>
          <w:rFonts w:hint="eastAsia"/>
        </w:rPr>
        <w:t xml:space="preserve">(a)、为所有细尺度路线共有的胞元设置与装配以及整体装配与缩放（表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节）。胞元准备：几何预处理加上胞元设置、矩积分与刚度装配，NICE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内存中并从那里流式传输。每次运行的常驻胞元或预算见表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两胞元测试配置</w:t>
      </w:r>
    </w:p>
    <w:p>
      <w:pPr>
        <w:pStyle w:val="FirstParagraph"/>
      </w:pPr>
      <w:r>
        <w:rPr>
          <w:rFonts w:hint="eastAsia"/>
        </w:rPr>
        <w:t xml:space="preserve">在图</w:t>
      </w:r>
      <w:r>
        <w:t xml:space="preserve"> 9 </w:t>
      </w:r>
      <w:r>
        <w:rPr>
          <w:rFonts w:hint="eastAsia"/>
        </w:rPr>
        <w:t xml:space="preserve">的两种配置中，六个面载荷为施加于目标面的三个笛卡尔面力方向，以及施加于邻胞元面的相同三个方向。一致载荷的实现对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元为未切割胞元；因此，在目标胞元的切割平面与共享面相交之处，该胞元对是一种测试配置，而非物理上被切割的试件。</w:t>
      </w:r>
    </w:p>
    <w:p>
      <w:pPr>
        <w:pStyle w:val="BodyText"/>
      </w:pPr>
      <w:r>
        <w:rPr>
          <w:rFonts w:hint="eastAsia"/>
        </w:rPr>
        <w:t xml:space="preserve">胞元对求解采用以精确装配参考刚度的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点阵顶点进行聚合（即在每个顶点处对各胞元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G.1）、激活单元集合或粗分解的对角平移（附录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随步长减小而增大，因此该差商无法分辨代理柔度的完整导数。在选择胞元的十四个两胞元配置上（第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单角点扫描用于检验代理柔度在这些切换处的光滑性。在两胞元配置</w:t>
      </w:r>
      <w:r>
        <w:t xml:space="preserve"> M1/x </w:t>
      </w:r>
      <w:r>
        <w:rPr>
          <w:rFonts w:hint="eastAsia"/>
        </w:rPr>
        <w:t xml:space="preserve">和</w:t>
      </w:r>
      <w:r>
        <w:t xml:space="preserve"> U1/y </w:t>
      </w:r>
      <w:r>
        <w:rPr>
          <w:rFonts w:hint="eastAsia"/>
        </w:rPr>
        <w:t xml:space="preserve">中，对目标胞元的一个角点参数（灵敏度最大或居中的角点）在其值的至多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个至少改变一个离散选择，其中多数为激活单元、ghost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3.3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6 </w:t>
      </w:r>
      <w:r>
        <w:rPr>
          <w:rFonts w:hint="eastAsia"/>
        </w:rPr>
        <w:t xml:space="preserve">中的分析不同之处在于：它重新生成每个胞元的几何，并且只求解一个载荷而非三个。对于算例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6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每次迭代均使用本研究所有胞元所用的几何生成器，依据当前角点参数重新生成每个胞元的几何，在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6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（截断至边界内），重新生成共享这些顶点的每个胞元，并对扰动后的设计进行分析、由此继续优化。在全部运行中共应用四次（表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7。各阶段平均时间对所有迭代取平均；迭代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节的板被一个平面切割，该平面从右下角延伸至上边缘距左端两个胞元处；其八个切割胞元的保留体积分数为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6.3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。胞元相对面上的节点被等同，涨落场取周期形式并固定一个节点，由六个单位宏观应变得到单位胞元的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六面体对板进行网格划分，每个胞元每个轴向划分六个（4,464</w:t>
      </w:r>
      <w:r>
        <w:t xml:space="preserve"> </w:t>
      </w:r>
      <w:r>
        <w:rPr>
          <w:rFonts w:hint="eastAsia"/>
        </w:rPr>
        <w:t xml:space="preserve">个单元，5,719</w:t>
      </w:r>
      <w:r>
        <w:t xml:space="preserve"> </w:t>
      </w:r>
      <w:r>
        <w:rPr>
          <w:rFonts w:hint="eastAsia"/>
        </w:rPr>
        <w:t xml:space="preserve">个节点）。在每个积分点上，它由所在胞元的角点三线性插值得到局部参数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56.088（+1.6%），比精确柔度</w:t>
      </w:r>
      <w:r>
        <w:t xml:space="preserve"> 75.599 </w:t>
      </w:r>
      <w:r>
        <w:rPr>
          <w:rFonts w:hint="eastAsia"/>
        </w:rPr>
        <w:t xml:space="preserve">低</w:t>
      </w:r>
      <w:r>
        <w:t xml:space="preserve"> </w:t>
      </w:r>
      <w:r>
        <w:rPr>
          <w:rFonts w:hint="eastAsia"/>
        </w:rPr>
        <w:t xml:space="preserve">25.8%（原为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个单元的网格。细观模型固定切割胞元的全部切割带自由度（表</w:t>
      </w:r>
      <w:r>
        <w:t xml:space="preserve"> </w:t>
      </w:r>
      <w:r>
        <w:rPr>
          <w:rFonts w:hint="eastAsia"/>
        </w:rPr>
        <w:t xml:space="preserve">ST21），其支撑至少与仅作用于切割面的支撑同样刚硬；这降低了精确柔度，因而缩小而非扩大宏观低估。对于均匀化梯度设计，宏观体积模型不再与细观尺度材料体积精确相等（表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7。图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失败胞元以布局索引标识（切割胞元附保留体积分数）：即对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最大值：激活单元和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个胞元，22</w:t>
      </w:r>
      <w:r>
        <w:t xml:space="preserve"> </w:t>
      </w:r>
      <w:r>
        <w:rPr>
          <w:rFonts w:hint="eastAsia"/>
        </w:rPr>
        <w:t xml:space="preserve">步）仅记录了激活单元和保留自由度，结果为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2，厚度为一个胞元）、且其平面切割随板同比缩放的板，胞元数分别为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ST20）；所有切割胞元均具有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第一次设计迭代的精确核查（指标同表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，代理柔度误差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设计和均匀化设计，以及用于比较的两个满足体积约束</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和第</w:t>
      </w:r>
      <w:r>
        <w:t xml:space="preserve"> 4 </w:t>
      </w:r>
      <w:r>
        <w:rPr>
          <w:rFonts w:hint="eastAsia"/>
        </w:rPr>
        <w:t xml:space="preserve">节的构造，即带完整延拓转置的凝聚能量、命题</w:t>
      </w:r>
      <w:r>
        <w:t xml:space="preserve"> 1–4 </w:t>
      </w:r>
      <w:r>
        <w:rPr>
          <w:rFonts w:hint="eastAsia"/>
        </w:rPr>
        <w:t xml:space="preserve">和校正</w:t>
      </w:r>
      <w:r>
        <w:t xml:space="preserve"> </w:t>
      </w:r>
      <m:oMath>
        <m:r>
          <m:rPr>
            <m:scr m:val="script"/>
            <m:sty m:val="p"/>
          </m:rPr>
          <m:t>W</m:t>
        </m:r>
      </m:oMath>
      <w:r>
        <w:rPr>
          <w:rFonts w:hint="eastAsia"/>
        </w:rPr>
        <w:t xml:space="preserve">，所用的是胞元刚度的对称半正定性及其内部块的正定性，而不是式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片状胞元：先以表</w:t>
      </w:r>
      <w:r>
        <w:t xml:space="preserve"> 2 </w:t>
      </w:r>
      <w:r>
        <w:rPr>
          <w:rFonts w:hint="eastAsia"/>
        </w:rPr>
        <w:t xml:space="preserve">的网络参数原样使用（零样本），再在一次纳入少量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，并保留胞元盒、三线性角点参数、可选的平面切割以及表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罚项、保留空间和校正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胞元的孪生胞元：它保留该</w:t>
      </w:r>
      <w:r>
        <w:t xml:space="preserve"> P </w:t>
      </w:r>
      <w:r>
        <w:rPr>
          <w:rFonts w:hint="eastAsia"/>
        </w:rPr>
        <w:t xml:space="preserve">胞元的位置、切割平面和分层（未切割或切割），其角点参数由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6.2%）。这些胞元由几何生成阶段的一个以水平集函数为输入的版本生成；采用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块体的八个胞元。生成点阵时，它保留整个点阵（而非各个胞元）中活动单元的最大面连通集合，并去除体积小于四分之一个单元且没有</w:t>
      </w:r>
      <w:r>
        <w:t xml:space="preserve"> ghost </w:t>
      </w:r>
      <w:r>
        <w:rPr>
          <w:rFonts w:hint="eastAsia"/>
        </w:rPr>
        <w:t xml:space="preserve">罚项支撑的碎片，重复这两步直至不再变化；于是相邻胞元的保留自由度在其共享面上除胞元棱线外完全重合（不匹配的自由度按第</w:t>
      </w:r>
      <w:r>
        <w:t xml:space="preserve"> 2.3 </w:t>
      </w:r>
      <w:r>
        <w:rPr>
          <w:rFonts w:hint="eastAsia"/>
        </w:rPr>
        <w:t xml:space="preserve">节处理）。十六个单胞元是验证胞元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块体的孪生点阵（glat222）。没有任何</w:t>
      </w:r>
      <w:r>
        <w:t xml:space="preserve"> gyroid </w:t>
      </w:r>
      <w:r>
        <w:rPr>
          <w:rFonts w:hint="eastAsia"/>
        </w:rPr>
        <w:t xml:space="preserve">胞元参与表</w:t>
      </w:r>
      <w:r>
        <w:t xml:space="preserve"> 2 </w:t>
      </w:r>
      <w:r>
        <w:rPr>
          <w:rFonts w:hint="eastAsia"/>
        </w:rPr>
        <w:t xml:space="preserve">中任一变体的训练或检查点选择。</w:t>
      </w:r>
    </w:p>
    <w:p>
      <w:pPr>
        <w:pStyle w:val="BodyText"/>
      </w:pPr>
      <w:r>
        <w:rPr>
          <w:rFonts w:hint="eastAsia"/>
        </w:rPr>
        <w:t xml:space="preserve">命题</w:t>
      </w:r>
      <w:r>
        <w:t xml:space="preserve"> 1–3 </w:t>
      </w:r>
      <w:r>
        <w:rPr>
          <w:rFonts w:hint="eastAsia"/>
        </w:rPr>
        <w:t xml:space="preserve">和第</w:t>
      </w:r>
      <w:r>
        <w:t xml:space="preserve"> 4.1 </w:t>
      </w:r>
      <w:r>
        <w:rPr>
          <w:rFonts w:hint="eastAsia"/>
        </w:rPr>
        <w:t xml:space="preserve">节的性质对这些胞元与对</w:t>
      </w:r>
      <w:r>
        <w:t xml:space="preserve"> P </w:t>
      </w:r>
      <w:r>
        <w:rPr>
          <w:rFonts w:hint="eastAsia"/>
        </w:rPr>
        <w:t xml:space="preserve">胞元同样成立，因为假设</w:t>
      </w:r>
      <w:r>
        <w:t xml:space="preserve"> (A1)–(A3) </w:t>
      </w:r>
      <w:r>
        <w:rPr>
          <w:rFonts w:hint="eastAsia"/>
        </w:rPr>
        <w:t xml:space="preserve">涉及的是刚度和装配，而网络延拓按构造即为可容许的并能再现刚体运动。命题</w:t>
      </w:r>
      <w:r>
        <w:t xml:space="preserve"> 4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A3G_ft）：在</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的胞元）上，将</w:t>
      </w:r>
      <w:r>
        <w:t xml:space="preserve"> NICE </w:t>
      </w:r>
      <w:r>
        <w:rPr>
          <w:rFonts w:hint="eastAsia"/>
        </w:rPr>
        <w:t xml:space="preserve">的参数继续训练</w:t>
      </w:r>
      <w:r>
        <w:t xml:space="preserve"> 8,000 </w:t>
      </w:r>
      <w:r>
        <w:rPr>
          <w:rFonts w:hint="eastAsia"/>
        </w:rPr>
        <w:t xml:space="preserve">个训练步，并按第</w:t>
      </w:r>
      <w:r>
        <w:t xml:space="preserve"> 4.5 </w:t>
      </w:r>
      <w:r>
        <w:rPr>
          <w:rFonts w:hint="eastAsia"/>
        </w:rPr>
        <w:t xml:space="preserve">节将校正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置于训练循环之内。其检查点仅在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点阵既未参与其训练，也未参与其选择。两个变体在评估时均施加校正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个验证方向（附录</w:t>
      </w:r>
      <w:r>
        <w:t xml:space="preserve"> </w:t>
      </w:r>
      <w:r>
        <w:rPr>
          <w:rFonts w:hint="eastAsia"/>
        </w:rPr>
        <w:t xml:space="preserve">G.2）；式</w:t>
      </w:r>
      <w:r>
        <w:t xml:space="preserve"> (5) </w:t>
      </w:r>
      <w:r>
        <w:rPr>
          <w:rFonts w:hint="eastAsia"/>
        </w:rPr>
        <w:t xml:space="preserve">的方向能量误差先在每个胞元的方向上平均，再按第</w:t>
      </w:r>
      <w:r>
        <w:t xml:space="preserve"> 5.1 </w:t>
      </w:r>
      <w:r>
        <w:rPr>
          <w:rFonts w:hint="eastAsia"/>
        </w:rPr>
        <w:t xml:space="preserve">节的方式对十六个胞元等权平均（表</w:t>
      </w:r>
      <w:r>
        <w:t xml:space="preserve"> </w:t>
      </w:r>
      <w:r>
        <w:rPr>
          <w:rFonts w:hint="eastAsia"/>
        </w:rPr>
        <w:t xml:space="preserve">ST22）。零样本时，一致面力下的平均误差为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7。这种退化并不局限于少数胞元：在每个胞元中，各载荷与支撑类别下的误差都是其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倍。在一致面力下，误差最大的三个</w:t>
      </w:r>
      <w:r>
        <w:t xml:space="preserve"> gyroid </w:t>
      </w:r>
      <w:r>
        <w:rPr>
          <w:rFonts w:hint="eastAsia"/>
        </w:rPr>
        <w:t xml:space="preserve">胞元正是十六个胞元中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2015）。校正与</w:t>
      </w:r>
      <w:r>
        <w:t xml:space="preserve"> P </w:t>
      </w:r>
      <w:r>
        <w:rPr>
          <w:rFonts w:hint="eastAsia"/>
        </w:rPr>
        <w:t xml:space="preserve">胞元上的相同；不能迁移的是网络初始场的精度，它属于网络训练所用的胞元族。</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倍，其中一致面力下由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倍（一致面力下为</w:t>
      </w:r>
      <w:r>
        <w:t xml:space="preserve"> 11 </w:t>
      </w:r>
      <w:r>
        <w:rPr>
          <w:rFonts w:hint="eastAsia"/>
        </w:rPr>
        <w:t xml:space="preserve">倍）。各胞元的降幅并不均匀：H2</w:t>
      </w:r>
      <w:r>
        <w:t xml:space="preserve"> </w:t>
      </w:r>
      <w:r>
        <w:rPr>
          <w:rFonts w:hint="eastAsia"/>
        </w:rPr>
        <w:t xml:space="preserve">的孪生胞元（fresh_val_2010）此时在节点力和一致面力下误差最大，分别为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胞元的方向能量误差（%）。</w:t>
      </w:r>
      <w:r>
        <w:t xml:space="preserve"> </w:t>
      </w:r>
      <w:r>
        <w:rPr>
          <w:rFonts w:hint="eastAsia"/>
        </w:rPr>
        <w:t xml:space="preserve">几何等权平均值，括号内为最大的几何均值，恒等取向。gyroid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一致面力（force_c）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单面一致面力（face_c）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节点力（force）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单面节点力（face）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没有刚度缩放弹簧支撑方向。</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孪生点阵（八个胞元，其中四个被切割，所有胞元均为学习胞元；自由保留自由度</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次；学习算子分别增加</w:t>
      </w:r>
      <w:r>
        <w:t xml:space="preserve"> 20 </w:t>
      </w:r>
      <w:r>
        <w:rPr>
          <w:rFonts w:hint="eastAsia"/>
        </w:rPr>
        <w:t xml:space="preserve">次和</w:t>
      </w:r>
      <w:r>
        <w:t xml:space="preserve"> 22 </w:t>
      </w:r>
      <w:r>
        <w:rPr>
          <w:rFonts w:hint="eastAsia"/>
        </w:rPr>
        <w:t xml:space="preserve">次迭代。</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精确凝聚算子的预条件共轭梯度法（补充说明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构造原样迁移：能量形式、完整延拓的转置、校正和装配均未经修改地用于</w:t>
      </w:r>
      <w:r>
        <w:t xml:space="preserve"> gyroid </w:t>
      </w:r>
      <w:r>
        <w:rPr>
          <w:rFonts w:hint="eastAsia"/>
        </w:rPr>
        <w:t xml:space="preserve">胞元，不依赖网络参数的性质对它们与对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倍，原样的校正无法弥补这一差距。纳入十八个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倍，并使</w:t>
      </w:r>
      <w:r>
        <w:t xml:space="preserve"> gyroid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1.84%；与此同时，其在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节），但不需要新的构造。</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孪生胞元、分层与角点参数）；gval_A3.json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单个胞元在一个胞元边界面上固支，并在另一个面上沿三个笛卡尔方向分别受单位一致面力作用。在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个几何，刚度缩放支撑和邻胞元诱导位移两类各包含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一致面力响应与节点力响应的平均能量误差与灵敏度误差配对，基础网络使用六个胞元，未校正使用五个胞元。(b)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91242"/>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9124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为未校正，(g–i)</w:t>
      </w:r>
      <w:r>
        <w:t xml:space="preserve"> </w:t>
      </w:r>
      <w:r>
        <w:rPr>
          <w:rFonts w:hint="eastAsia"/>
        </w:rPr>
        <w:t xml:space="preserve">为平滑训练，(j–l)</w:t>
      </w:r>
      <w:r>
        <w:t xml:space="preserve"> </w:t>
      </w:r>
      <w:r>
        <w:rPr>
          <w:rFonts w:hint="eastAsia"/>
        </w:rPr>
        <w:t xml:space="preserve">为部署时施加校正的基础网络。每个点对应各变体所评估配置中的一个载荷（分别为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。第二行和第三行：柔度误差和目标胞元灵敏度误差随目标胞元精确能量份额</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上的邻胞元面</w:t>
      </w:r>
      <w:r>
        <w:t xml:space="preserve"> z </w:t>
      </w:r>
      <w:r>
        <w:rPr>
          <w:rFonts w:hint="eastAsia"/>
        </w:rPr>
        <w:t xml:space="preserve">向面力，其数值见表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2026-10-08T15:49:40Z</dcterms:created>
  <dcterms:modified xsi:type="dcterms:W3CDTF">2026-10-08T15:49:40Z</dcterms:modified>
</cp:coreProperties>
</file>

<file path=docProps/custom.xml><?xml version="1.0" encoding="utf-8"?>
<Properties xmlns="http://schemas.openxmlformats.org/officeDocument/2006/custom-properties" xmlns:vt="http://schemas.openxmlformats.org/officeDocument/2006/docPropsVTypes"/>
</file>