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2:</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(15)). Cumulative curves, nodal-force results and directional percentiles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(circled in Figure S04(a–c)),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and Table ST10b compares it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that meshes the same implicit geometry with quadratic tetrahedra and shares no geometry, quadrature or stabilisation code with it (Table ST10b).</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(H.7)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4.4),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9;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6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1: the network and the correction's smoothing and coarse solve in single precision,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exported once and solved with PETSc 3.26</w:t>
      </w:r>
      <w:r>
        <w:t xml:space="preserve"> </w:t>
      </w:r>
      <w:hyperlink r:id="rId9">
        <w:r>
          <w:rPr>
            <w:rStyle w:val="Hyperlink"/>
          </w:rPr>
          <w:t xml:space="preserve">Balay et al. (2026)</w:t>
        </w:r>
      </w:hyperlink>
      <w:r>
        <w:t xml:space="preserve"> </w:t>
      </w:r>
      <w:r>
        <w:t xml:space="preserve">on the CPU of routes (a) and (b) with 16 MPI processes.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For BDDC with exact local solvers and one subdomain per cell, the Dirichlet matrix of a cell is its stiffness on the DOFs it shares with no other cell and its Neumann matrix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the treatment of the primal constraints and the null space in the local Neumann problems, the coarse problem and the iterations are not included.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6.</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6.</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6.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6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6; the phases sum to 0.2–0.5 s less than the totals, the remainder being bookkeeping between phases (GPU memory: peak allocated by the process; CPU memory: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relative to the iterate at a relative residual of</w:t>
      </w:r>
      <w:r>
        <w:t xml:space="preserve"> </w:t>
      </w:r>
      <m:oMath>
        <m:sSup>
          <m:e>
            <m:r>
              <m:t>10</m:t>
            </m:r>
          </m:e>
          <m:sup>
            <m:r>
              <m:rPr>
                <m:sty m:val="p"/>
              </m:rPr>
              <m:t>−</m:t>
            </m:r>
            <m:r>
              <m:t>9</m:t>
            </m:r>
          </m:sup>
        </m:sSup>
      </m:oMath>
      <w:r>
        <w:t xml:space="preserve">, reached in 235–274 (2×2×2) and 204–220 (3×3×1) GAMG iterations. Loads: three consistent tractions, then three random loads, as in route (a). Cell setup and assembly and the global assembly and scaling, taken from route (a) and common to all fine-scale routes,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3.3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6 in that it regenerates every cell's geometry and solves for one load instead of three: for case A, a NICE design iteration takes 74 s on average (Table ST17c) against 79 s for the analysis of the same block in Table 6,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6,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7.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cut-band DOF of the cut cells (Table ST21), a support at least as stiff as one acting on the cut surface alone; it lowers the exact compliance and so narrows the macroscale underestimation rather than widening it.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7.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surrogate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that is, the condensed energy with the transpose of the complete extension, Propositions 1–4 and the correction</w:t>
      </w:r>
      <w:r>
        <w:t xml:space="preserve"> </w:t>
      </w:r>
      <m:oMath>
        <m:r>
          <m:rPr>
            <m:scr m:val="script"/>
            <m:sty m:val="p"/>
          </m:rPr>
          <m:t>W</m:t>
        </m:r>
      </m:oMath>
      <w:r>
        <w:t xml:space="preserve">, uses the symmetry and positive semidefiniteness of the cell stiffness and the positive definiteness of its interior block, not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box, the trilinear corner parameters, the optional planar cut and the settings of Table 1 (background mesh</w:t>
      </w:r>
      <w:r>
        <w:t xml:space="preserve"> </w:t>
      </w:r>
      <m:oMath>
        <m:r>
          <m:t>n</m:t>
        </m:r>
        <m:r>
          <m:rPr>
            <m:sty m:val="p"/>
          </m:rPr>
          <m:t>=</m:t>
        </m:r>
        <m:r>
          <m:t>32</m:t>
        </m:r>
      </m:oMath>
      <w:r>
        <w:t xml:space="preserve">, material, ghost penalty, retained space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it keeps the P cell's position, cut plane and stratum (uncut or cut), and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a lattice is generated, it keeps the largest face-connected set of active elements of the whole lattice rather than of each cell and removes fragments of less than a quarter of an element that have no ghost-penalty support, repeating both steps until nothing changes; the retained DOFs of neighbouring cells then coincide on their shared faces except along the cell edges (unmatched DOFs are treated as in Section 2.3). The sixteen single cells are the twins of the validation cells fresh_val_2000 to fresh_val_2015 (geometry identifiers gval_000 to gval_1500 in the data archive), which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w:t>
      </w:r>
    </w:p>
    <w:p>
      <w:pPr>
        <w:pStyle w:val="BodyText"/>
      </w:pPr>
      <w:r>
        <w:t xml:space="preserve">Propositions 1–3 and the properties of Section 4.1 hold for these cells as for the P cells, since assumptions (A1)–(A3) concern the stiffness and the assembly, and the network extension is admissible and reproduces rigid-body motion by construction. Proposition 4 holds under its spectral condition, which, as for the cells of Sections 5.8–5.10, was not checked on the gyroid cells.</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continued for 8,000 training steps on 96 P training cells and 18 gyroid twins of P training cells (cells with at most 420,000 DOFs), with the correction 8 /</w:t>
      </w:r>
      <w:r>
        <w:t xml:space="preserve"> </w:t>
      </w:r>
      <m:oMath>
        <m:sSub>
          <m:e>
            <m:r>
              <m:t>Q</m:t>
            </m:r>
          </m:e>
          <m:sub>
            <m:r>
              <m:t>1</m:t>
            </m:r>
          </m:sub>
        </m:sSub>
        <m:r>
          <m:rPr>
            <m:sty m:val="p"/>
          </m:rPr>
          <m:t>(</m:t>
        </m:r>
        <m:r>
          <m:t>17</m:t>
        </m:r>
        <m:r>
          <m:rPr>
            <m:sty m:val="p"/>
          </m:rPr>
          <m:t>)</m:t>
        </m:r>
      </m:oMath>
      <w:r>
        <w:t xml:space="preserve"> </w:t>
      </w:r>
      <w:r>
        <w:t xml:space="preserve">/ 8 inside the training loop as in Section 4.5. Its checkpoint was selected on the P validation list only (selection score 0.00339, against 0.00237 for NICE; Table ST01), so the sixteen gyroid twins and the gyroid lattice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directions per loading class (Appendix G.2); the directional energy error of Eq. (5) was averaged over the directions of each cell and then over the sixteen cells with equal weights, as in Section 5.1 (Table ST22). Zero-shot, the mean error under consistent tractions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consistent tractions, the three gyroid cells with the largest errors are the twins of the three P cells with the largest NICE errors among the sixteen (fresh_val_2007, 2012 and 2015). The correction is the same as on the P cells; what does not carry over is the accuracy of the network's initial field, which belongs to the family on which the network was trained.</w:t>
      </w:r>
    </w:p>
    <w:p>
      <w:pPr>
        <w:pStyle w:val="BodyText"/>
      </w:pPr>
      <w:r>
        <w:t xml:space="preserve">After the continuation, the means under the six load and support classes fall by factors of 5.8 to 10.2, under consistent tractions from 4.48% to 0.74% and the largest cell mean from 25.6% to 2.67%; under the imposed polynomial and multiscale displacements they fall by factors of 1.6 and 1.2. They remain 6 to 23 times those of NICE on the P twins (11 times under consistent tractions). The reduction is uneven across cells: the twin of H2 (fresh_val_2010) now has the largest errors under nodal forces and consistent tractions,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Directional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Loading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Consistent tractions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consistent tractions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forces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forces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directions.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(eight cells, four of them cut, every cell learned; 160,629 free retained DOFs against 139,002 for the P block)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the learned operators add 20 and 22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operators,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extension, the correction and the assembly were applied to the gyroid cells without modification, and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6 to 23 times the P level, and brings the gyroid lattice to 0.23% in compliance and 1.84% in sensitivity under the face loads, while its class means on the P validation cells are 1.1 to 1.7 times those of NICE. Whether more gyroid data and training reach the P level was not tested. A new TPMS family therefore needs new training data (Section 6.3), but not a new construction.</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stratum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p>
      <w:pPr>
        <w:pStyle w:val="BodyText"/>
      </w:pPr>
      <w:r>
        <w:drawing>
          <wp:inline>
            <wp:extent cx="5334000" cy="4991242"/>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91242"/>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Uncorrected, (g–i) Smoothing-trained and (j–l) the base network with the correction applied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target-cell sensitivity error against the target's exact energy share</w:t>
      </w:r>
      <w:r>
        <w:t xml:space="preserve"> </w:t>
      </w:r>
      <m:oMath>
        <m:r>
          <m:t>w</m:t>
        </m:r>
      </m:oMath>
      <w:r>
        <w:t xml:space="preserve">; lines are least-squares fits in logarithmic coordinates, with the slope given in each panel. All panels share the error axis. The circled load in (a–c) is U1/x under the neighbour-face z traction;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2026-10-08T15:49:38Z</dcterms:created>
  <dcterms:modified xsi:type="dcterms:W3CDTF">2026-10-08T15:49:38Z</dcterms:modified>
</cp:coreProperties>
</file>

<file path=docProps/custom.xml><?xml version="1.0" encoding="utf-8"?>
<Properties xmlns="http://schemas.openxmlformats.org/officeDocument/2006/custom-properties" xmlns:vt="http://schemas.openxmlformats.org/officeDocument/2006/docPropsVTypes"/>
</file>