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key below also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corrected</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heavy, moderate and light retained-volume strata. In configuration labels such as U1/x, x and y give the neighbour configuration of Figure 8.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corrected</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retained directions; orientation 0 is the identity. The training set of 591 comprises 304 of the base network's 305 geometries (one cell that behaved as a near-mechanism was removed) and 287 further training geometries. By the geometry rotation described below, each 15,000-step continuation visits at most 153 of its 591 training geometries; the base network visited all 305 of its own over 40,000 training steps. Uncorrected, Smoothing-trained and NICE use the same seed and split, so they draw their geometries in the same order.</w:t>
      </w:r>
    </w:p>
    <w:p>
      <w:pPr>
        <w:pStyle w:val="BodyText"/>
      </w:pPr>
      <w:r>
        <w:t xml:space="preserve">Training settings, common to the variants of Table 2:</w:t>
      </w:r>
    </w:p>
    <w:p>
      <w:pPr>
        <w:pStyle w:val="Compact"/>
        <w:numPr>
          <w:ilvl w:val="0"/>
          <w:numId w:val="1001"/>
        </w:numPr>
      </w:pPr>
      <w:r>
        <w:t xml:space="preserve">Batches of 16 directions;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(18):</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or 5.0 h and 4.8 h including all selection evaluations; peak GPU memory during training was 29.6 GiB. The base network was initialised from parameters obtained in three preceding training stages (7.5 GPU-hours together). Together with these stages, the two runs including their selection evaluations and the generation of the direction sets and exact sensitivities of the 691 geometries of the data split, its 591 training and 100 validation geometries (including the 80 of Table ST02), which took about 42 GPU-hours (Section 5.1), make up the offline cost of NICE, about 60 GPU-hours.</w:t>
      </w:r>
    </w:p>
    <w:p>
      <w:pPr>
        <w:pStyle w:val="BodyText"/>
      </w:pPr>
      <w:r>
        <w:t xml:space="preserve">For the base network, Uncorrected, Smoothing-trained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Within a geometry family</w:t>
      </w:r>
      <w:r>
        <w:t xml:space="preserve"> </w:t>
      </w:r>
      <m:oMath>
        <m:r>
          <m:t>f</m:t>
        </m:r>
      </m:oMath>
      <w:r>
        <w:t xml:space="preserve"> </w:t>
      </w:r>
      <w:r>
        <w:t xml:space="preserve">(the geometries of the training-time validation list generated from one thickness field; an independently generated validation cell forms a family of its own) 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classes with labels, and</w:t>
      </w:r>
      <w:r>
        <w:t xml:space="preserve"> </w:t>
      </w:r>
      <m:oMath>
        <m:sSubSup>
          <m:e>
            <m:r>
              <m:t>ε</m:t>
            </m:r>
          </m:e>
          <m:sub>
            <m:r>
              <m:t>f</m:t>
            </m:r>
            <m:r>
              <m:t>v</m:t>
            </m:r>
          </m:sub>
          <m:sup>
            <m:r>
              <m:rPr>
                <m:sty m:val="p"/>
              </m:rPr>
              <m:t>(</m:t>
            </m:r>
            <m:r>
              <m:t>90</m:t>
            </m:r>
            <m:r>
              <m:rPr>
                <m:sty m:val="p"/>
              </m:rPr>
              <m:t>)</m:t>
            </m:r>
          </m:sup>
        </m:sSubSup>
      </m:oMath>
      <w:r>
        <w:t xml:space="preserve"> </w:t>
      </w:r>
      <w:r>
        <w:t xml:space="preserve">the class-average 90th percentile of directional energy error.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Uncorrected and NICE were scored at 7,500 and 15,000 training steps (0.0944 and 0.0906; 0.00281 and 0.00237); in both cases the final parameters scored lower and were retained.</w:t>
      </w:r>
    </w:p>
    <w:p>
      <w:pPr>
        <w:pStyle w:val="Compact"/>
        <w:numPr>
          <w:ilvl w:val="0"/>
          <w:numId w:val="1002"/>
        </w:numPr>
      </w:pPr>
      <w:r>
        <w:t xml:space="preserve">Smoothing-trained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blocks of eight, a uniform-field-equivalent centre volume fraction is stratified between 0.1 and 0.4; nonuniform affine or trilinear shapes are scaled within these constraints. This centre-density parameter is a sampling coordinate,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stratifies</w:t>
      </w:r>
      <w:r>
        <w:t xml:space="preserve"> </w:t>
      </w:r>
      <m:oMath>
        <m:r>
          <m:t>ϑ</m:t>
        </m:r>
      </m:oMath>
      <w:r>
        <w:t xml:space="preserve"> </w:t>
      </w:r>
      <w:r>
        <w:t xml:space="preserve">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occupy the angle–volume strata.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Stratum</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box before intersecting it with the TPMS band. No two validation geometries coincide up to a symmetry of the cube. At</w:t>
      </w:r>
      <w:r>
        <w:t xml:space="preserve"> </w:t>
      </w:r>
      <m:oMath>
        <m:r>
          <m:t>n</m:t>
        </m:r>
        <m:r>
          <m:rPr>
            <m:sty m:val="p"/>
          </m:rPr>
          <m:t>=</m:t>
        </m:r>
        <m:r>
          <m:t>32</m:t>
        </m:r>
      </m:oMath>
      <w:r>
        <w:t xml:space="preserve">, the retained sets of the 80 geometries have a median of 23,604 DOFs and range from 2,679 to 45,900 DOFs; the active DOFs have a median of 221,442 and range from 2,757 to 439,092. The selected spectral and assembly cases are identified in the geometry key of Supplementary Section R1; they are reported as test cases rather than a random sample for population inference.</w:t>
      </w:r>
    </w:p>
    <w:p>
      <w:pPr>
        <w:pStyle w:val="Heading2"/>
      </w:pPr>
      <w:r>
        <w:t xml:space="preserve">Table ST03. Energy error by direction class (identity orientation)</w:t>
      </w:r>
    </w:p>
    <w:p>
      <w:pPr>
        <w:pStyle w:val="FirstParagraph"/>
      </w:pPr>
      <w:r>
        <w:t xml:space="preserve">Entries are geometry-equal mean / maximum of geometry-level direction means, in percent. The maximum is not a worst individual direction. "Base network, corrected" denotes the base network with NICE's correction applied at deployment, without retraining. The last column restricts NICE to the 60 validation geometries that entered neither training nor checkpoint selection (the other 20 entered checkpoint selection, Table ST01). For NICE under consistent tractions, the 5,120 individual sampled directions of the 80 geometries have a 95th percentile of 0.331%, a 99th percentile of 0.693% and a maximum of 1.24% (3,840 directions of the 60 geometries outside checkpoint selection: 0.355%, 0.734%, 1.24%). Under consistent tractions the mean of the corrected base network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w:t>
            </w:r>
          </w:p>
        </w:tc>
        <w:tc>
          <w:tcPr/>
          <w:p>
            <w:pPr>
              <w:pStyle w:val="Compact"/>
            </w:pPr>
            <w:r>
              <w:t xml:space="preserve">Smoothing-trained</w:t>
            </w:r>
          </w:p>
        </w:tc>
        <w:tc>
          <w:tcPr/>
          <w:p>
            <w:pPr>
              <w:pStyle w:val="Compact"/>
            </w:pPr>
            <w:r>
              <w:t xml:space="preserve">Base network, corrected</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consistent tractions, NICE's stratum means on the 60 geometries outside checkpoint selection are 0.020% (uncut), 0.054% (light), 0.105% (moderate) and 0.126% (heavy), and the five largest geometry means of the 80 (0.651%, 0.540%, 0.487%, 0.303%, 0.287%) all belong to them.</w:t>
      </w:r>
    </w:p>
    <w:p>
      <w:pPr>
        <w:pStyle w:val="Heading3"/>
      </w:pPr>
      <w:r>
        <w:t xml:space="preserve">ST03b. Nodal-force and consistent-traction geometry-stratum means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Stratum</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force/force_c</w:t>
            </w:r>
          </w:p>
        </w:tc>
        <w:tc>
          <w:tcPr/>
          <w:p>
            <w:pPr>
              <w:pStyle w:val="Compact"/>
            </w:pPr>
            <w:r>
              <w:t xml:space="preserve">Smoothing-trained force/force_c</w:t>
            </w:r>
          </w:p>
        </w:tc>
        <w:tc>
          <w:tcPr/>
          <w:p>
            <w:pPr>
              <w:pStyle w:val="Compact"/>
            </w:pPr>
            <w:r>
              <w:t xml:space="preserve">Base network, corrected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directions of Table ST03. The stiffness-scaled support and neighbour-induced classes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retained-displacement directions of the cell's consistent-traction (force_c) validation set; the maximum relative difference between returned work and field energy, the deployed-versus-training field difference and the maximum rigid-body energy ratio, all over the same eight directions, which also normalise the rigid-body ratio; the ghost-penalty share of the exact field energy, mean over directions (consistent tractions / nodal forces); and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consistent tractions,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share (consistent tractions / nodal forces)</w:t>
            </w:r>
          </w:p>
        </w:tc>
        <w:tc>
          <w:tcPr/>
          <w:p>
            <w:pPr>
              <w:pStyle w:val="Compact"/>
            </w:pPr>
            <m:oMath>
              <m:r>
                <m:t>δ</m:t>
              </m:r>
            </m:oMath>
            <w:r>
              <w:t xml:space="preserve">,</w:t>
            </w:r>
            <w:r>
              <w:t xml:space="preserve"> </w:t>
            </w:r>
            <m:oMath>
              <m:r>
                <m:t>κ</m:t>
              </m:r>
            </m:oMath>
            <w:r>
              <w:t xml:space="preserve">: base network (consistent tractions)</w:t>
            </w:r>
          </w:p>
        </w:tc>
        <w:tc>
          <w:tcPr/>
          <w:p>
            <w:pPr>
              <w:pStyle w:val="Compact"/>
            </w:pPr>
            <m:oMath>
              <m:r>
                <m:t>δ</m:t>
              </m:r>
            </m:oMath>
            <w:r>
              <w:t xml:space="preserve">,</w:t>
            </w:r>
            <w:r>
              <w:t xml:space="preserve"> </w:t>
            </w:r>
            <m:oMath>
              <m:r>
                <m:t>κ</m:t>
              </m:r>
            </m:oMath>
            <w:r>
              <w:t xml:space="preserve">: NICE (consistent tractions)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w:t>
      </w:r>
    </w:p>
    <w:p>
      <w:pPr>
        <w:pStyle w:val="Heading3"/>
      </w:pPr>
      <w:r>
        <w:t xml:space="preserve">ST05a. Energy and sensitivity errors</w:t>
      </w:r>
    </w:p>
    <w:p>
      <w:pPr>
        <w:pStyle w:val="FirstParagraph"/>
      </w:pPr>
      <w:r>
        <w:t xml:space="preserve">Directional means (%) at fixed retained displacement.</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7a,b); smoothed values are tabulated for the base network under consistent tractions, and — marks entries not tabulated. The first-order share is the Frobenius norm of the linear error array divided by the sum of the Frobenius norms of the linear and quadratic arrays (%), at</w:t>
      </w:r>
      <w:r>
        <w:t xml:space="preserve"> </w:t>
      </w:r>
      <m:oMath>
        <m:r>
          <m:t>k</m:t>
        </m:r>
        <m:r>
          <m:rPr>
            <m:sty m:val="p"/>
          </m:rPr>
          <m:t>=</m:t>
        </m:r>
        <m:r>
          <m:t>0</m:t>
        </m:r>
      </m:oMath>
      <w:r>
        <w:t xml:space="preserve">; each array includes all eight corners and all evaluated directions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share</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consistent-traction directions; each fraction uses its own interior-energy denominator (Eq. (13)). Cumulative curves, nodal-force results and directional percentiles are shown in Figure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which starts the power iteration from its own random vector (Appendix F.2); its interval therefore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consistent tractions after eight smoothing steps, one coarse-grid correction and eight smoothing steps applied to the base network's field at fixed retained displacement;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 with</w:t>
      </w:r>
      <w:r>
        <w:t xml:space="preserve"> </w:t>
      </w:r>
      <m:oMath>
        <m:sSup>
          <m:e>
            <m:r>
              <m:t>V</m:t>
            </m:r>
          </m:e>
          <m:sup>
            <m:r>
              <m:t>T</m:t>
            </m:r>
          </m:sup>
        </m:sSup>
        <m:r>
          <m:t>A</m:t>
        </m:r>
        <m:r>
          <m:t>V</m:t>
        </m:r>
      </m:oMath>
      <w:r>
        <w:t xml:space="preserve"> </w:t>
      </w:r>
      <w:r>
        <w:t xml:space="preserve">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directional energy error (%) under consistent tractions (32 validation directions, fixed retained displacement)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3. Harmonic and zero starting fields receive the exact rigid-body split.</w:t>
      </w:r>
    </w:p>
    <w:p>
      <w:pPr>
        <w:pStyle w:val="BodyText"/>
      </w:pPr>
      <w:r>
        <w:t xml:space="preserve">The harmonic starting field is the graph-harmonic extension of the deformation part of the retained displacement.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extended separately by</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extended, the rigid field</w:t>
      </w:r>
      <w:r>
        <w:t xml:space="preserve"> </w:t>
      </w:r>
      <m:oMath>
        <m:r>
          <m:t>R</m:t>
        </m:r>
        <m:r>
          <m:t>c</m:t>
        </m:r>
      </m:oMath>
      <w:r>
        <w:t xml:space="preserve"> </w:t>
      </w:r>
      <w:r>
        <w:t xml:space="preserve">is added, and the retained values are restored. The extension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continuous-neighbour assembly results</w:t>
      </w:r>
    </w:p>
    <w:p>
      <w:pPr>
        <w:pStyle w:val="FirstParagraph"/>
      </w:pPr>
      <w:r>
        <w:t xml:space="preserve">Maximum relative compliance and field-based sensitivity-vector errors (%) over the six face loads, compared with the 3% reference. Sensitivity maxima include both cells. The target cell uses the specified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corrected</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corrected</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corrected</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corrected</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corrected</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corrected</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corrected</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corrected</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corrected</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corrected</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corrected</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corrected</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corrected</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corrected</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Cut-surface responses of the same configurations are in Table ST09. For the base network on U1/x under the neighbour-face z traction (Section 5.6, Figure 10b), the target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target-cell sensitivity error 5.82992%.</w:t>
      </w:r>
    </w:p>
    <w:p>
      <w:pPr>
        <w:pStyle w:val="Heading4"/>
      </w:pPr>
      <w:r>
        <w:t xml:space="preserve">ST08b. Held-out two-cell configurations (NICE)</w:t>
      </w:r>
    </w:p>
    <w:p>
      <w:pPr>
        <w:pStyle w:val="FirstParagraph"/>
      </w:pPr>
      <w:r>
        <w:t xml:space="preserve">Cells outside checkpoint selection: the five validation geometries with NICE's largest single-cell errors and one random evaluable cell per stratum. Maximum relative errors (%) over the six face loads (compliance) and over both cells (thickness sensitivity); the neighbour is exact and the target learned, as in Table ST08.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target; combinations without a row were not evaluated. Sensitivity maxima include both cells. The target is learned and the neighbour exact. Values above the common 3% line are marked in bold, as in the cut-surface-traction comparison of Section 5.6.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corrected</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corrected</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corrected</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corrected</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corrected</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corrected</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corrected</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corrected</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corrected</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corrected</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against background refinement and the ghost-penalty coefficient;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carries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while</w:t>
      </w:r>
      <w:r>
        <w:t xml:space="preserve"> </w:t>
      </w:r>
      <m:oMath>
        <m:r>
          <m:t>n</m:t>
        </m:r>
        <m:r>
          <m:rPr>
            <m:sty m:val="p"/>
          </m:rPr>
          <m:t>=</m:t>
        </m:r>
        <m:r>
          <m:t>48</m:t>
        </m:r>
      </m:oMath>
      <w:r>
        <w:t xml:space="preserve"> </w:t>
      </w:r>
      <w:r>
        <w:t xml:space="preserve">differs from</w:t>
      </w:r>
      <w:r>
        <w:t xml:space="preserve"> </w:t>
      </w:r>
      <m:oMath>
        <m:r>
          <m:t>n</m:t>
        </m:r>
        <m:r>
          <m:rPr>
            <m:sty m:val="p"/>
          </m:rPr>
          <m:t>=</m:t>
        </m:r>
        <m:r>
          <m:t>64</m:t>
        </m:r>
      </m:oMath>
      <w:r>
        <w:t xml:space="preserve"> </w:t>
      </w:r>
      <w:r>
        <w:t xml:space="preserve">by 1.08%: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(penalty energy</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at</w:t>
      </w:r>
      <w:r>
        <w:t xml:space="preserve"> </w:t>
      </w:r>
      <m:oMath>
        <m:r>
          <m:t>γ</m:t>
        </m:r>
        <m:r>
          <m:rPr>
            <m:sty m:val="p"/>
          </m:rPr>
          <m:t>=</m:t>
        </m:r>
        <m:sSup>
          <m:e>
            <m:r>
              <m:t>10</m:t>
            </m:r>
          </m:e>
          <m:sup>
            <m:r>
              <m:rPr>
                <m:sty m:val="p"/>
              </m:rPr>
              <m:t>−</m:t>
            </m:r>
            <m:r>
              <m:t>3</m:t>
            </m:r>
          </m:sup>
        </m:sSup>
      </m:oMath>
      <w:r>
        <w:t xml:space="preserve">), and refining the volume integration changes both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clamped on one box face and loaded by unit consistent tractions in the three directions on another face, solved at</w:t>
      </w:r>
      <w:r>
        <w:t xml:space="preserve"> </w:t>
      </w:r>
      <m:oMath>
        <m:r>
          <m:t>n</m:t>
        </m:r>
        <m:r>
          <m:rPr>
            <m:sty m:val="p"/>
          </m:rPr>
          <m:t>=</m:t>
        </m:r>
        <m:r>
          <m:t>24</m:t>
        </m:r>
      </m:oMath>
      <w:r>
        <w:t xml:space="preserve"> </w:t>
      </w:r>
      <w:r>
        <w:t xml:space="preserve">to 64 by a sparse direct solver; H2, whose only material-bearing box face is the clamped one, is loaded instead by a unit-resultant consistent body force. Entries: signed compliance deviation from</w:t>
      </w:r>
      <w:r>
        <w:t xml:space="preserve"> </w:t>
      </w:r>
      <m:oMath>
        <m:r>
          <m:t>n</m:t>
        </m:r>
        <m:r>
          <m:rPr>
            <m:sty m:val="p"/>
          </m:rPr>
          <m:t>=</m:t>
        </m:r>
        <m:r>
          <m:t>64</m:t>
        </m:r>
      </m:oMath>
      <w:r>
        <w:t xml:space="preserve"> </w:t>
      </w:r>
      <w:r>
        <w:t xml:space="preserve">with the largest magnitude over the three loads / largest relative deviation of the thickness sensitivity vector, both in percent. H2 could not be meshed at</w:t>
      </w:r>
      <w:r>
        <w:t xml:space="preserve"> </w:t>
      </w:r>
      <m:oMath>
        <m:r>
          <m:t>n</m:t>
        </m:r>
        <m:r>
          <m:rPr>
            <m:sty m:val="p"/>
          </m:rPr>
          <m:t>=</m:t>
        </m:r>
        <m:r>
          <m:t>56</m:t>
        </m:r>
      </m:oMath>
      <w:r>
        <w:t xml:space="preserve">. Production references use</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Figure S01(c) reports a step-refinement study of the numerical thickness derivative on four cells: relative to the production step</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of the central difference,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with differences of the compliance recomputed at the perturbed designs to</w:t>
      </w:r>
      <w:r>
        <w:t xml:space="preserve"> </w:t>
      </w:r>
      <m:oMath>
        <m:r>
          <m:t>4</m:t>
        </m:r>
        <m:r>
          <m:rPr>
            <m:sty m:val="p"/>
          </m:rPr>
          <m:t>×</m:t>
        </m:r>
        <m:sSup>
          <m:e>
            <m:r>
              <m:t>10</m:t>
            </m:r>
          </m:e>
          <m:sup>
            <m:r>
              <m:rPr>
                <m:sty m:val="p"/>
              </m:rPr>
              <m:t>−</m:t>
            </m:r>
            <m:r>
              <m:t>8</m:t>
            </m:r>
          </m:sup>
        </m:sSup>
      </m:oMath>
      <w:r>
        <w:t xml:space="preserve">. An element-level check over the partially filled elements of the eight detailed cells shows that the discrete moments do not preserve the nesting behind Eq. (H.6) everywhere. The element stiffnesses are positive semidefinite to rounding, but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and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production central difference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of the retained representation: Bernstein-restricted box faces</w:t>
      </w:r>
    </w:p>
    <w:p>
      <w:pPr>
        <w:pStyle w:val="FirstParagraph"/>
      </w:pPr>
      <w:r>
        <w:t xml:space="preserve">This note gives the complete results of the ablation summarised in Section 5.7: every cell operator is the exact Schur complement, and only the representation of the retained box-face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box faces of each cell. Its global map</w:t>
      </w:r>
      <w:r>
        <w:t xml:space="preserve"> </w:t>
      </w:r>
      <m:oMath>
        <m:sSub>
          <m:e>
            <m:r>
              <m:t>G</m:t>
            </m:r>
          </m:e>
          <m:sub>
            <m:r>
              <m:t>r</m:t>
            </m:r>
          </m:sub>
        </m:sSub>
      </m:oMath>
      <w:r>
        <w:t xml:space="preserve"> </w:t>
      </w:r>
      <w:r>
        <w:t xml:space="preserve">respects the DOFs shared between cells, while cut-band DOFs outside the box trace retain identity columns. The supported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exact local Schur operators within this restricted trace space, so the interior is exact and every error comes from the restricted boundary. Two variants are examined: every box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trial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retained space, and nested boundary spaces give a nondecreasing Ritz compliance. The correction preserves every retained DOF and changes the interior field</w:t>
      </w:r>
      <w:r>
        <w:t xml:space="preserve"> </w:t>
      </w:r>
      <m:oMath>
        <m:r>
          <m:t>u</m:t>
        </m:r>
        <m:r>
          <m:rPr>
            <m:sty m:val="p"/>
          </m:rPr>
          <m:t>=</m:t>
        </m:r>
        <m:r>
          <m:t>F</m:t>
        </m:r>
        <m:r>
          <m:t>B</m:t>
        </m:r>
        <m:r>
          <m:t>U</m:t>
        </m:r>
      </m:oMath>
      <w:r>
        <w:t xml:space="preserve">; its ordering comes from the contraction of</w:t>
      </w:r>
      <w:r>
        <w:t xml:space="preserve"> </w:t>
      </w:r>
      <m:oMath>
        <m:r>
          <m:t>H</m:t>
        </m:r>
      </m:oMath>
      <w:r>
        <w:t xml:space="preserve"> </w:t>
      </w:r>
      <w:r>
        <w:t xml:space="preserve">(Section 4.3), although two such interior spaces need not be nested. In neither case is a local sensitivity norm ordered.</w:t>
      </w:r>
    </w:p>
    <w:p>
      <w:pPr>
        <w:pStyle w:val="Heading3"/>
      </w:pPr>
      <w:r>
        <w:t xml:space="preserve">S2.2. Conditions</w:t>
      </w:r>
    </w:p>
    <w:p>
      <w:pPr>
        <w:pStyle w:val="Compact"/>
        <w:numPr>
          <w:ilvl w:val="0"/>
          <w:numId w:val="1003"/>
        </w:numPr>
      </w:pPr>
      <w:r>
        <w:t xml:space="preserve">Pairs in configuration x (Figure 8; Supplementary Note S4), each target with its exact continuous-thickness neighbour, for U1, M1, M2 and H1; the interface-only variant was run for U1, M1 and M2.</w:t>
      </w:r>
    </w:p>
    <w:p>
      <w:pPr>
        <w:pStyle w:val="Compact"/>
        <w:numPr>
          <w:ilvl w:val="0"/>
          <w:numId w:val="1003"/>
        </w:numPr>
      </w:pPr>
      <w:r>
        <w:t xml:space="preserve">One cell per substructure, the fine-scale consistent face tractions used throughout, and no oversampling.</w:t>
      </w:r>
    </w:p>
    <w:p>
      <w:pPr>
        <w:pStyle w:val="Compact"/>
        <w:numPr>
          <w:ilvl w:val="0"/>
          <w:numId w:val="1003"/>
        </w:numPr>
      </w:pPr>
      <w:r>
        <w:t xml:space="preserve">Loads: the three target-face tractions and the three neighbour-face tractions.</w:t>
      </w:r>
    </w:p>
    <w:p>
      <w:pPr>
        <w:pStyle w:val="Compact"/>
        <w:numPr>
          <w:ilvl w:val="0"/>
          <w:numId w:val="1003"/>
        </w:numPr>
      </w:pPr>
      <w:r>
        <w:t xml:space="preserve">The non-box cut-band DOFs remain unrestricted, which favours the restricted model (controlled DOFs in Table ST11).</w:t>
      </w:r>
    </w:p>
    <w:p>
      <w:pPr>
        <w:pStyle w:val="Compact"/>
        <w:numPr>
          <w:ilvl w:val="0"/>
          <w:numId w:val="1003"/>
        </w:numPr>
      </w:pPr>
      <w:r>
        <w:t xml:space="preserve">The comparison concerns accuracy, not accuracy at equal cost.</w:t>
      </w:r>
    </w:p>
    <w:p>
      <w:pPr>
        <w:pStyle w:val="Heading3"/>
      </w:pPr>
      <w:r>
        <w:t xml:space="preserve">Table ST11. Bernstein restriction of the box-face displacements</w:t>
      </w:r>
    </w:p>
    <w:p>
      <w:pPr>
        <w:pStyle w:val="FirstParagraph"/>
      </w:pPr>
      <w:r>
        <w:t xml:space="preserve">Each target cell and its continuous-thickness neighbour are assembled in configuration x using exact cell operators. Degree r applies to the restricted box faces; cut-band DOFs retain their identity representation. Controlled DOFs include these unrestricted cut-band DOFs. All errors are maxima in the stated load set (%), relative to the full retained-space solution; sensitivity columns refer to the target-cell vector. Target-face loads are the three unit consistent tractions on the target's loaded face, and the six-load set adds the three neighbour-face tractions; the maxima of the two load sets need not occur under the same load.</w:t>
      </w:r>
    </w:p>
    <w:p>
      <w:pPr>
        <w:pStyle w:val="Heading4"/>
      </w:pPr>
      <w:r>
        <w:t xml:space="preserve">ST11a. Every box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The supported systems on the full retained space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5 and records their phases (Table ST12), together with a per-cell cost comparison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taken with their thickness corners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by unit consistent tractions on the face</w:t>
      </w:r>
      <w:r>
        <w:t xml:space="preserve"> </w:t>
      </w:r>
      <m:oMath>
        <m:r>
          <m:t>y</m:t>
        </m:r>
        <m:r>
          <m:rPr>
            <m:sty m:val="p"/>
          </m:rPr>
          <m:t>=</m:t>
        </m:r>
        <m:r>
          <m:rPr>
            <m:sty m:val="p"/>
          </m:rPr>
          <m:t>max</m:t>
        </m:r>
      </m:oMath>
      <w:r>
        <w:t xml:space="preserve"> </w:t>
      </w:r>
      <w:r>
        <w:t xml:space="preserve">in the three Cartesian directions; routes (a) and (b) additionally solve three random loads.</w:t>
      </w:r>
    </w:p>
    <w:p>
      <w:pPr>
        <w:pStyle w:val="BodyText"/>
      </w:pPr>
      <w:r>
        <w:t xml:space="preserve">Route (a), the whole-lattice direct solution, assembles the full cut-cell stiffness of every cell, retained and interior degrees of freedom, into one global matrix. The retained degrees of freedom are numbered and coupled exactly as in the learned lattice, with the same clamp, free set and load vectors, and the interior degrees of freedom of each cell follow the free retained ones. The matrix is scaled symmetrically by its diagonal and factorised by MKL PARDISO 2026.1 on the CPU as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as in route (a), then the dense condensed matrix of the cell on its retained degrees of freedom by PARDISO's Cholesky factorisation with the Schur-complement option (iparm(36)),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with NICE on the GPU: cell preparation (cell construction, stiffness and moment assembly, network input and encoding, and a first application that prepares the correction), assembly of the lattice and of</w:t>
      </w:r>
      <w:r>
        <w:t xml:space="preserve"> </w:t>
      </w:r>
      <m:oMath>
        <m:sSub>
          <m:e>
            <m:r>
              <m:rPr>
                <m:scr m:val="double-struck"/>
                <m:sty m:val="p"/>
              </m:rPr>
              <m:t>K</m:t>
            </m:r>
          </m:e>
          <m:sub>
            <m:r>
              <m:t>P</m:t>
            </m:r>
            <m:r>
              <m:t>P</m:t>
            </m:r>
          </m:sub>
        </m:sSub>
      </m:oMath>
      <w:r>
        <w:t xml:space="preserve">, preconditioner setup (the balanced two-level action of Supplementary Note S4.1), conjugate gradients for the three consistent loads to a recursive relative residual of</w:t>
      </w:r>
      <w:r>
        <w:t xml:space="preserve"> </w:t>
      </w:r>
      <m:oMath>
        <m:sSup>
          <m:e>
            <m:r>
              <m:t>10</m:t>
            </m:r>
          </m:e>
          <m:sup>
            <m:r>
              <m:rPr>
                <m:sty m:val="p"/>
              </m:rPr>
              <m:t>−</m:t>
            </m:r>
            <m:r>
              <m:t>6</m:t>
            </m:r>
          </m:sup>
        </m:sSup>
      </m:oMath>
      <w:r>
        <w:t xml:space="preserve"> </w:t>
      </w:r>
      <w:r>
        <w:t xml:space="preserve">(reached at</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and the field-based sensitivities</w:t>
      </w:r>
      <w:r>
        <w:t xml:space="preserve"> </w:t>
      </w:r>
      <m:oMath>
        <m:sSub>
          <m:e>
            <m:acc>
              <m:accPr>
                <m:chr m:val="̃"/>
              </m:accPr>
              <m:e>
                <m:r>
                  <m:t>s</m:t>
                </m:r>
              </m:e>
            </m:acc>
          </m:e>
          <m:sub>
            <m:r>
              <m:t>c</m:t>
            </m:r>
          </m:sub>
        </m:sSub>
      </m:oMath>
      <w:r>
        <w:t xml:space="preserve"> </w:t>
      </w:r>
      <w:r>
        <w:t xml:space="preserve">of Eq. (9) for the three loads, obtained by reverse-mode differentiation of the moment integrals at the fixed recovered fields. Its arithmetic is that of the timed route of Table 1: the network and the correction's smoothing and coarse solve in single precision, the stiffness products of the condensed action in double precision (Appendix F.2). The three routes read the same generated cell geometries; geometry generation is not timed.</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Cut-band DOFs off the box faces (share of free retained)</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(GPU memory: peak allocated by the process; CPU memory: resident set size after cell preparation). Learned substructures resident on the GPU (Supplementary Note S4.1): all cells of the four-cell lattices and four cells of each eight-cell lattice.</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local extensions.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retained,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8, the six face loads are the three Cartesian traction directions applied to the target face and the same three directions applied to the neighbour face. The consistent-load implementation integrates the Q2 surface shape functions, normalises each nodal load to unit resultant before support elimination, and then eliminates clamped entries. Three similarly normalised consistent tractions on the target cut surface are reported separately when present. The neighbour is an uncut cell; where the target's cut plane meets the shared face, the pair is therefore a test configuration rather than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surrogate compliance</w:t>
      </w:r>
    </w:p>
    <w:p>
      <w:pPr>
        <w:pStyle w:val="FirstParagraph"/>
      </w:pPr>
      <w:r>
        <w:t xml:space="preserve">For the lattices of Section 5.8 and their two</w:t>
      </w:r>
      <w:r>
        <w:t xml:space="preserve"> </w:t>
      </w:r>
      <m:oMath>
        <m:r>
          <m:t>2</m:t>
        </m:r>
        <m:r>
          <m:rPr>
            <m:sty m:val="p"/>
          </m:rPr>
          <m:t>×</m:t>
        </m:r>
        <m:r>
          <m:t>2</m:t>
        </m:r>
        <m:r>
          <m:rPr>
            <m:sty m:val="p"/>
          </m:rPr>
          <m:t>×</m:t>
        </m:r>
        <m:r>
          <m:t>1</m:t>
        </m:r>
      </m:oMath>
      <w:r>
        <w:t xml:space="preserve"> </w:t>
      </w:r>
      <w:r>
        <w:t xml:space="preserve">layers, solved with NICE in double-precision correction arithmetic to a recursive residual of</w:t>
      </w:r>
      <w:r>
        <w:t xml:space="preserve"> </w:t>
      </w:r>
      <m:oMath>
        <m:sSup>
          <m:e>
            <m:r>
              <m:t>10</m:t>
            </m:r>
          </m:e>
          <m:sup>
            <m:r>
              <m:rPr>
                <m:sty m:val="p"/>
              </m:rPr>
              <m:t>−</m:t>
            </m:r>
            <m:r>
              <m:t>10</m:t>
            </m:r>
          </m:sup>
        </m:sSup>
      </m:oMath>
      <w:r>
        <w:t xml:space="preserve">, the following are recorded at the final iterate</w:t>
      </w:r>
      <w:r>
        <w:t xml:space="preserve"> </w:t>
      </w:r>
      <m:oMath>
        <m:acc>
          <m:accPr>
            <m:chr m:val="‾"/>
          </m:accPr>
          <m:e>
            <m:r>
              <m:t>U</m:t>
            </m:r>
          </m:e>
        </m:acc>
      </m:oMath>
      <w:r>
        <w:t xml:space="preserve">: the signed residual work</w:t>
      </w:r>
      <w:r>
        <w:t xml:space="preserve"> </w:t>
      </w:r>
      <m:oMath>
        <m:sSup>
          <m:e>
            <m:acc>
              <m:accPr>
                <m:chr m:val="‾"/>
              </m:accPr>
              <m:e>
                <m:r>
                  <m:t>U</m:t>
                </m:r>
              </m:e>
            </m:acc>
          </m:e>
          <m:sup>
            <m:r>
              <m:t>T</m:t>
            </m:r>
          </m:sup>
        </m:sSup>
        <m:r>
          <m:t>ρ</m:t>
        </m:r>
      </m:oMath>
      <w:r>
        <w:t xml:space="preserve"> </w:t>
      </w:r>
      <w:r>
        <w:t xml:space="preserve">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with</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and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field-based sensitivities with the exact ones after aggregation over the shared lattice vertices (the sum of the cells' thickness sensitivity components at each vertex), which is the gradient an optimiser with shared thickness variables receives; loads are held fixed. For the complete derivative of the surrogate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and applied to the solved retained displacements at fixed</w:t>
      </w:r>
      <w:r>
        <w:t xml:space="preserve"> </w:t>
      </w:r>
      <m:oMath>
        <m:acc>
          <m:accPr>
            <m:chr m:val="̂"/>
          </m:accPr>
          <m:e>
            <m:r>
              <m:t>q</m:t>
            </m:r>
          </m:e>
        </m:acc>
      </m:oMath>
      <w:r>
        <w:t xml:space="preserve"> </w:t>
      </w:r>
      <w:r>
        <w:t xml:space="preserve">(the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it changes a binary node indicator, the set of weak-region element or face stencils (stencils containing a weakly supported node, Appendix G.1), the active element set or the diagonal shift of the coarse factorisation (Appendix F.1) relative to the unperturbed build.</w:t>
      </w:r>
    </w:p>
    <w:p>
      <w:pPr>
        <w:pStyle w:val="Heading4"/>
      </w:pPr>
      <w:r>
        <w:t xml:space="preserve">Table ST14. Residual work, dual-norm bound, field-based gradient and difference quotients of the surrogate compliance</w:t>
      </w:r>
    </w:p>
    <w:p>
      <w:pPr>
        <w:pStyle w:val="FirstParagraph"/>
      </w:pPr>
      <w:r>
        <w:t xml:space="preserve">Face = the three consistent face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surrogate compliance. On the fourteen two-cell configurations of the selection cells (Section 5.6), the same records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field-based thickness 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reported in Section 5.8, is,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compliance errors under the three face loads 0.0137, 0.0110 and 0.0094% / 0.0147, 0.0134 and 0.0103%, and at most 0.069% / 0.056% under the random loads; largest thickness-sensitivity error over all cells 0.144% / 0.144% under the face loads and 0.454% / 0.426% under the random loads; relative Euclidean difference between the learned and exact assembled retained solutions over all six loads 0.130% / 0.123%; cell energy errors</w:t>
      </w:r>
      <w:r>
        <w:t xml:space="preserve"> </w:t>
      </w:r>
      <m:oMath>
        <m:sSub>
          <m:e>
            <m:r>
              <m:t>ε</m:t>
            </m:r>
          </m:e>
          <m:sub>
            <m:r>
              <m:t>m</m:t>
            </m:r>
          </m:sub>
        </m:sSub>
      </m:oMath>
      <w:r>
        <w:t xml:space="preserve"> </w:t>
      </w:r>
      <w:r>
        <w:t xml:space="preserve">at the exact traces 0.0061–0.026% / 0.0051–0.052% under the face loads and 0.027–0.123% / 0.023–0.077% under the random loads; and excess of</w:t>
      </w:r>
      <w:r>
        <w:t xml:space="preserve"> </w:t>
      </w:r>
      <m:oMath>
        <m:r>
          <m:t>β</m:t>
        </m:r>
      </m:oMath>
      <w:r>
        <w:t xml:space="preserve"> </w:t>
      </w:r>
      <w:r>
        <w:t xml:space="preserve">(Eq. (7)) over the lattice compliance error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surrogate compliance across these switches. In the two-cell configurations M1/x and U1/y, one corner parameter of the target cell, the largest- or the median-sensitivity corner, was varied over up to ±10% of its value, every design with its own regenerated geometry and learned substructure, and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them the active elements, ghost faces and retained DOFs, which belong to the discrete model itself. There the surrogate compliance departs from the predicted change by up to 0.25% (M1/x), 0.17% and 0.085% (U1/y) of the compliance, and the exact model by the same amount: 0.230, 0.252 and 0.228% against 0.228, 0.249 and 0.225% on M1/x, and identical to three significant digits on U1/y.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surrogate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surrogate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slot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slot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memory in GiB (</w:t>
      </w:r>
      <m:oMath>
        <m:sSup>
          <m:e>
            <m:r>
              <m:t>2</m:t>
            </m:r>
          </m:e>
          <m:sup>
            <m:r>
              <m:t>30</m:t>
            </m:r>
          </m:sup>
        </m:sSup>
      </m:oMath>
      <w:r>
        <w:t xml:space="preserve"> </w:t>
      </w:r>
      <w:r>
        <w:t xml:space="preserve">bytes), and times are wall-clock times of complete design iterations, geometry generation included,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field-based gradient estimate and never tests the decrease of</w:t>
      </w:r>
      <w:r>
        <w:t xml:space="preserve"> </w:t>
      </w:r>
      <m:oMath>
        <m:acc>
          <m:accPr>
            <m:chr m:val="̂"/>
          </m:accPr>
          <m:e>
            <m:r>
              <m:t>C</m:t>
            </m:r>
          </m:e>
        </m:acc>
      </m:oMath>
      <w:r>
        <w:t xml:space="preserve"> </w:t>
      </w:r>
      <w:r>
        <w:t xml:space="preserve">along a search direction, where the inconsistency discussed in Section 6.2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consistent nodal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under one consistent face traction of unit resultant, divided by its value at the first iteration</w:t>
            </w:r>
          </w:p>
        </w:tc>
      </w:tr>
      <w:tr>
        <w:tc>
          <w:tcPr/>
          <w:p>
            <w:pPr>
              <w:pStyle w:val="Compact"/>
            </w:pPr>
            <w:r>
              <w:t xml:space="preserve">Gradient</w:t>
            </w:r>
          </w:p>
        </w:tc>
        <w:tc>
          <w:tcPr/>
          <w:p>
            <w:pPr>
              <w:pStyle w:val="Compact"/>
            </w:pPr>
            <w:r>
              <w:t xml:space="preserve">Field-based estimate of Section 5.10, from one reverse-mode pass through the moment integrals at the fixed recovered field; the complete surrogate derivative of Eq. (10) is not used. Exact twin: exact sensitivities from the exact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9">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private cut-band flag;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Over every design analysed on the fine scale (all iterations of the runs of Tables ST17 and ST18 and the homogenisation design),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the consistent traction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is a verification run, not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surrogate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6.4). Apart from the clamped cut band,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the fluctuation is periodic with one node fixed, and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w:t>
      </w:r>
      <w:r>
        <w:t xml:space="preserve"> </w:t>
      </w:r>
      <m:oMath>
        <m:sSub>
          <m:e>
            <m:r>
              <m:t>h</m:t>
            </m:r>
          </m:e>
          <m:sub>
            <m:r>
              <m:t>M</m:t>
            </m:r>
          </m:sub>
        </m:sSub>
        <m:r>
          <m:rPr>
            <m:sty m:val="p"/>
          </m:rPr>
          <m:t>=</m:t>
        </m:r>
        <m:r>
          <m:t>1</m:t>
        </m:r>
        <m:r>
          <m:rPr>
            <m:sty m:val="p"/>
          </m:rPr>
          <m:t>/</m:t>
        </m:r>
        <m:r>
          <m:t>6</m:t>
        </m:r>
      </m:oMath>
      <w:r>
        <w:t xml:space="preserve">,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 macroscale compliance lies 27.0–31.8% below the NICE compliance there and 29–33% below it along the rest of its path.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cut-band DOF of the cut cells (Table ST21), a support at least as stiff as one acting on the cut surface alone; it lowers the exact compliance and so narrows the macroscale underestimation rather than widening it.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13a,b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3.3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Cut-band nodes</w:t>
            </w:r>
          </w:p>
        </w:tc>
        <w:tc>
          <w:tcPr/>
          <w:p>
            <w:pPr>
              <w:pStyle w:val="Compact"/>
            </w:pPr>
            <w:r>
              <w:t xml:space="preserve">Weak-support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active elements and ghost-penalty faces (identical counts), retained DOFs, nodes flagged by the network's binary node indicators for cut-band membership and weak support,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with the proportions of the plate of S6.3 (short side : long side 1 : 2, one cell thick) and its planar cut scaled with the plate were generated with 24, 51, 88 and 110 cells (Table ST20); all cut cells have the four retained volume fractions of S6.3. They are clamped on the uncut long side and loaded on the opposite face, which after the cut is two cells wide in the 24-cell plate, by a consistent traction of unit resultant in the plane along the long side;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rPr>
          <w:b/>
          <w:bCs/>
        </w:rPr>
        <w:t xml:space="preserve">Table ST21. Exact checks of the plate designs.</w:t>
      </w:r>
      <w:r>
        <w:t xml:space="preserve"> </w:t>
      </w:r>
      <w:r>
        <w:t xml:space="preserve">The uniform start, the final NICE design and the homogenisation design of S6.3; the intermediate designs were not checked. Exact condensation of the 55 distinct cells with PARDISO's Schur-complement option, verified column-wise against interior solves; assembled solve, with every cut-band DOF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field-based NICE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t xml:space="preserve">Supplementary figures</w:t>
      </w:r>
    </w:p>
    <w:p>
      <w:pPr>
        <w:pStyle w:val="FirstParagraph"/>
      </w:pPr>
      <w:r>
        <w:drawing>
          <wp:inline>
            <wp:extent cx="5334000" cy="3384606"/>
            <wp:effectExtent b="0" l="0" r="0" t="0"/>
            <wp:docPr descr="Figure S01" title="" id="11" name="Picture"/>
            <a:graphic>
              <a:graphicData uri="http://schemas.openxmlformats.org/drawingml/2006/picture">
                <pic:pic>
                  <pic:nvPicPr>
                    <pic:cNvPr descr="figures/S06_reference_verification.png" id="12" name="Picture"/>
                    <pic:cNvPicPr>
                      <a:picLocks noChangeArrowheads="1" noChangeAspect="1"/>
                    </pic:cNvPicPr>
                  </pic:nvPicPr>
                  <pic:blipFill>
                    <a:blip r:embed="rId10"/>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box face and loaded by unit consistent tractions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5426887"/>
            <wp:effectExtent b="0" l="0" r="0" t="0"/>
            <wp:docPr descr="Figure S02" title="" id="14" name="Picture"/>
            <a:graphic>
              <a:graphicData uri="http://schemas.openxmlformats.org/drawingml/2006/picture">
                <pic:pic>
                  <pic:nvPicPr>
                    <pic:cNvPr descr="figures/S01_distributions.png" id="15" name="Picture"/>
                    <pic:cNvPicPr>
                      <a:picLocks noChangeArrowheads="1" noChangeAspect="1"/>
                    </pic:cNvPicPr>
                  </pic:nvPicPr>
                  <pic:blipFill>
                    <a:blip r:embed="rId13"/>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b/>
          <w:bCs/>
        </w:rPr>
        <w:t xml:space="preserve">Figure S02. Distributions of geometry-level directional energy errors.</w:t>
      </w:r>
      <w:r>
        <w:t xml:space="preserve"> </w:t>
      </w:r>
      <w:r>
        <w:t xml:space="preserve">Each point is one validation geometry's mean directional energy error in the identity orientation; horizontal bars are population medians. The nodal-force, spring-support, single-face-force, polynomial, multiscale, consistent-traction and single-face consistent-traction classes contain 80 geometries, and the stiffness-scaled support and neighbour-induced displacement classes 75, the same populations as Table ST03. The five variants of Table ST03 (base network, Uncorrected, Smoothing-trained, base network with the correction applied at deployment, NICE) use the markers and colours of the main-text figures; deterministic horizontal offsets separate overlapping observations. All panels share the logarithmic error axis.</w:t>
      </w:r>
    </w:p>
    <w:p>
      <w:pPr>
        <w:pStyle w:val="BodyText"/>
      </w:pPr>
      <w:r>
        <w:drawing>
          <wp:inline>
            <wp:extent cx="5334000" cy="3822909"/>
            <wp:effectExtent b="0" l="0" r="0" t="0"/>
            <wp:docPr descr="Figure S03" title="" id="17" name="Picture"/>
            <a:graphic>
              <a:graphicData uri="http://schemas.openxmlformats.org/drawingml/2006/picture">
                <pic:pic>
                  <pic:nvPicPr>
                    <pic:cNvPr descr="figures/S03_sensitivity_diagnostics.png" id="18" name="Picture"/>
                    <pic:cNvPicPr>
                      <a:picLocks noChangeArrowheads="1" noChangeAspect="1"/>
                    </pic:cNvPicPr>
                  </pic:nvPicPr>
                  <pic:blipFill>
                    <a:blip r:embed="rId16"/>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Field-based sensitivity-error diagnostics.</w:t>
      </w:r>
      <w:r>
        <w:t xml:space="preserve"> </w:t>
      </w:r>
      <w:r>
        <w:t xml:space="preserve">(a) Paired mean energy and sensitivity errors for consistent-traction and nodal-force responses, using six cells of the base network and five of Uncorrected. (b) Consistent-traction linear-term norm share</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directions. (c,d) Shares of absolute elementwise sensitivity-error contributions and element counts in four mutually exclusive material-volume-fraction groups for the base network under consistent tractions. Each error group sums absolute contributions over its elements, design components and directions before normalisation by the total. Filled markers identify the base network and open markers and hatched bars in (a,b) Uncorrected; Uncorrected is shown for U1, U2, M1, H1 and M2 (Table 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hyperlink" Id="rId9" Target="https://doi.org/10.1002/nme.162024020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2/nme.1620240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2026-10-03T16:53:45Z</dcterms:created>
  <dcterms:modified xsi:type="dcterms:W3CDTF">2026-10-03T16:53:45Z</dcterms:modified>
</cp:coreProperties>
</file>

<file path=docProps/custom.xml><?xml version="1.0" encoding="utf-8"?>
<Properties xmlns="http://schemas.openxmlformats.org/officeDocument/2006/custom-properties" xmlns:vt="http://schemas.openxmlformats.org/officeDocument/2006/docPropsVTypes"/>
</file>