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8.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2:</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7a,b);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(13)). Cumulative curves, nodal-force results and directional percentiles are shown in Figure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3.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(Section 5.6, Figure 10b),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(H.6)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4.3),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8;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1: the network and the correction's smoothing and coarse solve in single precision,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exported once and solved with PETSc 3.26</w:t>
      </w:r>
      <w:r>
        <w:t xml:space="preserve"> </w:t>
      </w:r>
      <w:hyperlink r:id="rId9">
        <w:r>
          <w:rPr>
            <w:rStyle w:val="Hyperlink"/>
          </w:rPr>
          <w:t xml:space="preserve">Balay et al. (2026)</w:t>
        </w:r>
      </w:hyperlink>
      <w:r>
        <w:t xml:space="preserve"> </w:t>
      </w:r>
      <w:r>
        <w:t xml:space="preserve">on the CPU of routes (a) and (b) with 16 MPI processes.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For BDDC with exact local solvers and one subdomain per cell, the Dirichlet matrix of a cell is its stiffness on the DOFs it shares with no other cell and its Neumann matrix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bounds the cost of BDDC per geometry from below; its constrained Neumann solves, coarse problem and iterations are not included.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(GPU memory: peak allocated by the process; CPU memory: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329–336 / 535–615</w:t>
            </w:r>
          </w:p>
        </w:tc>
        <w:tc>
          <w:tcPr/>
          <w:p>
            <w:pPr>
              <w:pStyle w:val="Compact"/>
            </w:pPr>
            <w:r>
              <w:t xml:space="preserve">245.3 + 277.9 = 523.1</w:t>
            </w:r>
          </w:p>
        </w:tc>
      </w:tr>
    </w:tbl>
    <w:p>
      <w:pPr>
        <w:pStyle w:val="BodyText"/>
      </w:pPr>
      <w:r>
        <w:t xml:space="preserve">Differences relative to the iterate at a relative residual of</w:t>
      </w:r>
      <w:r>
        <w:t xml:space="preserve"> </w:t>
      </w:r>
      <m:oMath>
        <m:sSup>
          <m:e>
            <m:r>
              <m:t>10</m:t>
            </m:r>
          </m:e>
          <m:sup>
            <m:r>
              <m:rPr>
                <m:sty m:val="p"/>
              </m:rPr>
              <m:t>−</m:t>
            </m:r>
            <m:r>
              <m:t>9</m:t>
            </m:r>
          </m:sup>
        </m:sSup>
      </m:oMath>
      <w:r>
        <w:t xml:space="preserve">, reached in 235–274 (2×2×2) and 204–220 (3×3×1) GAMG iterations. Loads: three consistent tractions, then three random loads, as in route (a). Cell setup and assembly, common to all exact routes,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8,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6.2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10">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6.4).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cut-band DOF of the cut cells (Table ST21), a support at least as stiff as one acting on the cut surface alone; it lowers the exact compliance and so narrows the macroscale underestimation rather than widening it.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13a,b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rPr>
          <w:b/>
          <w:bCs/>
        </w:rPr>
        <w:t xml:space="preserve">Table ST21. Exact checks of the plate designs.</w:t>
      </w:r>
      <w:r>
        <w:t xml:space="preserve"> </w:t>
      </w:r>
      <w:r>
        <w:t xml:space="preserve">The uniform start, the final NICE design and the homogenisation design of S6.3;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t xml:space="preserve">Supplementary figures</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2026-10-04T17:21:57Z</dcterms:created>
  <dcterms:modified xsi:type="dcterms:W3CDTF">2026-10-04T17:21:57Z</dcterms:modified>
</cp:coreProperties>
</file>

<file path=docProps/custom.xml><?xml version="1.0" encoding="utf-8"?>
<Properties xmlns="http://schemas.openxmlformats.org/officeDocument/2006/custom-properties" xmlns:vt="http://schemas.openxmlformats.org/officeDocument/2006/docPropsVTypes"/>
</file>