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Thickness optimisation of lattices trimmed to a part's shape needs fine-scale accuracy and fast analysis at every design iteration. Fine-scale finite element models are too costly. Homogenisation assumes periodic boundary conditions, which fail without scale separation or when cells are cut. Static condensation eliminates each cell's interior degrees of freedom, reducing the global system without loss of accuracy, but must refactorise every interior stiffness matrix at every design iteration. This paper proposes NICE to avoid these factorisations. It retains all degrees of freedom on cell faces and in elements cut by the trimming plane; a network predicts the interior displacements from the cell geometry, a two-grid correction reduces the interior force imbalance, and the condensed stiffness follows from the strain energy of the corrected field. The resulting condensed stiffness bounds the exact one from above, with an error of second order in the interior displacement error, independent of the network accuracy. Thickness sensitivities have an error of first order in the interior displacement error, so accurate compliance does not ensure accurate sensitivities; the network is trained and checked on both. For cut Schwarz-P cells, the mean energy error over 80 validation geometries is 0.074%, an eight-cell analysis with sensitivities is about ten times faster than a direct solve of the full lattice, and thickness optimisation reproduces the exact-condensation design of an eight-cell lattice. For a 24-cell layer clamped at its cut, where homogenisation underestimates compliance by 27%, NICE agrees with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The stiffness of a lattice can be tailored by grading the thickness of its cells</w:t>
      </w:r>
      <w:r>
        <w:t xml:space="preserve"> </w:t>
      </w:r>
      <w:hyperlink r:id="rId20">
        <w:r>
          <w:rPr>
            <w:rStyle w:val="Hyperlink"/>
          </w:rPr>
          <w:t xml:space="preserve">Yu et al. (2019)</w:t>
        </w:r>
      </w:hyperlink>
      <w:r>
        <w:t xml:space="preserve">. In the thickness design of a graded lattice, the thickness parameters of the cells are the design variables, and their distribution is determined by iterative optimisation. The design depends on local responses, such as the stiffness of the cells next to supports and loads and the sensitivity of the compliance to the thickness of each cell, so the response of every cell must be computed accurately. At the same time, the whole structure is reanalysed at every design iteration, and the cost of each analysis, which grows with the size of the model, accumulates over the optimisation. Accuracy thus calls for a model that resolves the deformation at the scale of the cells, whereas efficiency calls for a model that is as small as possible.</w:t>
      </w:r>
    </w:p>
    <w:p>
      <w:pPr>
        <w:pStyle w:val="BodyText"/>
      </w:pPr>
      <w:r>
        <w:t xml:space="preserve">Fine-scale finite element models discretise every cell and meet the accuracy requirement; with large-scale parallel solvers, such models have been used in topology optimisation at very large scale</w:t>
      </w:r>
      <w:r>
        <w:t xml:space="preserve"> </w:t>
      </w:r>
      <w:hyperlink r:id="rId21">
        <w:r>
          <w:rPr>
            <w:rStyle w:val="Hyperlink"/>
          </w:rPr>
          <w:t xml:space="preserve">Aage et al. (2017)</w:t>
        </w:r>
      </w:hyperlink>
      <w:r>
        <w:t xml:space="preserve">. Because every design iteration changes the geometry of every cell, however, a fine-scale model must be reassembled and solved again at every iteration (Section 5.9). Homogenisation replaces the cells by an equivalent material; it is inexpensive and is the usual basis for the design of graded lattices</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t xml:space="preserve">. It assumes periodic boundary conditions on a unit cell, an assumption that fails without scale separation or when cells are cut: near supports, loads and boundaries, the displacement field varies on the scale of a cell, and when a lattice is trimmed to the shape of a part, the cut cells at its boundary are no longer complete periodic cells. For the plate of Section 5.10, a single layer of cells clamped at its cut (Figure 1), the homogenised model underestimates the compliance of the uniform starting design by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whose cut cells carry the support.</w:t>
      </w:r>
      <w:r>
        <w:t xml:space="preserve"> </w:t>
      </w:r>
      <w:r>
        <w:t xml:space="preserve">(a) Plan view of a single layer of</w:t>
      </w:r>
      <w:r>
        <w:t xml:space="preserve"> </w:t>
      </w:r>
      <m:oMath>
        <m:r>
          <m:t>8</m:t>
        </m:r>
        <m:r>
          <m:rPr>
            <m:sty m:val="p"/>
          </m:rPr>
          <m:t>×</m:t>
        </m:r>
        <m:r>
          <m:t>4</m:t>
        </m:r>
      </m:oMath>
      <w:r>
        <w:t xml:space="preserve"> </w:t>
      </w:r>
      <w:r>
        <w:t xml:space="preserve">Schwarz-P cells (Eq. (1), uniform</w:t>
      </w:r>
      <w:r>
        <w:t xml:space="preserve"> </w:t>
      </w:r>
      <m:oMath>
        <m:r>
          <m:t>τ</m:t>
        </m:r>
        <m:r>
          <m:rPr>
            <m:sty m:val="p"/>
          </m:rPr>
          <m:t>=</m:t>
        </m:r>
        <m:r>
          <m:t>0.40</m:t>
        </m:r>
      </m:oMath>
      <w:r>
        <w:t xml:space="preserve">) trimmed by a plane. The layer has 16 uncut cells (light) and eight cut cells (dark); the part removed by the cut is drawn pale with a dashed outline. The plate is clamped at its cut: every degree of freedom of the cut-plane elements of every cut cell is fixed (hatched line). The end face carries an in-plane traction load of unit resultant (arrows). (b) The cut cell outlined in (a), with a translucent material surface and the cut plane. Of the 72,631 nodes of its</w:t>
      </w:r>
      <w:r>
        <w:t xml:space="preserve"> </w:t>
      </w:r>
      <m:oMath>
        <m:sSub>
          <m:e>
            <m:r>
              <m:t>Q</m:t>
            </m:r>
          </m:e>
          <m:sub>
            <m:r>
              <m:t>2</m:t>
            </m:r>
          </m:sub>
        </m:sSub>
      </m:oMath>
      <w:r>
        <w:t xml:space="preserve"> </w:t>
      </w:r>
      <w:r>
        <w:t xml:space="preserve">model, the 9,674 nodes on the cell faces (blue) and in the cut-plane elements (sand) are retained. All other nodes are interior and are eliminated by static condensation. The surfaces are reconstructed from Eq. (1) for visualisation only.</w:t>
      </w:r>
    </w:p>
    <w:p>
      <w:pPr>
        <w:pStyle w:val="BodyText"/>
      </w:pPr>
      <w:r>
        <w:t xml:space="preserve">Substructuring lies between these two approaches. Each cell is treated as a substructure, or superelement, whose interior degrees of freedom are eliminated by static condensation, so that only the retained (master) degrees of freedom through which the cell connects to its neighbours, supports and loads remain</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t xml:space="preserve">. The global system is assembled and solved on the retained degrees of freedom only, and the interior displacements of each cell are recovered afterwards to evaluate local quantities such as the sensitivities.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and several times as many interior ones (Figure 1b). Static condensation introduces no approximation, but it requires a sparse Cholesky factorisation of the interior stiffness matrix of every cell, from which a dense condensed stiffness matrix is formed. For a cell with the median number of retained degrees of freedom, this matrix occupies 4.2 GiB in double precision, and for the deployed cells of Section 5.9 the Cholesky factor of a single cell occupies 0.60–9.4 GiB. Because every design iteration changes the geometry of every cell, these factorisations must be repeated for all cells at every iteration; on the lattices of Section 5.9, one analysis by conventional exact static condensation takes longer than a direct solve of the whole lattice.</w:t>
      </w:r>
    </w:p>
    <w:p>
      <w:pPr>
        <w:pStyle w:val="BodyText"/>
      </w:pPr>
      <w:r>
        <w:t xml:space="preserve">Learned component models obtain the stiffness relation of an element or a substructure from a neural network, so that no interior equilibrium problem of the component has to be solved during the analysis. For example,</w:t>
      </w:r>
      <w:r>
        <w:t xml:space="preserve"> </w:t>
      </w:r>
      <w:hyperlink r:id="rId29">
        <w:r>
          <w:rPr>
            <w:rStyle w:val="Hyperlink"/>
          </w:rPr>
          <w:t xml:space="preserve">Capuano &amp; Rimoli (2019)</w:t>
        </w:r>
      </w:hyperlink>
      <w:r>
        <w:t xml:space="preserve"> </w:t>
      </w:r>
      <w:r>
        <w:t xml:space="preserve">map the nodal displacements of an element directly to its nodal forces, and learned substructures</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in the manner of finite elements. To keep the network output small, learned substructures describe the boundary displacement of each substructure by a few degrees of freedom, for example through linear or cubic Bézier interpolation, and the network outputs one shape function for each boundary degree of freedom; port reduction</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t xml:space="preserve">likewise reduces the degrees of freedom shared between components. Reducing the boundary degrees of freedom restricts the displacements that neighbouring substructures can exchange, and the resulting model error cannot be removed by a more accurate interior approximation. For cut cells, the supports and loads on the cut surface act on all nodes of the cut-plane elements, whose degrees of freedom must therefore all be retained, so a description of the boundary displacement by a few degrees of freedom is unsuitable. Since the retained degrees of freedom are numerous and vary with the cell geometry, one network output per retained degree of freedom is also impractical.</w:t>
      </w:r>
    </w:p>
    <w:p>
      <w:pPr>
        <w:pStyle w:val="BodyText"/>
      </w:pPr>
      <w:r>
        <w:t xml:space="preserve">This paper therefore proposes neural-initialised static condensation with equilibrium correction (NICE). NICE retains all degrees of freedom on the cell faces and in the cut-plane elements and approximates only the interior displacements: a neural network that takes the cell geometry as input provides an initial interior displacement field, and one two-grid cycle of Chebyshev smoothing and coarse-grid correction</w:t>
      </w:r>
      <w:r>
        <w:t xml:space="preserve"> </w:t>
      </w:r>
      <w:hyperlink r:id="rId35">
        <w:r>
          <w:rPr>
            <w:rStyle w:val="Hyperlink"/>
          </w:rPr>
          <w:t xml:space="preserve">Xu (1992)</w:t>
        </w:r>
      </w:hyperlink>
      <w:r>
        <w:t xml:space="preserve">, applied with the retained displacements held fixed, reduces the interior force imbalance. The network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The smoothing mainly reduces the high-frequency part of the interior error, and the coarse-grid correction reduces its smooth part. The network and the correction together define a linear map from the retained displacements to the displacements of the whole cell, and the condensed stiffness is computed from the strain energy of the resulting displacement field. The assembled system is solved by preconditioned conjugate gradients, which need only products of the condensed stiffness with vectors; each product is obtained by applying the network, the correction, the cell stiffness matrix and the transposes of the correction and the network in turn, so neither the map nor the condensed stiffness has to be formed.</w:t>
      </w:r>
    </w:p>
    <w:p>
      <w:pPr>
        <w:pStyle w:val="BodyText"/>
      </w:pPr>
      <w:r>
        <w:t xml:space="preserve">If the interior displacement approximation is linear in the retained displacements and reproduces them and rigid-body motions, the condensed stiffness computed from its strain energy is symmetric positive semidefinite, with rigid-body motions as its only zero-energy modes. By the principle of minimum potential energy, it is then an upper bound on the exact condensed stiffness, with an error of second order in the interior displacement error, and the two coincide when the interior displacements are exact. The network of NICE satisfies these conditions by construction, so these properties do not depend on its training accuracy. Since the two-grid correction is a fixed linear operation, the conditions still hold after the correction; when the smoothing interval and the coarse solve satisfy the conditions of Proposition 2, the correction does not increase the error</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t xml:space="preserve">. The network is trained with the correction applied, and the two complement each other: under the same correction, a graph-harmonic initial field, which has no trainable parameters, leaves 5.4 to 265 times the mean energy error of NICE (Section 5.5).</w:t>
      </w:r>
    </w:p>
    <w:p>
      <w:pPr>
        <w:pStyle w:val="BodyText"/>
      </w:pPr>
      <w:r>
        <w:t xml:space="preserve">The interior displacement error affects the compliance and the sensitivities differently. The compliance error is a sum of cell errors weighted by the fractions of the strain energy that the cells carry, and is of second order in the interior displacement error. The thickness sensitivities, by contrast, contain a term of first order in this error, introduced through the derivative of the stiffness matrix with respect to the thickness, which the energy error bounds only at the order of its square root. A cell that carries a small fraction of the energy therefore has little effect on the compliance but may still have inaccurate sensitivities. This is not specific to static condensation: whenever the compliance and the sensitivities are computed from an approximate displacement field, an accurate compliance does not ensure accurate sensitivities, and similar observations have been made for approximate reanalysis and inexact solves in topology optimisation</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t xml:space="preserve">. Section 4 derives these relations for any interior approximation that meets the conditions above (Propositions 3 and 4); accordingly, NICE is trained and checked on both the compliance and the sensitivities (Section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Although these degrees of freedom change with the geometry, supports and loads on the cut surface act on the original degrees of freedom and can be applied without retraining (Sections 2, 5.7 and 5.10).</w:t>
      </w:r>
    </w:p>
    <w:p>
      <w:pPr>
        <w:pStyle w:val="Compact"/>
        <w:numPr>
          <w:ilvl w:val="0"/>
          <w:numId w:val="1001"/>
        </w:numPr>
      </w:pPr>
      <w:r>
        <w:t xml:space="preserve">A neural network for the interior displacements is constructed whose output is, by construction, exactly linear in the retained displacements and reproduces them and rigid-body motions; its size does not depend on the number of retained degrees of freedom, and it forms no matrix. The condensed stiffness computed from its strain energy is symmetric positive semidefinite and an upper bound on the exact condensed stiffness, with an error of second order in the interior displacement error (Sections 3.1, 3.2 and 3.6).</w:t>
      </w:r>
    </w:p>
    <w:p>
      <w:pPr>
        <w:pStyle w:val="Compact"/>
        <w:numPr>
          <w:ilvl w:val="0"/>
          <w:numId w:val="1001"/>
        </w:numPr>
      </w:pPr>
      <w:r>
        <w:t xml:space="preserve">A fixed two-grid correction is introduced into the condensation and reduces the error of a trained network without retraining. It preserves these properties for any discrete model with a symmetric positive semidefinite stiffness matrix and a positive definite interior block, and under the conditions of Proposition 2 it does not increase the energy error (Sections 3.3 and 3.4); in every example of Supplementary Table ST07, a larger number of smoothing steps reduced the energy error further (Section 5.5).</w:t>
      </w:r>
    </w:p>
    <w:p>
      <w:pPr>
        <w:pStyle w:val="Compact"/>
        <w:numPr>
          <w:ilvl w:val="0"/>
          <w:numId w:val="1001"/>
        </w:numPr>
      </w:pPr>
      <w:r>
        <w:t xml:space="preserve">The different routes by which the interior displacement error enters the compliance and the sensitivities are derived. Both quantities are checked accordingly, and the thickness designs are verified against exact static condensation and compared with homogenisation (Sections 4, 5.6, 5.8 and 5.10).</w:t>
      </w:r>
    </w:p>
    <w:p>
      <w:pPr>
        <w:pStyle w:val="FirstParagraph"/>
      </w:pPr>
      <w:r>
        <w:t xml:space="preserve">Section 1.1 reviews related work. Section 2 describes the finite element model of the cut cells, static condensation, the design problem and the assumptions of the analysis.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accuracy on 80 validation geometries and on two-cell assemblies, an ablation that restricts the cell-face displacements, eight-cell lattices of cells used neither in training nor in checkpoint selection,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Among learned substructures, problem-independent machine learning (PIML) has been studied most systematically. PIML predicts numerical shape functions of a substructure for a few boundary degrees of freedom and imposes constraints for rigid-body motion; its self-consistent form computes the substructure stiffness matrix as</w:t>
      </w:r>
      <w:r>
        <w:t xml:space="preserve"> </w:t>
      </w:r>
      <m:oMath>
        <m:sSup>
          <m:e>
            <m:r>
              <m:t>N</m:t>
            </m:r>
          </m:e>
          <m:sup>
            <m:r>
              <m:t>T</m:t>
            </m:r>
          </m:sup>
        </m:sSup>
        <m:r>
          <m:t>K</m:t>
        </m:r>
        <m:r>
          <m:t>N</m:t>
        </m:r>
      </m:oMath>
      <w:r>
        <w:t xml:space="preserve"> </w:t>
      </w:r>
      <w:hyperlink r:id="rId41">
        <w:r>
          <w:rPr>
            <w:rStyle w:val="Hyperlink"/>
          </w:rPr>
          <w:t xml:space="preserve">Huang et al. (2022)</w:t>
        </w:r>
      </w:hyperlink>
      <w:r>
        <w:t xml:space="preserve">,</w:t>
      </w:r>
      <w:r>
        <w:t xml:space="preserve"> </w:t>
      </w:r>
      <w:hyperlink r:id="rId30">
        <w:r>
          <w:rPr>
            <w:rStyle w:val="Hyperlink"/>
          </w:rPr>
          <w:t xml:space="preserve">Huang et al. (2023)</w:t>
        </w:r>
      </w:hyperlink>
      <w:r>
        <w:t xml:space="preserve">. Subsequent work trained the networks without precomputed shape-function data by minimising the potential energy</w:t>
      </w:r>
      <w:r>
        <w:t xml:space="preserve"> </w:t>
      </w:r>
      <w:hyperlink r:id="rId42">
        <w:r>
          <w:rPr>
            <w:rStyle w:val="Hyperlink"/>
          </w:rPr>
          <w:t xml:space="preserve">Huang et al. (2024)</w:t>
        </w:r>
      </w:hyperlink>
      <w:r>
        <w:t xml:space="preserve">, imposed symmetry equivariance</w:t>
      </w:r>
      <w:r>
        <w:t xml:space="preserve"> </w:t>
      </w:r>
      <w:hyperlink r:id="rId43">
        <w:r>
          <w:rPr>
            <w:rStyle w:val="Hyperlink"/>
          </w:rPr>
          <w:t xml:space="preserve">Jiang, C. et al. (2026)</w:t>
        </w:r>
      </w:hyperlink>
      <w:r>
        <w:t xml:space="preserve">, treated isoparametric substructures</w:t>
      </w:r>
      <w:r>
        <w:t xml:space="preserve"> </w:t>
      </w:r>
      <w:hyperlink r:id="rId44">
        <w:r>
          <w:rPr>
            <w:rStyle w:val="Hyperlink"/>
          </w:rPr>
          <w:t xml:space="preserve">Zhang, L. et al. (2024)</w:t>
        </w:r>
      </w:hyperlink>
      <w:r>
        <w:t xml:space="preserve">, transferred learned substructures to complex three-dimensional design domains</w:t>
      </w:r>
      <w:r>
        <w:t xml:space="preserve"> </w:t>
      </w:r>
      <w:hyperlink r:id="rId45">
        <w:r>
          <w:rPr>
            <w:rStyle w:val="Hyperlink"/>
          </w:rPr>
          <w:t xml:space="preserve">Zhang et al. (2026)</w:t>
        </w:r>
      </w:hyperlink>
      <w:r>
        <w:t xml:space="preserve"> </w:t>
      </w:r>
      <w:r>
        <w:t xml:space="preserve">and applied them to lattice optimisation</w:t>
      </w:r>
      <w:r>
        <w:t xml:space="preserve"> </w:t>
      </w:r>
      <w:hyperlink r:id="rId46">
        <w:r>
          <w:rPr>
            <w:rStyle w:val="Hyperlink"/>
          </w:rPr>
          <w:t xml:space="preserve">Xu et al. (2025)</w:t>
        </w:r>
      </w:hyperlink>
      <w:r>
        <w:t xml:space="preserve">. Another study joins oversampled numerical basis functions by an overlapping partition of unity and corrects the reconstructed fine-scale field by a few Jacobi-preconditioned conjugate gradient iterations on the global equilibrium equations</w:t>
      </w:r>
      <w:r>
        <w:t xml:space="preserve"> </w:t>
      </w:r>
      <w:hyperlink r:id="rId47">
        <w:r>
          <w:rPr>
            <w:rStyle w:val="Hyperlink"/>
          </w:rPr>
          <w:t xml:space="preserve">Guo et al. (2026b)</w:t>
        </w:r>
      </w:hyperlink>
      <w:r>
        <w:t xml:space="preserve">. Since each substructure has only a few boundary degrees of freedom, the assembled model is small enough for very large structures, and the resulting boundary model error is controlled by refining the partition, raising the order of the boundary interpolation or oversampling. NICE lies at the other end of this trade-off: it keeps all retained degrees of freedom of a cell, which avoids the boundary model error but enlarges the assembled model. NICE learns the interior displacements of each geometry in a family whose discrete space changes with the cut, instead of numerical shape functions for a fixed set of boundary degrees of freedom. Another PIML variant replaces the linear interpolation of the boundary displacement by cubic Bézier interpolation and was compared, in the same study, with a variant that predicts numerical shape functions for every boundary node (the full-node variant). For voxel substructures, the extra cost of the full-node variant outweighed its gain in accuracy, and on the larger substructures it was less accurate, because its network had to predict many more outputs than the Bézier variant</w:t>
      </w:r>
      <w:r>
        <w:t xml:space="preserve"> </w:t>
      </w:r>
      <w:hyperlink r:id="rId31">
        <w:r>
          <w:rPr>
            <w:rStyle w:val="Hyperlink"/>
          </w:rPr>
          <w:t xml:space="preserve">Guo et al. (2026a)</w:t>
        </w:r>
      </w:hyperlink>
      <w:r>
        <w:t xml:space="preserve">. In NICE, the interior of a thin-walled cell is several times larger than its retained part, so condensation still removes most unknowns; the cell of Figure 1b retains only 9,674 of its 72,631 nodes. The network size of NICE does not grow with the number of retained degrees of freedom, and the residual error of the network prediction is further reduced by the two-grid correction (Section 5.5).</w:t>
      </w:r>
    </w:p>
    <w:p>
      <w:pPr>
        <w:pStyle w:val="BodyText"/>
      </w:pPr>
      <w:r>
        <w:t xml:space="preserve">Closest to NICE are component models that keep a mechanical structure. If a condensed stiffness is computed from the strain energy of an approximate displacement field that is linear in the retained displacements and reproduces them and rigid-body motions, then, by the principle of minimum potential energy, it is an upper bound on the exact condensed stiffness, with an error of second order in the interior displacement error (Section 3.1). The same property underlies static condensation itself</w:t>
      </w:r>
      <w:r>
        <w:t xml:space="preserve"> </w:t>
      </w:r>
      <w:hyperlink r:id="rId48">
        <w:r>
          <w:rPr>
            <w:rStyle w:val="Hyperlink"/>
          </w:rPr>
          <w:t xml:space="preserve">Toselli &amp; Widlund (2005)</w:t>
        </w:r>
      </w:hyperlink>
      <w:r>
        <w:t xml:space="preserve">, multiscale finite elements</w:t>
      </w:r>
      <w:r>
        <w:t xml:space="preserve"> </w:t>
      </w:r>
      <w:hyperlink r:id="rId49">
        <w:r>
          <w:rPr>
            <w:rStyle w:val="Hyperlink"/>
          </w:rPr>
          <w:t xml:space="preserve">Hou &amp; Wu (1997)</w:t>
        </w:r>
      </w:hyperlink>
      <w:r>
        <w:t xml:space="preserve">, component reduced-basis methods</w:t>
      </w:r>
      <w:r>
        <w:t xml:space="preserve"> </w:t>
      </w:r>
      <w:hyperlink r:id="rId50">
        <w:r>
          <w:rPr>
            <w:rStyle w:val="Hyperlink"/>
          </w:rPr>
          <w:t xml:space="preserve">Huynh et al. (2013)</w:t>
        </w:r>
      </w:hyperlink>
      <w:r>
        <w:t xml:space="preserve"> </w:t>
      </w:r>
      <w:r>
        <w:t xml:space="preserve">and learned shape functions evaluated as</w:t>
      </w:r>
      <w:r>
        <w:t xml:space="preserve"> </w:t>
      </w:r>
      <m:oMath>
        <m:sSup>
          <m:e>
            <m:r>
              <m:t>N</m:t>
            </m:r>
          </m:e>
          <m:sup>
            <m:r>
              <m:t>T</m:t>
            </m:r>
          </m:sup>
        </m:sSup>
        <m:r>
          <m:t>K</m:t>
        </m:r>
        <m:r>
          <m:t>N</m:t>
        </m:r>
      </m:oMath>
      <w:r>
        <w:t xml:space="preserve"> </w:t>
      </w:r>
      <w:hyperlink r:id="rId30">
        <w:r>
          <w:rPr>
            <w:rStyle w:val="Hyperlink"/>
          </w:rPr>
          <w:t xml:space="preserve">Huang et al. (2023)</w:t>
        </w:r>
      </w:hyperlink>
      <w:r>
        <w:t xml:space="preserve">. NICE applies it to network-predicted interior displacements on a set of retained degrees of freedom that changes with the cut. Learned and reduced component models differ mainly in three respects: the degrees of freedom kept on the interface, the representation of the interior and the stage at which the approximation is improved. The learned substructures of</w:t>
      </w:r>
      <w:r>
        <w:t xml:space="preserve"> </w:t>
      </w:r>
      <w:hyperlink r:id="rId30">
        <w:r>
          <w:rPr>
            <w:rStyle w:val="Hyperlink"/>
          </w:rPr>
          <w:t xml:space="preserve">Huang et al. (2023)</w:t>
        </w:r>
      </w:hyperlink>
      <w:r>
        <w:t xml:space="preserve"> </w:t>
      </w:r>
      <w:r>
        <w:t xml:space="preserve">and</w:t>
      </w:r>
      <w:r>
        <w:t xml:space="preserve"> </w:t>
      </w:r>
      <w:hyperlink r:id="rId31">
        <w:r>
          <w:rPr>
            <w:rStyle w:val="Hyperlink"/>
          </w:rPr>
          <w:t xml:space="preserve">Guo et al. (2026a)</w:t>
        </w:r>
      </w:hyperlink>
      <w:r>
        <w:t xml:space="preserve"> </w:t>
      </w:r>
      <w:r>
        <w:t xml:space="preserve">reduce the interface degrees of freedom and learn shape functions for the reduced boundary. NICE keeps all interface degrees of freedom and learns only the response of the interior, which it represents by a network that takes the cell geometry as input, and it improves the approximation within the assembled condensed stiffness.</w:t>
      </w:r>
    </w:p>
    <w:p>
      <w:pPr>
        <w:pStyle w:val="BodyText"/>
      </w:pPr>
      <w:r>
        <w:t xml:space="preserve">As to the interface degrees of freedom, component reduced-basis methods keep the complete interface in the condensation but represent the interior on a discrete space shared by the parameter family and construct reduced bases for it offline</w:t>
      </w:r>
      <w:r>
        <w:t xml:space="preserve"> </w:t>
      </w:r>
      <w:hyperlink r:id="rId50">
        <w:r>
          <w:rPr>
            <w:rStyle w:val="Hyperlink"/>
          </w:rPr>
          <w:t xml:space="preserve">Huynh et al. (2013)</w:t>
        </w:r>
      </w:hyperlink>
      <w:r>
        <w:t xml:space="preserve">. For lattices, such component-wise models have been reused in design optimisation, with error bounds on the displacement, the compliance and its sensitivity</w:t>
      </w:r>
      <w:r>
        <w:t xml:space="preserve"> </w:t>
      </w:r>
      <w:hyperlink r:id="rId51">
        <w:r>
          <w:rPr>
            <w:rStyle w:val="Hyperlink"/>
          </w:rPr>
          <w:t xml:space="preserve">McBane &amp; Choi (2021)</w:t>
        </w:r>
      </w:hyperlink>
      <w:r>
        <w:t xml:space="preserve">; for unfitted discretisations, solutions on varying active sets have been extended to a common background space before reduction</w:t>
      </w:r>
      <w:r>
        <w:t xml:space="preserve"> </w:t>
      </w:r>
      <w:hyperlink r:id="rId52">
        <w:r>
          <w:rPr>
            <w:rStyle w:val="Hyperlink"/>
          </w:rPr>
          <w:t xml:space="preserve">Chasapi et al. (2023)</w:t>
        </w:r>
      </w:hyperlink>
      <w:r>
        <w:t xml:space="preserve">. NICE also keeps the complete set of retained degrees of freedom, but this set changes with the cut, so its network takes the discrete geometry of each cell as input instead of the parameters of a shared discretisation.</w:t>
      </w:r>
    </w:p>
    <w:p>
      <w:pPr>
        <w:pStyle w:val="BodyText"/>
      </w:pPr>
      <w:r>
        <w:t xml:space="preserve">As to the representation of the interior, lattice methods and learned elements differ. One lattice method condenses the cells into superelements and interpolates their stiffness in a density parameter by a reduced-order surrogate, which supplies explicit stiffness derivatives for optimisation without scale separation</w:t>
      </w:r>
      <w:r>
        <w:t xml:space="preserve"> </w:t>
      </w:r>
      <w:hyperlink r:id="rId53">
        <w:r>
          <w:rPr>
            <w:rStyle w:val="Hyperlink"/>
          </w:rPr>
          <w:t xml:space="preserve">Wu et al. (2019)</w:t>
        </w:r>
      </w:hyperlink>
      <w:r>
        <w:t xml:space="preserve">. For lattices built by spline composition, reduced-order cell operators have replaced the cell-wise local solves of inexact finite element tearing and interconnecting, dual–primal (FETI-DP) methods</w:t>
      </w:r>
      <w:r>
        <w:t xml:space="preserve"> </w:t>
      </w:r>
      <w:hyperlink r:id="rId54">
        <w:r>
          <w:rPr>
            <w:rStyle w:val="Hyperlink"/>
          </w:rPr>
          <w:t xml:space="preserve">Hirschler et al. (2024)</w:t>
        </w:r>
      </w:hyperlink>
      <w:r>
        <w:t xml:space="preserve">. For unfitted two-dimensional lattices, balancing domain decomposition by constraints (BDDC) has been combined with full cell stiffness matrices, whose integrals over trimmed cells are approximated by matrix discrete empirical interpolation</w:t>
      </w:r>
      <w:r>
        <w:t xml:space="preserve"> </w:t>
      </w:r>
      <w:hyperlink r:id="rId55">
        <w:r>
          <w:rPr>
            <w:rStyle w:val="Hyperlink"/>
          </w:rPr>
          <w:t xml:space="preserve">Bonilla Moreno et al. (2027)</w:t>
        </w:r>
      </w:hyperlink>
      <w:r>
        <w:t xml:space="preserve">. Each of these lattice methods keeps one discretisation across cells: a common lattice pattern, a composed parametric cell and one high-order unfitted element per cell, respectively. For unfitted coarse elements, the conditioning of numerical shape functions under small cuts has also been improved</w:t>
      </w:r>
      <w:r>
        <w:t xml:space="preserve"> </w:t>
      </w:r>
      <w:hyperlink r:id="rId56">
        <w:r>
          <w:rPr>
            <w:rStyle w:val="Hyperlink"/>
          </w:rPr>
          <w:t xml:space="preserve">Chen &amp; Li (2026)</w:t>
        </w:r>
      </w:hyperlink>
      <w:r>
        <w:t xml:space="preserve">. Learned elements condense an embedded inner domain into a symmetric positive semidefinite interface stiffness</w:t>
      </w:r>
      <w:r>
        <w:t xml:space="preserve"> </w:t>
      </w:r>
      <w:hyperlink r:id="rId57">
        <w:r>
          <w:rPr>
            <w:rStyle w:val="Hyperlink"/>
          </w:rPr>
          <w:t xml:space="preserve">Parish et al. (2024)</w:t>
        </w:r>
      </w:hyperlink>
      <w:r>
        <w:t xml:space="preserve">, and convex neural energy elements learn boundary energies from targets computed with the exact condensed stiffness and recover the interior fields by exact lifting</w:t>
      </w:r>
      <w:r>
        <w:t xml:space="preserve"> </w:t>
      </w:r>
      <w:hyperlink r:id="rId58">
        <w:r>
          <w:rPr>
            <w:rStyle w:val="Hyperlink"/>
          </w:rPr>
          <w:t xml:space="preserve">Jiang, H. et al. (2026)</w:t>
        </w:r>
      </w:hyperlink>
      <w:r>
        <w:t xml:space="preserve">. NICE instead learns the displacement recovery itself: a single corrected recovery operator</w:t>
      </w:r>
      <w:r>
        <w:t xml:space="preserve"> </w:t>
      </w:r>
      <m:oMath>
        <m:r>
          <m:t>F</m:t>
        </m:r>
      </m:oMath>
      <w:r>
        <w:t xml:space="preserve">, built without an interior factorisation and applied without forming a matrix, defines the assembled condensed stiffness, the recovered displacements and the thickness sensitivities.</w:t>
      </w:r>
    </w:p>
    <w:p>
      <w:pPr>
        <w:pStyle w:val="BodyText"/>
      </w:pPr>
      <w:r>
        <w:t xml:space="preserve">As to the stage at which the approximation is improved, inexact substructuring methods</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w:t>
      </w:r>
      <w:r>
        <w:t xml:space="preserve">improve approximate subdomain and coarse solves inside a preconditioner, and their iteration converges to the exact discrete solution (Section 6.2). In a nonlinear example, convex neural energy elements refine the exact lifting by Newton steps and differentiate through these steps</w:t>
      </w:r>
      <w:r>
        <w:t xml:space="preserve"> </w:t>
      </w:r>
      <w:hyperlink r:id="rId58">
        <w:r>
          <w:rPr>
            <w:rStyle w:val="Hyperlink"/>
          </w:rPr>
          <w:t xml:space="preserve">Jiang, H. et al. (2026)</w:t>
        </w:r>
      </w:hyperlink>
      <w:r>
        <w:t xml:space="preserve">. Component reduced-basis methods bound the error of the component or assembled solution a posteriori</w:t>
      </w:r>
      <w:r>
        <w:t xml:space="preserve"> </w:t>
      </w:r>
      <w:hyperlink r:id="rId50">
        <w:r>
          <w:rPr>
            <w:rStyle w:val="Hyperlink"/>
          </w:rPr>
          <w:t xml:space="preserve">Huynh et al. (2013)</w:t>
        </w:r>
      </w:hyperlink>
      <w:r>
        <w:t xml:space="preserve">. NICE provides a computable interior residual (Eq. (7)) but no certified error bound; its correction acts on the interior displacements of each cell at fixed retained displacements, inside the strain energy that defines the condensed stiffness, and therefore changes the assembled condensed stiffness itself.</w:t>
      </w:r>
    </w:p>
    <w:p>
      <w:pPr>
        <w:pStyle w:val="BodyText"/>
      </w:pPr>
      <w:r>
        <w:t xml:space="preserve">Learning has also been combined with multilevel and domain decomposition solvers, for example in learned multigrid prolongations</w:t>
      </w:r>
      <w:r>
        <w:t xml:space="preserve"> </w:t>
      </w:r>
      <w:hyperlink r:id="rId62">
        <w:r>
          <w:rPr>
            <w:rStyle w:val="Hyperlink"/>
          </w:rPr>
          <w:t xml:space="preserve">Greenfeld et al. (2019)</w:t>
        </w:r>
      </w:hyperlink>
      <w:r>
        <w:t xml:space="preserve">,</w:t>
      </w:r>
      <w:r>
        <w:t xml:space="preserve"> </w:t>
      </w:r>
      <w:hyperlink r:id="rId63">
        <w:r>
          <w:rPr>
            <w:rStyle w:val="Hyperlink"/>
          </w:rPr>
          <w:t xml:space="preserve">Luz et al. (2020)</w:t>
        </w:r>
      </w:hyperlink>
      <w:r>
        <w:t xml:space="preserve">, machine-learning-assisted adaptive FETI-DP coarse spaces</w:t>
      </w:r>
      <w:r>
        <w:t xml:space="preserve"> </w:t>
      </w:r>
      <w:hyperlink r:id="rId64">
        <w:r>
          <w:rPr>
            <w:rStyle w:val="Hyperlink"/>
          </w:rPr>
          <w:t xml:space="preserve">Heinlein et al. (2021)</w:t>
        </w:r>
      </w:hyperlink>
      <w:r>
        <w:t xml:space="preserve"> </w:t>
      </w:r>
      <w:r>
        <w:t xml:space="preserve">and networks trained through the solver</w:t>
      </w:r>
      <w:r>
        <w:t xml:space="preserve"> </w:t>
      </w:r>
      <w:hyperlink r:id="rId65">
        <w:r>
          <w:rPr>
            <w:rStyle w:val="Hyperlink"/>
          </w:rPr>
          <w:t xml:space="preserve">Um et al. (2020)</w:t>
        </w:r>
      </w:hyperlink>
      <w:r>
        <w:t xml:space="preserve">. Hybrid neural solvers combine learned predictions with relaxation, learned inverse actions or coarse spaces</w:t>
      </w:r>
      <w:r>
        <w:t xml:space="preserve"> </w:t>
      </w:r>
      <w:hyperlink r:id="rId66">
        <w:r>
          <w:rPr>
            <w:rStyle w:val="Hyperlink"/>
          </w:rPr>
          <w:t xml:space="preserve">Zhang, E. et al. (2024)</w:t>
        </w:r>
      </w:hyperlink>
      <w:r>
        <w:t xml:space="preserve">,</w:t>
      </w:r>
      <w:r>
        <w:t xml:space="preserve"> </w:t>
      </w:r>
      <w:hyperlink r:id="rId67">
        <w:r>
          <w:rPr>
            <w:rStyle w:val="Hyperlink"/>
          </w:rPr>
          <w:t xml:space="preserve">Kopaničáková &amp; Karniadakis (2025)</w:t>
        </w:r>
      </w:hyperlink>
      <w:r>
        <w:t xml:space="preserve">,</w:t>
      </w:r>
      <w:r>
        <w:t xml:space="preserve"> </w:t>
      </w:r>
      <w:hyperlink r:id="rId68">
        <w:r>
          <w:rPr>
            <w:rStyle w:val="Hyperlink"/>
          </w:rPr>
          <w:t xml:space="preserve">Xing et al. (2026)</w:t>
        </w:r>
      </w:hyperlink>
      <w:r>
        <w:t xml:space="preserve">. In optimisation without scale separation, spectral multiscale coarse bases</w:t>
      </w:r>
      <w:r>
        <w:t xml:space="preserve"> </w:t>
      </w:r>
      <w:hyperlink r:id="rId69">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70">
        <w:r>
          <w:rPr>
            <w:rStyle w:val="Hyperlink"/>
          </w:rPr>
          <w:t xml:space="preserve">Alexandersen &amp; Lazarov (2015)</w:t>
        </w:r>
      </w:hyperlink>
      <w:r>
        <w:t xml:space="preserve">. Geometry-aware neural operators and graph networks</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t xml:space="preserve">, multigrid-structured operators</w:t>
      </w:r>
      <w:r>
        <w:t xml:space="preserve"> </w:t>
      </w:r>
      <w:hyperlink r:id="rId74">
        <w:r>
          <w:rPr>
            <w:rStyle w:val="Hyperlink"/>
          </w:rPr>
          <w:t xml:space="preserve">He et al. (2024)</w:t>
        </w:r>
      </w:hyperlink>
      <w:r>
        <w:t xml:space="preserve">, learned Green's functions</w:t>
      </w:r>
      <w:r>
        <w:t xml:space="preserve"> </w:t>
      </w:r>
      <w:hyperlink r:id="rId75">
        <w:r>
          <w:rPr>
            <w:rStyle w:val="Hyperlink"/>
          </w:rPr>
          <w:t xml:space="preserve">Boullé &amp; Townsend (2023)</w:t>
        </w:r>
      </w:hyperlink>
      <w:r>
        <w:t xml:space="preserve"> </w:t>
      </w:r>
      <w:r>
        <w:t xml:space="preserve">and training by energy minimisation</w:t>
      </w:r>
      <w:r>
        <w:t xml:space="preserve"> </w:t>
      </w:r>
      <w:hyperlink r:id="rId76">
        <w:r>
          <w:rPr>
            <w:rStyle w:val="Hyperlink"/>
          </w:rPr>
          <w:t xml:space="preserve">E &amp; Yu (2018)</w:t>
        </w:r>
      </w:hyperlink>
      <w:r>
        <w:t xml:space="preserve"> </w:t>
      </w:r>
      <w:r>
        <w:t xml:space="preserve">learn the solution map of the whole problem. Most neural operators learn maps that are nonlinear in their input and do not obey superposition, so the strain energy of the predicted field is not a quadratic form in the retained displacements, whereas the properties of the condensed stiffness rest on this quadratic form. These methods accelerate a global solve or approximate the solution of the whole problem; the map learned in NICE recovers the displacements of a single cell from its retained displacements, and the strain energy of these displacements defines a condensed stiffness that can be assembled, differentiated and improved.</w:t>
      </w:r>
    </w:p>
    <w:p>
      <w:pPr>
        <w:pStyle w:val="BodyText"/>
      </w:pPr>
      <w:r>
        <w:t xml:space="preserve">Static condensation is itself a two-level method. The exact recovery</w:t>
      </w:r>
      <w:r>
        <w:t xml:space="preserve"> </w:t>
      </w:r>
      <m:oMath>
        <m:r>
          <m:t>E</m:t>
        </m:r>
      </m:oMath>
      <w:r>
        <w:t xml:space="preserve"> </w:t>
      </w:r>
      <w:r>
        <w:t xml:space="preserve">maps the retained displacements to the equilibrium displacements of the whole cell; in algebraic multigrid terms,</w:t>
      </w:r>
      <w:r>
        <w:t xml:space="preserve"> </w:t>
      </w:r>
      <m:oMath>
        <m:r>
          <m:t>E</m:t>
        </m:r>
      </m:oMath>
      <w:r>
        <w:t xml:space="preserve"> </w:t>
      </w:r>
      <w:r>
        <w:t xml:space="preserve">is the ideal interpolation from the retained to all degrees of freedom, and</w:t>
      </w:r>
      <w:r>
        <w:t xml:space="preserve"> </w:t>
      </w:r>
      <m:oMath>
        <m:r>
          <m:t>S</m:t>
        </m:r>
        <m:r>
          <m:rPr>
            <m:sty m:val="p"/>
          </m:rPr>
          <m:t>=</m:t>
        </m:r>
        <m:sSup>
          <m:e>
            <m:r>
              <m:t>E</m:t>
            </m:r>
          </m:e>
          <m:sup>
            <m:r>
              <m:t>T</m:t>
            </m:r>
          </m:sup>
        </m:sSup>
        <m:r>
          <m:t>K</m:t>
        </m:r>
        <m:r>
          <m:t>E</m:t>
        </m:r>
      </m:oMath>
      <w:r>
        <w:t xml:space="preserve"> </w:t>
      </w:r>
      <w:r>
        <w:t xml:space="preserve">is the corresponding coarse-grid matrix</w:t>
      </w:r>
      <w:r>
        <w:t xml:space="preserve"> </w:t>
      </w:r>
      <w:hyperlink r:id="rId77">
        <w:r>
          <w:rPr>
            <w:rStyle w:val="Hyperlink"/>
          </w:rPr>
          <w:t xml:space="preserve">Falgout &amp; Vassilevski (2004)</w:t>
        </w:r>
      </w:hyperlink>
      <w:r>
        <w:t xml:space="preserve">. NICE replaces</w:t>
      </w:r>
      <w:r>
        <w:t xml:space="preserve"> </w:t>
      </w:r>
      <m:oMath>
        <m:r>
          <m:t>E</m:t>
        </m:r>
      </m:oMath>
      <w:r>
        <w:t xml:space="preserve"> </w:t>
      </w:r>
      <w:r>
        <w:t xml:space="preserve">by a recovery operator</w:t>
      </w:r>
      <w:r>
        <w:t xml:space="preserve"> </w:t>
      </w:r>
      <m:oMath>
        <m:r>
          <m:t>F</m:t>
        </m:r>
      </m:oMath>
      <w:r>
        <w:t xml:space="preserve"> </w:t>
      </w:r>
      <w:r>
        <w:t xml:space="preserve">from the retained to the active degrees of freedom and condenses with the coarse-grid matrix</w:t>
      </w:r>
      <w:r>
        <w:t xml:space="preserve"> </w:t>
      </w:r>
      <m:oMath>
        <m:acc>
          <m:accPr>
            <m:chr m:val="̂"/>
          </m:accPr>
          <m:e>
            <m:r>
              <m:t>S</m:t>
            </m:r>
          </m:e>
        </m:acc>
        <m:r>
          <m:rPr>
            <m:sty m:val="p"/>
          </m:rPr>
          <m:t>=</m:t>
        </m:r>
        <m:sSup>
          <m:e>
            <m:r>
              <m:t>F</m:t>
            </m:r>
          </m:e>
          <m:sup>
            <m:r>
              <m:t>T</m:t>
            </m:r>
          </m:sup>
        </m:sSup>
        <m:r>
          <m:t>K</m:t>
        </m:r>
        <m:r>
          <m:t>F</m:t>
        </m:r>
      </m:oMath>
      <w:r>
        <w:t xml:space="preserve"> </w:t>
      </w:r>
      <w:r>
        <w:t xml:space="preserve">of this interpolation. This operator is predicted by a network and then smoothed by the two-grid cycle, in the same spirit as smoothed-aggregation multigrid, which improves a tentative prolongation by smoothing</w:t>
      </w:r>
      <w:r>
        <w:t xml:space="preserve"> </w:t>
      </w:r>
      <w:hyperlink r:id="rId78">
        <w:r>
          <w:rPr>
            <w:rStyle w:val="Hyperlink"/>
          </w:rPr>
          <w:t xml:space="preserve">Vaněk et al. (1996)</w:t>
        </w:r>
      </w:hyperlink>
      <w:r>
        <w:t xml:space="preserve">. The operator</w:t>
      </w:r>
      <w:r>
        <w:t xml:space="preserve"> </w:t>
      </w:r>
      <m:oMath>
        <m:r>
          <m:t>F</m:t>
        </m:r>
      </m:oMath>
      <w:r>
        <w:t xml:space="preserve"> </w:t>
      </w:r>
      <w:r>
        <w:t xml:space="preserve">is nonlinear in the cell geometry and linear in the retained displacements. Learned multigrid prolongations</w:t>
      </w:r>
      <w:r>
        <w:t xml:space="preserve"> </w:t>
      </w:r>
      <w:hyperlink r:id="rId62">
        <w:r>
          <w:rPr>
            <w:rStyle w:val="Hyperlink"/>
          </w:rPr>
          <w:t xml:space="preserve">Greenfeld et al. (2019)</w:t>
        </w:r>
      </w:hyperlink>
      <w:r>
        <w:t xml:space="preserve">,</w:t>
      </w:r>
      <w:r>
        <w:t xml:space="preserve"> </w:t>
      </w:r>
      <w:hyperlink r:id="rId63">
        <w:r>
          <w:rPr>
            <w:rStyle w:val="Hyperlink"/>
          </w:rPr>
          <w:t xml:space="preserve">Luz et al. (2020)</w:t>
        </w:r>
      </w:hyperlink>
      <w:r>
        <w:t xml:space="preserve"> </w:t>
      </w:r>
      <w:r>
        <w:t xml:space="preserve">are likewise nonlinear in the operator and linear in the vector they act on, but they are part of a solver. The operator</w:t>
      </w:r>
      <w:r>
        <w:t xml:space="preserve"> </w:t>
      </w:r>
      <m:oMath>
        <m:r>
          <m:t>F</m:t>
        </m:r>
      </m:oMath>
      <w:r>
        <w:t xml:space="preserve"> </w:t>
      </w:r>
      <w:r>
        <w:t xml:space="preserve">instead defines a component model that serves sets of retained degrees of freedom changing with the cut, and its coarse-grid matrix is assembled into the lattice and differentiated in design.</w:t>
      </w:r>
    </w:p>
    <w:p>
      <w:pPr>
        <w:pStyle w:val="Heading2"/>
      </w:pPr>
      <w:r>
        <w:t xml:space="preserve">2. Cut cells, static condensation and the design problem</w:t>
      </w:r>
    </w:p>
    <w:p>
      <w:pPr>
        <w:pStyle w:val="FirstParagraph"/>
      </w:pPr>
      <w:r>
        <w:t xml:space="preserve">The cells are discretised by a stabilised cut finite element method (CutFEM)</w:t>
      </w:r>
      <w:r>
        <w:t xml:space="preserve"> </w:t>
      </w:r>
      <w:hyperlink r:id="rId79">
        <w:r>
          <w:rPr>
            <w:rStyle w:val="Hyperlink"/>
          </w:rPr>
          <w:t xml:space="preserve">Burman et al. (2015)</w:t>
        </w:r>
      </w:hyperlink>
      <w:r>
        <w:t xml:space="preserve"> </w:t>
      </w:r>
      <w:r>
        <w:t xml:space="preserve">on a fixed Cartesian background mesh. The material boundaries (the TPMS surfaces and the cut plane) are not meshed; they only determine which background elements are active and enter the stiffness through integrals over the material part of each element. A change of thickness or of the cut therefore requires no remeshing, and the thickness sensitivity follows from the derivatives of these integrals (Appendix H). All cells lie on the same background mesh, on which the network of Section 3.2 defines its fixed grid hierarchy; the active elements, however, change with the geometry, and so does the set of retained degrees of freedom, which Sections 3 and 4 must account for. Their relations use only the symmetry and positive semidefiniteness of the resulting stiffness matrix and the positive definiteness of its interior block.</w:t>
      </w:r>
    </w:p>
    <w:p>
      <w:pPr>
        <w:pStyle w:val="Heading3"/>
      </w:pPr>
      <w:r>
        <w:t xml:space="preserve">2.1. Geometry and finite element model</w:t>
      </w:r>
    </w:p>
    <w:p>
      <w:pPr>
        <w:pStyle w:val="FirstParagraph"/>
      </w:pPr>
      <w:r>
        <w:t xml:space="preserve">This paper considers three-dimensional thin-walled cells based on triply periodic minimal surfaces (TPMS). Each cell occupies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of a cell is defined by a Schwarz-P-type trigonometric level-set function,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w:t>
      </w:r>
      <w:r>
        <w:t xml:space="preserve">are interpolated by the trilinear functions</w:t>
      </w:r>
      <w:r>
        <w:t xml:space="preserve"> </w:t>
      </w:r>
      <m:oMath>
        <m:sSubSup>
          <m:e>
            <m:r>
              <m:t>N</m:t>
            </m:r>
          </m:e>
          <m:sub>
            <m:r>
              <m:t>c</m:t>
            </m:r>
          </m:sub>
          <m:sup>
            <m:sSub>
              <m:e>
                <m:r>
                  <m:t>Q</m:t>
                </m:r>
              </m:e>
              <m:sub>
                <m:r>
                  <m:t>1</m:t>
                </m:r>
              </m:sub>
            </m:sSub>
          </m:sup>
        </m:sSubSup>
      </m:oMath>
      <w:r>
        <w:t xml:space="preserve">; they set the width of the implicit band, and thereby the thickness and the material distribution of the cell. They are called corner thickness parameters, and the derivatives with respect to them are called thickness sensitivities. When the eight corner values are collected in a vector, such as</w:t>
      </w:r>
      <w:r>
        <w:t xml:space="preserve"> </w:t>
      </w:r>
      <m:oMath>
        <m:r>
          <m:rPr>
            <m:sty m:val="b"/>
          </m:rPr>
          <m:t>τ</m:t>
        </m:r>
      </m:oMath>
      <w:r>
        <w:t xml:space="preserve"> </w:t>
      </w:r>
      <w:r>
        <w:t xml:space="preserve">or the sensitivity vector</w:t>
      </w:r>
      <w:r>
        <w:t xml:space="preserve"> </w:t>
      </w:r>
      <m:oMath>
        <m:r>
          <m:rPr>
            <m:sty m:val="b"/>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
          </m:rPr>
          <m:t>n</m:t>
        </m:r>
      </m:oMath>
      <w:r>
        <w:t xml:space="preserve">, which points away from the material that remains after the cut; for an uncut cell, the half-space constraint is omitted. The symbol</w:t>
      </w:r>
      <w:r>
        <w:t xml:space="preserve"> </w:t>
      </w:r>
      <m:oMath>
        <m:r>
          <m:t>η</m:t>
        </m:r>
      </m:oMath>
      <w:r>
        <w:t xml:space="preserve"> </w:t>
      </w:r>
      <w:r>
        <w:t xml:space="preserve">collects the geometry, material and discretisation parameters.</w:t>
      </w:r>
    </w:p>
    <w:p>
      <w:pPr>
        <w:pStyle w:val="BodyText"/>
      </w:pPr>
      <w:r>
        <w:t xml:space="preserve">The displacements are approximated by continuous tensor-product</w:t>
      </w:r>
      <w:r>
        <w:t xml:space="preserve"> </w:t>
      </w:r>
      <m:oMath>
        <m:sSub>
          <m:e>
            <m:r>
              <m:t>Q</m:t>
            </m:r>
          </m:e>
          <m:sub>
            <m:r>
              <m:t>2</m:t>
            </m:r>
          </m:sub>
        </m:sSub>
      </m:oMath>
      <w:r>
        <w:t xml:space="preserve"> </w:t>
      </w:r>
      <w:r>
        <w:t xml:space="preserve">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the active elements are called the active DOFs. Integration over the material domain gives the elastic stiffness of the cell, and ghost-penalty stabilisation</w:t>
      </w:r>
      <w:r>
        <w:t xml:space="preserve"> </w:t>
      </w:r>
      <w:hyperlink r:id="rId80">
        <w:r>
          <w:rPr>
            <w:rStyle w:val="Hyperlink"/>
          </w:rPr>
          <w:t xml:space="preserve">Burman (2010)</w:t>
        </w:r>
      </w:hyperlink>
      <w:r>
        <w:t xml:space="preserve"> </w:t>
      </w:r>
      <w:r>
        <w:t xml:space="preserve">adds terms that couple neighbouring active elements to control the effect of small cuts, active elements that contain very little material</w:t>
      </w:r>
      <w:r>
        <w:t xml:space="preserve"> </w:t>
      </w:r>
      <w:hyperlink r:id="rId79">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The reference solution in this work is the equilibrium of this discrete system, and all errors are measured against this discrete solution, not against the solution of the continuum problem. Figure 1 shows a cut lattice and one of its cut cells, Table 1 (Section 5.1) lists the settings of the examples, and Appendix A gives the details of integration and assembly.</w:t>
      </w:r>
    </w:p>
    <w:p>
      <w:pPr>
        <w:pStyle w:val="Heading3"/>
      </w:pPr>
      <w:r>
        <w:t xml:space="preserve">2.2.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the DOFs of the cell-face nodes of every material patch of positive area on the cell faces, and all displacement DOFs of the active elements that carry a cut-surface patch of positive area. The latter elements form the layer of active elements intersected by the cut plane and are called the cut-plane elements; some of their nodes lie away from the cut plane, but the basis functions of these nodes contribute to the displacement and the virtual work on that plane.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Boundary loads act through</w:t>
      </w:r>
      <w:r>
        <w:t xml:space="preserve"> </w:t>
      </w:r>
      <m:oMath>
        <m:r>
          <m:t>q</m:t>
        </m:r>
      </m:oMath>
      <w:r>
        <w:t xml:space="preserve">, and interior body loads are zero.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t>E</m:t>
        </m:r>
      </m:oMath>
      <w:r>
        <w:t xml:space="preserve"> </w:t>
      </w:r>
      <w:r>
        <w:t xml:space="preserve">and the exact condensed stiffness</w:t>
      </w:r>
      <w:r>
        <w:t xml:space="preserve"> </w:t>
      </w:r>
      <m:oMath>
        <m:r>
          <m:t>S</m:t>
        </m:r>
      </m:oMath>
      <w:r>
        <w:t xml:space="preserve"> </w:t>
      </w:r>
      <w:r>
        <w:t xml:space="preserve">(the Schur complement):</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is spanned by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(Appendix A.1): the geometry generator accepts only cells whose active elements form a single face-connected set, and material that is connected only through partially filled elements is coupled through shared basis functions and the ghost penalty. An interior field with zero energy would be a rigid-body motion that vanishes on the retained DOFs, so the interior block</w:t>
      </w:r>
      <w:r>
        <w:t xml:space="preserve"> </w:t>
      </w:r>
      <m:oMath>
        <m:r>
          <m:t>A</m:t>
        </m:r>
      </m:oMath>
      <w:r>
        <w:t xml:space="preserve"> </w:t>
      </w:r>
      <w:r>
        <w:t xml:space="preserve">is positive definite, and prescribing</w:t>
      </w:r>
      <w:r>
        <w:t xml:space="preserve"> </w:t>
      </w:r>
      <m:oMath>
        <m:r>
          <m:t>q</m:t>
        </m:r>
      </m:oMath>
      <w:r>
        <w:t xml:space="preserve"> </w:t>
      </w:r>
      <w:r>
        <w:t xml:space="preserve">removes every interior motion with zero energy. The exact displacement recovery</w:t>
      </w:r>
      <w:r>
        <w:t xml:space="preserve"> </w:t>
      </w:r>
      <m:oMath>
        <m:r>
          <m:t>u</m:t>
        </m:r>
        <m:r>
          <m:rPr>
            <m:sty m:val="p"/>
          </m:rPr>
          <m:t>=</m:t>
        </m:r>
        <m:r>
          <m:t>E</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w:t>
      </w:r>
    </w:p>
    <w:p>
      <w:pPr>
        <w:pStyle w:val="Heading3"/>
      </w:pPr>
      <w:r>
        <w:t xml:space="preserve">2.3. Assembly, compliance and the design problem</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Coincident cell-face DOFs, identified by their position on the background mesh, are shared between neighbouring cells, whereas retained DOFs of the cut-plane elements that do not lie on the cell faces belong only to their own substructure. The thickness field on a shared face depends only on the four corner values of that face, and</w:t>
      </w:r>
      <w:r>
        <w:t xml:space="preserve"> </w:t>
      </w:r>
      <m:oMath>
        <m:r>
          <m:t>ϕ</m:t>
        </m:r>
      </m:oMath>
      <w:r>
        <w:t xml:space="preserve"> </w:t>
      </w:r>
      <w:r>
        <w:t xml:space="preserve">is periodic, so the material patches of two neighbouring cells coincide on every face that is not intersected by a cut. Where a cut removes material from one side of a face only, the unmatched face DOFs remain DOFs of the cell that carries them. Fixed homogeneous supports are incorporated into</w:t>
      </w:r>
      <w:r>
        <w:t xml:space="preserve"> </w:t>
      </w:r>
      <m:oMath>
        <m:sSub>
          <m:e>
            <m:r>
              <m:t>B</m:t>
            </m:r>
          </m:e>
          <m:sub>
            <m:r>
              <m:t>m</m:t>
            </m:r>
          </m:sub>
        </m:sSub>
      </m:oMath>
      <w:r>
        <w:t xml:space="preserve">, and the reference and the approximate assembled systems use the same maps</w:t>
      </w:r>
      <w:r>
        <w:t xml:space="preserve"> </w:t>
      </w:r>
      <m:oMath>
        <m:sSub>
          <m:e>
            <m:r>
              <m:t>B</m:t>
            </m:r>
          </m:e>
          <m:sub>
            <m:r>
              <m:t>m</m:t>
            </m:r>
          </m:sub>
        </m:sSub>
      </m:oMath>
      <w: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Because the interior DOF sets of different cells are disjoint, condensing each cell before assembly gives the same matrix as condensing the assembled fine-scale system. The supported reference matrix</w:t>
      </w:r>
      <w:r>
        <w:t xml:space="preserve"> </w:t>
      </w:r>
      <m:oMath>
        <m:r>
          <m:rPr>
            <m:scr m:val="double-struck"/>
            <m:sty m:val="p"/>
          </m:rPr>
          <m:t>K</m:t>
        </m:r>
      </m:oMath>
      <w:r>
        <w:t xml:space="preserve"> </w:t>
      </w:r>
      <w:r>
        <w:t xml:space="preserve">is assumed to be positive definite.</w:t>
      </w:r>
    </w:p>
    <w:p>
      <w:pPr>
        <w:pStyle w:val="BodyText"/>
      </w:pPr>
      <w:r>
        <w:t xml:space="preserve">The compliance is</w:t>
      </w:r>
      <w:r>
        <w:t xml:space="preserve"> </w:t>
      </w:r>
      <m:oMath>
        <m:r>
          <m:t>C</m:t>
        </m:r>
        <m:r>
          <m:rPr>
            <m:sty m:val="p"/>
          </m:rPr>
          <m:t>=</m:t>
        </m:r>
        <m:sSubSup>
          <m:e>
            <m:r>
              <m:t>f</m:t>
            </m:r>
          </m:e>
          <m:sub>
            <m:r>
              <m:t>g</m:t>
            </m:r>
          </m:sub>
          <m:sup>
            <m:r>
              <m:t>T</m:t>
            </m:r>
          </m:sup>
        </m:sSubSup>
        <m:r>
          <m:t>U</m:t>
        </m:r>
      </m:oMath>
      <w:r>
        <w:t xml:space="preserve"> </w:t>
      </w:r>
      <w:r>
        <w:t xml:space="preserve">and its approximation</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energy error of Section 3.1. The thickness sensitivities of a cell form the eight-component vector</w:t>
      </w:r>
      <w:r>
        <w:t xml:space="preserve"> </w:t>
      </w:r>
      <m:oMath>
        <m:r>
          <m:rPr>
            <m:sty m:val="b"/>
          </m:rPr>
          <m:t>s</m:t>
        </m:r>
      </m:oMath>
      <w:r>
        <w:t xml:space="preserve"> </w:t>
      </w:r>
      <w:r>
        <w:t xml:space="preserve">of Section 4.2, and with</w:t>
      </w:r>
      <w:r>
        <w:t xml:space="preserve"> </w:t>
      </w:r>
      <m:oMath>
        <m:acc>
          <m:accPr>
            <m:chr m:val="̃"/>
          </m:accPr>
          <m:e>
            <m:r>
              <m:rPr>
                <m:sty m:val="b"/>
              </m:rPr>
              <m:t>s</m:t>
            </m:r>
          </m:e>
        </m:acc>
      </m:oMath>
      <w:r>
        <w:t xml:space="preserve"> </w:t>
      </w:r>
      <w:r>
        <w:t xml:space="preserve">computed from the approximate displacements, their relative error in the Euclidean norm is</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w:t>
      </w:r>
    </w:p>
    <w:p>
      <w:pPr>
        <w:pStyle w:val="BodyText"/>
      </w:pPr>
      <w:r>
        <w:t xml:space="preserve">In design, the corner thickness parameters at the lattice vertices are the design variables; they are collected in</w:t>
      </w:r>
      <w:r>
        <w:t xml:space="preserve"> </w:t>
      </w:r>
      <m:oMath>
        <m:sSub>
          <m:e>
            <m:r>
              <m:rPr>
                <m:sty m:val="b"/>
              </m:rPr>
              <m:t>τ</m:t>
            </m:r>
          </m:e>
          <m:sub>
            <m:r>
              <m:t>g</m:t>
            </m:r>
          </m:sub>
        </m:sSub>
      </m:oMath>
      <w:r>
        <w:t xml:space="preserve"> </w:t>
      </w:r>
      <w:r>
        <w:t xml:space="preserve">and mapped to the corners of each cell by</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subject to</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t xml:space="preserve">, where</w:t>
      </w:r>
      <w:r>
        <w:t xml:space="preserve"> </w:t>
      </w:r>
      <m:oMath>
        <m:sSub>
          <m:e>
            <m:r>
              <m:rPr>
                <m:sty m:val="b"/>
              </m:rPr>
              <m:t>s</m:t>
            </m:r>
          </m:e>
          <m:sub>
            <m:r>
              <m:t>m</m:t>
            </m:r>
          </m:sub>
        </m:sSub>
      </m:oMath>
      <w:r>
        <w:t xml:space="preserve"> </w:t>
      </w:r>
      <w:r>
        <w:t xml:space="preserve">is the eight-component sensitivity vector of cell</w:t>
      </w:r>
      <w:r>
        <w:t xml:space="preserve"> </w:t>
      </w:r>
      <m:oMath>
        <m:r>
          <m:t>m</m:t>
        </m:r>
      </m:oMath>
      <w:r>
        <w:t xml:space="preserve"> </w:t>
      </w:r>
      <w:r>
        <w:t xml:space="preserve">(Section 4.2).</w:t>
      </w:r>
    </w:p>
    <w:p>
      <w:pPr>
        <w:pStyle w:val="BodyText"/>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this design problem must meet three requirements. First,</w:t>
      </w:r>
      <w:r>
        <w:t xml:space="preserve"> </w:t>
      </w:r>
      <m:oMath>
        <m:sSub>
          <m:e>
            <m:acc>
              <m:accPr>
                <m:chr m:val="̂"/>
              </m:accPr>
              <m:e>
                <m:r>
                  <m:t>S</m:t>
                </m:r>
              </m:e>
            </m:acc>
          </m:e>
          <m:sub>
            <m:r>
              <m:t>m</m:t>
            </m:r>
          </m:sub>
        </m:sSub>
      </m:oMath>
      <w:r>
        <w:t xml:space="preserve"> </w:t>
      </w:r>
      <w:r>
        <w:t xml:space="preserve">must be symmetric positive semidefinite, with a null space consisting only of the rigid-body modes of the retained DOFs, the columns of</w:t>
      </w:r>
      <w:r>
        <w:t xml:space="preserve"> </w:t>
      </w:r>
      <m:oMath>
        <m:sSub>
          <m:e>
            <m:r>
              <m:t>R</m:t>
            </m:r>
          </m:e>
          <m:sub>
            <m:r>
              <m:t>P</m:t>
            </m:r>
          </m:sub>
        </m:sSub>
      </m:oMath>
      <w:r>
        <w:t xml:space="preserve">. Second, the supported assembled matrix</w:t>
      </w:r>
      <w:r>
        <w:t xml:space="preserve"> </w:t>
      </w:r>
      <m:oMath>
        <m:acc>
          <m:accPr>
            <m:chr m:val="̂"/>
          </m:accPr>
          <m:e>
            <m:r>
              <m:rPr>
                <m:scr m:val="double-struck"/>
                <m:sty m:val="p"/>
              </m:rPr>
              <m:t>K</m:t>
            </m:r>
          </m:e>
        </m:acc>
      </m:oMath>
      <w:r>
        <w:t xml:space="preserve"> </w:t>
      </w:r>
      <w:r>
        <w:t xml:space="preserve">of Eq. (3) must be positive definite, which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Third, the error of</w:t>
      </w:r>
      <w:r>
        <w:t xml:space="preserve"> </w:t>
      </w:r>
      <m:oMath>
        <m:sSub>
          <m:e>
            <m:acc>
              <m:accPr>
                <m:chr m:val="̂"/>
              </m:accPr>
              <m:e>
                <m:r>
                  <m:t>S</m:t>
                </m:r>
              </m:e>
            </m:acc>
          </m:e>
          <m:sub>
            <m:r>
              <m:t>m</m:t>
            </m:r>
          </m:sub>
        </m:sSub>
      </m:oMath>
      <w:r>
        <w:t xml:space="preserve"> </w:t>
      </w:r>
      <w:r>
        <w:t xml:space="preserve">must be traceable to the compliance error</w:t>
      </w:r>
      <w:r>
        <w:t xml:space="preserve"> </w:t>
      </w:r>
      <m:oMath>
        <m:sSub>
          <m:e>
            <m:r>
              <m:t>e</m:t>
            </m:r>
          </m:e>
          <m:sub>
            <m:r>
              <m:t>C</m:t>
            </m:r>
          </m:sub>
        </m:sSub>
      </m:oMath>
      <w:r>
        <w:t xml:space="preserve"> </w:t>
      </w:r>
      <w:r>
        <w:t xml:space="preserve">and to the sensitivity error</w:t>
      </w:r>
      <w:r>
        <w:t xml:space="preserve"> </w:t>
      </w:r>
      <m:oMath>
        <m:sSub>
          <m:e>
            <m:r>
              <m:t>e</m:t>
            </m:r>
          </m:e>
          <m:sub>
            <m:r>
              <m:t>s</m:t>
            </m:r>
          </m:sub>
        </m:sSub>
      </m:oMath>
      <w:r>
        <w:t xml:space="preserve">, which weight this error differently. Section 3 constructs a condensed stiffness that meets these requirements: for a new geometry it needs no interior factorisation, even when the cut changes the discrete space, and it can be improved at deployment without retraining. Sections 3.1 and 4 derive what any recovery operator that satisfies the assumptions of Section 2.4 provides towards these requirements.</w:t>
      </w:r>
    </w:p>
    <w:p>
      <w:pPr>
        <w:pStyle w:val="Heading3"/>
      </w:pPr>
      <w:r>
        <w:t xml:space="preserve">2.4. Assumptions</w:t>
      </w:r>
    </w:p>
    <w:p>
      <w:pPr>
        <w:pStyle w:val="FirstParagraph"/>
      </w:pPr>
      <w:r>
        <w:t xml:space="preserve">Sections 3 and 4 consider an approximate displacement recovery operator</w:t>
      </w:r>
      <w:r>
        <w:t xml:space="preserve"> </w:t>
      </w:r>
      <m:oMath>
        <m:r>
          <m:t>F</m:t>
        </m:r>
      </m:oMath>
      <w:r>
        <w:t xml:space="preserve">, which maps the retained displacements</w:t>
      </w:r>
      <w:r>
        <w:t xml:space="preserve"> </w:t>
      </w:r>
      <m:oMath>
        <m:r>
          <m:t>q</m:t>
        </m:r>
      </m:oMath>
      <w:r>
        <w:t xml:space="preserve"> </w:t>
      </w:r>
      <w:r>
        <w:t xml:space="preserve">of a cell to the displacements</w:t>
      </w:r>
      <w:r>
        <w:t xml:space="preserve"> </w:t>
      </w:r>
      <m:oMath>
        <m:r>
          <m:t>F</m:t>
        </m:r>
        <m:r>
          <m:t>q</m:t>
        </m:r>
      </m:oMath>
      <w:r>
        <w:t xml:space="preserve"> </w:t>
      </w:r>
      <w:r>
        <w:t xml:space="preserve">of all its active DOFs. Propositions 1, 3 and 4 are stated under the following assumptions, given in full in Appendix B.1, and Proposition 2 also uses (A1) and (A2).</w:t>
      </w:r>
    </w:p>
    <w:p>
      <w:pPr>
        <w:pStyle w:val="Compact"/>
        <w:numPr>
          <w:ilvl w:val="0"/>
          <w:numId w:val="1002"/>
        </w:numPr>
      </w:pPr>
      <w:r>
        <w:t xml:space="preserve">(A1) The cell stiffness matrix</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2.2).</w:t>
      </w:r>
    </w:p>
    <w:p>
      <w:pPr>
        <w:pStyle w:val="Compact"/>
        <w:numPr>
          <w:ilvl w:val="0"/>
          <w:numId w:val="1002"/>
        </w:numPr>
      </w:pPr>
      <w:r>
        <w:t xml:space="preserve">(A2) The recovery operator</w:t>
      </w:r>
      <w:r>
        <w:t xml:space="preserve"> </w:t>
      </w:r>
      <m:oMath>
        <m:r>
          <m:t>F</m:t>
        </m:r>
      </m:oMath>
      <w:r>
        <w:t xml:space="preserve"> </w:t>
      </w:r>
      <w:r>
        <w:t xml:space="preserve">is linear, reproduces the retained displacements,</w:t>
      </w:r>
      <w:r>
        <w:t xml:space="preserve"> </w:t>
      </w:r>
      <m:oMath>
        <m:sSub>
          <m:e>
            <m:r>
              <m:t>J</m:t>
            </m:r>
          </m:e>
          <m:sub>
            <m:r>
              <m:t>P</m:t>
            </m:r>
          </m:sub>
        </m:sSub>
        <m:r>
          <m:t>F</m:t>
        </m:r>
        <m:r>
          <m:rPr>
            <m:sty m:val="p"/>
          </m:rPr>
          <m:t>=</m:t>
        </m:r>
        <m:sSub>
          <m:e>
            <m:r>
              <m:t>I</m:t>
            </m:r>
          </m:e>
          <m:sub>
            <m:r>
              <m:t>p</m:t>
            </m:r>
          </m:sub>
        </m:sSub>
      </m:oMath>
      <w:r>
        <w:t xml:space="preserve">, and reproduces rigid-body motions,</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DOFs, and the supported assembled stiffness matrix</w:t>
      </w:r>
      <w:r>
        <w:t xml:space="preserve"> </w:t>
      </w:r>
      <m:oMath>
        <m:r>
          <m:rPr>
            <m:scr m:val="double-struck"/>
            <m:sty m:val="p"/>
          </m:rPr>
          <m:t>K</m:t>
        </m:r>
      </m:oMath>
      <w:r>
        <w:t xml:space="preserve"> </w:t>
      </w:r>
      <w:r>
        <w:t xml:space="preserve">is positive definite (Section 2.3).</w:t>
      </w:r>
    </w:p>
    <w:p>
      <w:pPr>
        <w:pStyle w:val="Compact"/>
        <w:numPr>
          <w:ilvl w:val="0"/>
          <w:numId w:val="1002"/>
        </w:numPr>
      </w:pPr>
    </w:p>
    <w:p>
      <w:pPr>
        <w:pStyle w:val="Compact"/>
        <w:numPr>
          <w:ilvl w:val="1"/>
          <w:numId w:val="1003"/>
        </w:numPr>
      </w:pPr>
      <w:r>
        <w:t xml:space="preserve">On a design interval, the discrete choices listed in Appendix B.1 are fixed: the active elements, the ghost-penalty faces, the retained and interior DOF sets, the assembly maps with the supports, and the load.</w:t>
      </w:r>
    </w:p>
    <w:p>
      <w:pPr>
        <w:pStyle w:val="Heading2"/>
      </w:pPr>
      <w:r>
        <w:t xml:space="preserve">3. The NICE method</w:t>
      </w:r>
    </w:p>
    <w:p>
      <w:pPr>
        <w:pStyle w:val="FirstParagraph"/>
      </w:pPr>
      <w:r>
        <w:t xml:space="preserve">NICE is defined by the corrected recovery operator</w:t>
      </w:r>
      <w:r>
        <w:t xml:space="preserve"> </w:t>
      </w:r>
      <m:oMath>
        <m:r>
          <m:t>F</m:t>
        </m:r>
      </m:oMath>
      <w:r>
        <w:t xml:space="preserve">, which maps the retained displacements of a cell to the displacements of the whole cell;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follows from the strain energy of the recovered displacement field, and</w:t>
      </w:r>
      <w:r>
        <w:t xml:space="preserve"> </w:t>
      </w:r>
      <m:oMath>
        <m:r>
          <m:t>F</m:t>
        </m:r>
        <m:r>
          <m:rPr>
            <m:sty m:val="p"/>
          </m:rPr>
          <m:t>=</m:t>
        </m:r>
        <m:r>
          <m:t>E</m:t>
        </m:r>
      </m:oMath>
      <w:r>
        <w:t xml:space="preserve"> </w:t>
      </w:r>
      <w:r>
        <w:t xml:space="preserve">gives exact static condensation. Section 3.1 computes the condensed stiffness from the strain energy and applies it with the transpose of</w:t>
      </w:r>
      <w:r>
        <w:t xml:space="preserve"> </w:t>
      </w:r>
      <m:oMath>
        <m:r>
          <m:t>F</m:t>
        </m:r>
      </m:oMath>
      <w:r>
        <w:t xml:space="preserve">; for any recovery operator that reproduces the retained displacements and rigid-body motions, the condensed stiffness is then symmetric positive semidefinite and never softer than the exact one. The interior displacements are predicted by a network that takes the cell geometry as input, and the resulting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left by the network (Sections 3.3 and 3.4); the network is trained with this correction applied (Section 3.5). Section 3.6 describes how the condensed stiffness is applied, and Figure 2 shows how these parts define both the action of the condensed stiffness and the displacements recovered after assembly.</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 condensed stiffness of one cell, assembly and design.</w:t>
      </w:r>
      <w:r>
        <w:t xml:space="preserve"> </w:t>
      </w:r>
      <w:r>
        <w:t xml:space="preserve">(a) The rigid-body part of the retained displacements is separated before the network predicts the interior displacements, so that the network acts only on the deformation; the rigid-body field is then added back and the prescribed retained displacements are restored, which gives</w:t>
      </w:r>
      <w:r>
        <w:t xml:space="preserve"> </w:t>
      </w:r>
      <m:oMath>
        <m:acc>
          <m:accPr>
            <m:chr m:val="̂"/>
          </m:accPr>
          <m:e>
            <m:r>
              <m:t>E</m:t>
            </m:r>
          </m:e>
        </m:acc>
        <m:r>
          <m:t>q</m:t>
        </m:r>
      </m:oMath>
      <w:r>
        <w:t xml:space="preserve">. The two-grid correction</w:t>
      </w:r>
      <w:r>
        <w:t xml:space="preserve"> </w:t>
      </w:r>
      <m:oMath>
        <m:r>
          <m:rPr>
            <m:scr m:val="script"/>
            <m:sty m:val="p"/>
          </m:rPr>
          <m:t>W</m:t>
        </m:r>
      </m:oMath>
      <w:r>
        <w:t xml:space="preserve"> </w:t>
      </w:r>
      <w:r>
        <w:t xml:space="preserve">reduces the interior force imbalance with the retained displacements held fixed, which gives</w:t>
      </w:r>
      <w:r>
        <w:t xml:space="preserve"> </w:t>
      </w:r>
      <m:oMath>
        <m:acc>
          <m:accPr>
            <m:chr m:val="̂"/>
          </m:accPr>
          <m:e>
            <m:r>
              <m:t>u</m:t>
            </m:r>
          </m:e>
        </m:acc>
        <m:r>
          <m:rPr>
            <m:sty m:val="p"/>
          </m:rPr>
          <m:t>=</m:t>
        </m:r>
        <m:r>
          <m:t>F</m:t>
        </m:r>
        <m:r>
          <m:t>q</m:t>
        </m:r>
      </m:oMath>
      <w:r>
        <w:t xml:space="preserve">, and applying the cell stiffness</w:t>
      </w:r>
      <w:r>
        <w:t xml:space="preserve"> </w:t>
      </w:r>
      <m:oMath>
        <m:r>
          <m:t>K</m:t>
        </m:r>
      </m:oMath>
      <w:r>
        <w:t xml:space="preserve"> </w:t>
      </w:r>
      <w:r>
        <w:t xml:space="preserve">and then the transpose</w:t>
      </w:r>
      <w:r>
        <w:t xml:space="preserve"> </w:t>
      </w:r>
      <m:oMath>
        <m:sSup>
          <m:e>
            <m:r>
              <m:t>F</m:t>
            </m:r>
          </m:e>
          <m:sup>
            <m:r>
              <m:t>T</m:t>
            </m:r>
          </m:sup>
        </m:sSup>
      </m:oMath>
      <w:r>
        <w:t xml:space="preserve"> </w:t>
      </w:r>
      <w:r>
        <w:t xml:space="preserve">gives the corresponding nodal forces on the retained DOFs,</w:t>
      </w:r>
      <w:r>
        <w:t xml:space="preserve"> </w:t>
      </w:r>
      <m:oMath>
        <m:acc>
          <m:accPr>
            <m:chr m:val="̂"/>
          </m:accPr>
          <m:e>
            <m:r>
              <m:t>S</m:t>
            </m:r>
          </m:e>
        </m:acc>
        <m:r>
          <m:t>q</m:t>
        </m:r>
      </m:oMath>
      <w:r>
        <w:t xml:space="preserve">. The ordering</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t xml:space="preserve">in (a), where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is that of Proposition 2; it concerns the energy error and does not apply to the sensitivity error. (b) The condensed stiffness matrices of the cells are assembled on the shared cell-face DOFs and the assembled system is solved; the displacements of every cell are recovered from the assembled solution, and the compliance and the thickness sensitivity are computed. A design iteration updates the corner thickness parameters and therefore changes the geometry of every cell;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r>
          <m:t>F</m:t>
        </m:r>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r>
          <m:t>F</m:t>
        </m:r>
        <m:r>
          <m:t>q</m:t>
        </m:r>
      </m:oMath>
      <w:r>
        <w:t xml:space="preserve"> </w:t>
      </w:r>
      <w:r>
        <w:t xml:space="preserve">of the whole cell and reproduces the retained displacements,</w:t>
      </w:r>
      <w:r>
        <w:t xml:space="preserve"> </w:t>
      </w:r>
      <m:oMath>
        <m:sSub>
          <m:e>
            <m:r>
              <m:t>J</m:t>
            </m:r>
          </m:e>
          <m:sub>
            <m:r>
              <m:t>P</m:t>
            </m:r>
          </m:sub>
        </m:sSub>
        <m:r>
          <m:t>F</m:t>
        </m:r>
        <m:r>
          <m:rPr>
            <m:sty m:val="p"/>
          </m:rPr>
          <m:t>=</m:t>
        </m:r>
        <m:sSub>
          <m:e>
            <m:r>
              <m:t>I</m:t>
            </m:r>
          </m:e>
          <m:sub>
            <m:r>
              <m:t>p</m:t>
            </m:r>
          </m:sub>
        </m:sSub>
      </m:oMath>
      <w:r>
        <w:t xml:space="preserve">, and the rigid-body motions,</w:t>
      </w:r>
      <w:r>
        <w:t xml:space="preserve"> </w:t>
      </w:r>
      <m:oMath>
        <m:r>
          <m:t>F</m:t>
        </m:r>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2.2; together with linearity, these conditions form assumption (A2) of Section 2.4. In NICE,</w:t>
      </w:r>
      <w:r>
        <w:t xml:space="preserve"> </w:t>
      </w:r>
      <m:oMath>
        <m:r>
          <m:t>F</m:t>
        </m:r>
      </m:oMath>
      <w:r>
        <w:t xml:space="preserve"> </w:t>
      </w:r>
      <w:r>
        <w:t xml:space="preserve">consists of the network recovery operator</w:t>
      </w:r>
      <w:r>
        <w:t xml:space="preserve"> </w:t>
      </w:r>
      <m:oMath>
        <m:acc>
          <m:accPr>
            <m:chr m:val="̂"/>
          </m:accPr>
          <m:e>
            <m:r>
              <m:t>E</m:t>
            </m:r>
          </m:e>
        </m:acc>
      </m:oMath>
      <w:r>
        <w:t xml:space="preserve"> </w:t>
      </w:r>
      <w:r>
        <w:t xml:space="preserve">followed by the two-grid correction</w:t>
      </w:r>
      <w:r>
        <w:t xml:space="preserve"> </w:t>
      </w:r>
      <m:oMath>
        <m:r>
          <m:rPr>
            <m:scr m:val="script"/>
            <m:sty m:val="p"/>
          </m:rPr>
          <m:t>W</m:t>
        </m:r>
      </m:oMath>
      <w:r>
        <w:t xml:space="preserve">, both described at the end of this section. The recovery operator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r>
          <m:t>F</m:t>
        </m:r>
      </m:oMath>
      <w:r>
        <w:t xml:space="preserve">; only the relation</w:t>
      </w:r>
      <w:r>
        <w:t xml:space="preserve"> </w:t>
      </w:r>
      <m:oMath>
        <m:r>
          <m:t>F</m:t>
        </m:r>
        <m:r>
          <m:rPr>
            <m:sty m:val="p"/>
          </m:rPr>
          <m:t>=</m:t>
        </m:r>
        <m:r>
          <m:rPr>
            <m:scr m:val="script"/>
            <m:sty m:val="p"/>
          </m:rPr>
          <m:t>W</m:t>
        </m:r>
        <m:acc>
          <m:accPr>
            <m:chr m:val="̂"/>
          </m:accPr>
          <m:e>
            <m:r>
              <m:t>E</m:t>
            </m:r>
          </m:e>
        </m:acc>
      </m:oMath>
      <w:r>
        <w:t xml:space="preserve"> </w:t>
      </w:r>
      <w:r>
        <w:t xml:space="preserve">is specific to NICE. The form</w:t>
      </w:r>
      <w:r>
        <w:t xml:space="preserve"> </w:t>
      </w:r>
      <m:oMath>
        <m:acc>
          <m:accPr>
            <m:chr m:val="̂"/>
          </m:accPr>
          <m:e>
            <m:r>
              <m:t>S</m:t>
            </m:r>
          </m:e>
        </m:acc>
        <m:r>
          <m:rPr>
            <m:sty m:val="p"/>
          </m:rPr>
          <m:t>=</m:t>
        </m:r>
        <m:sSup>
          <m:e>
            <m:r>
              <m:t>F</m:t>
            </m:r>
          </m:e>
          <m:sup>
            <m:r>
              <m:t>T</m:t>
            </m:r>
          </m:sup>
        </m:sSup>
        <m:r>
          <m:t>K</m:t>
        </m:r>
        <m:r>
          <m:t>F</m:t>
        </m:r>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30">
        <w:r>
          <w:rPr>
            <w:rStyle w:val="Hyperlink"/>
          </w:rPr>
          <w:t xml:space="preserve">Huang et al. (2023)</w:t>
        </w:r>
      </w:hyperlink>
      <w:r>
        <w:t xml:space="preserve">; NICE, however, does not form</w:t>
      </w:r>
      <w:r>
        <w:t xml:space="preserve"> </w:t>
      </w:r>
      <m:oMath>
        <m:r>
          <m:t>F</m:t>
        </m:r>
      </m:oMath>
      <w:r>
        <w:t xml:space="preserve">. For a virtual retained displacement</w:t>
      </w:r>
      <w:r>
        <w:t xml:space="preserve"> </w:t>
      </w:r>
      <m:oMath>
        <m:r>
          <m:t>δ</m:t>
        </m:r>
        <m:r>
          <m:t>q</m:t>
        </m:r>
      </m:oMath>
      <w:r>
        <w:t xml:space="preserve">, the virtual displacement of the whole cell is</w:t>
      </w:r>
      <w:r>
        <w:t xml:space="preserve"> </w:t>
      </w:r>
      <m:oMath>
        <m:r>
          <m:t>F</m:t>
        </m:r>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so applying the condensed stiffness requires the transpose</w:t>
      </w:r>
      <w:r>
        <w:t xml:space="preserve"> </w:t>
      </w:r>
      <m:oMath>
        <m:sSup>
          <m:e>
            <m:r>
              <m:t>F</m:t>
            </m:r>
          </m:e>
          <m:sup>
            <m:r>
              <m:t>T</m:t>
            </m:r>
          </m:sup>
        </m:sSup>
      </m:oMath>
      <w:r>
        <w:t xml:space="preserve"> </w:t>
      </w:r>
      <w:r>
        <w:t xml:space="preserve">after the stiffness action. In NICE, this transpose includes every step of</w:t>
      </w:r>
      <w:r>
        <w:t xml:space="preserve"> </w:t>
      </w:r>
      <m:oMath>
        <m:r>
          <m:t>F</m:t>
        </m:r>
      </m:oMath>
      <w:r>
        <w:t xml:space="preserve">: the rigid-body reconstruction, the restoration of the retained displacements and the correction. With</w:t>
      </w:r>
      <w:r>
        <w:t xml:space="preserve"> </w:t>
      </w:r>
      <m:oMath>
        <m:sSub>
          <m:e>
            <m:r>
              <m:t>F</m:t>
            </m:r>
          </m:e>
          <m:sub>
            <m:r>
              <m:t>I</m:t>
            </m:r>
          </m:sub>
        </m:sSub>
        <m:r>
          <m:rPr>
            <m:sty m:val="p"/>
          </m:rPr>
          <m:t>=</m:t>
        </m:r>
        <m:sSub>
          <m:e>
            <m:r>
              <m:t>J</m:t>
            </m:r>
          </m:e>
          <m:sub>
            <m:r>
              <m:t>I</m:t>
            </m:r>
          </m:sub>
        </m:sSub>
        <m:r>
          <m:t>F</m:t>
        </m:r>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r>
          <m:t>F</m:t>
        </m:r>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gather, scatter and grid-transfer maps of the network to be symmetric (Section 3.2). Since the null space of</w:t>
      </w:r>
      <w:r>
        <w:t xml:space="preserve"> </w:t>
      </w:r>
      <m:oMath>
        <m:r>
          <m:t>K</m:t>
        </m:r>
      </m:oMath>
      <w:r>
        <w:t xml:space="preserve"> </w:t>
      </w:r>
      <w:r>
        <w:t xml:space="preserve">consists of the rigid-body modes (Section 2.2) and</w:t>
      </w:r>
      <w:r>
        <w:t xml:space="preserve"> </w:t>
      </w:r>
      <m:oMath>
        <m:r>
          <m:t>F</m:t>
        </m:r>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The transpose</w:t>
      </w:r>
      <w:r>
        <w:t xml:space="preserve"> </w:t>
      </w:r>
      <m:oMath>
        <m:sSup>
          <m:e>
            <m:r>
              <m:t>F</m:t>
            </m:r>
          </m:e>
          <m:sup>
            <m:r>
              <m:t>T</m:t>
            </m:r>
          </m:sup>
        </m:sSup>
      </m:oMath>
      <w:r>
        <w:t xml:space="preserve"> </w:t>
      </w:r>
      <w:r>
        <w:t xml:space="preserve">is derived in Appendix E, and Appendix B.2 shows that, with this transpose, the error of the condensed stiffness is quadratic in the interior error.</w:t>
      </w:r>
    </w:p>
    <w:p>
      <w:pPr>
        <w:pStyle w:val="BodyText"/>
      </w:pPr>
      <w:r>
        <w:t xml:space="preserve">Under assumption (A1), the exact field</w:t>
      </w:r>
      <w:r>
        <w:t xml:space="preserve"> </w:t>
      </w:r>
      <m:oMath>
        <m:r>
          <m:t>E</m:t>
        </m:r>
        <m:r>
          <m:t>q</m:t>
        </m:r>
      </m:oMath>
      <w:r>
        <w:t xml:space="preserve"> </w:t>
      </w:r>
      <w:r>
        <w:t xml:space="preserve">has the smallest strain energy among all displacement fields with retained displacements</w:t>
      </w:r>
      <w:r>
        <w:t xml:space="preserve"> </w:t>
      </w:r>
      <m:oMath>
        <m:r>
          <m:t>q</m:t>
        </m:r>
      </m:oMath>
      <w:r>
        <w:t xml:space="preserve">, by the principle of minimum potential energy. Any recovery operator</w:t>
      </w:r>
      <w:r>
        <w:t xml:space="preserve"> </w:t>
      </w:r>
      <m:oMath>
        <m:r>
          <m:t>F</m:t>
        </m:r>
      </m:oMath>
      <w:r>
        <w:t xml:space="preserve"> </w:t>
      </w:r>
      <w:r>
        <w:t xml:space="preserve">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t xml:space="preserve">differs from</w:t>
      </w:r>
      <w:r>
        <w:t xml:space="preserve"> </w:t>
      </w:r>
      <m:oMath>
        <m:r>
          <m:t>E</m:t>
        </m:r>
      </m:oMath>
      <w:r>
        <w:t xml:space="preserve"> </w:t>
      </w:r>
      <w:r>
        <w:t xml:space="preserve">only in the interior DOFs; let</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t>E</m:t>
        </m:r>
        <m:r>
          <m:rPr>
            <m:sty m:val="p"/>
          </m:rPr>
          <m:t>=</m:t>
        </m:r>
        <m:r>
          <m:t>0</m:t>
        </m:r>
      </m:oMath>
      <w:r>
        <w:t xml:space="preserve">, the cross terms between</w:t>
      </w:r>
      <w:r>
        <w:t xml:space="preserve"> </w:t>
      </w:r>
      <m:oMath>
        <m:r>
          <m:t>E</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r>
              <m:t>F</m:t>
            </m:r>
          </m:e>
          <m:sup>
            <m:r>
              <m:t>T</m:t>
            </m:r>
          </m:sup>
        </m:sSup>
        <m:r>
          <m:t>K</m:t>
        </m:r>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equal to the energy of its interior error; the error has no first-order term, because the exact field is in interior equilibrium, and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t>E</m:t>
        </m:r>
      </m:oMath>
      <w:r>
        <w:t xml:space="preserve">, but evaluating its</w:t>
      </w:r>
      <w:r>
        <w:t xml:space="preserve"> </w:t>
      </w:r>
      <m:oMath>
        <m:sSup>
          <m:e>
            <m:r>
              <m:t>A</m:t>
            </m:r>
          </m:e>
          <m:sup>
            <m:r>
              <m:rPr>
                <m:sty m:val="p"/>
              </m:rPr>
              <m:t>−</m:t>
            </m:r>
            <m:r>
              <m:t>1</m:t>
            </m:r>
          </m:sup>
        </m:sSup>
      </m:oMath>
      <w:r>
        <w:t xml:space="preserve">-norm requires one interior solve per test displacement, and a bound on the energy error over all retained displacements follows only from how well the sampled test displacements cover them (Appendices B and G.4). Proposition 1 and the residual form of Eq. (7) are classical results</w:t>
      </w:r>
      <w:r>
        <w:t xml:space="preserve"> </w:t>
      </w:r>
      <w:hyperlink r:id="rId84">
        <w:r>
          <w:rPr>
            <w:rStyle w:val="Hyperlink"/>
          </w:rPr>
          <w:t xml:space="preserve">Fraeijs de Veubeke (1965)</w:t>
        </w:r>
      </w:hyperlink>
      <w:r>
        <w:t xml:space="preserve">,</w:t>
      </w:r>
      <w:r>
        <w:t xml:space="preserve"> </w:t>
      </w:r>
      <w:hyperlink r:id="rId48">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t xml:space="preserve">In NICE,</w:t>
      </w:r>
      <w:r>
        <w:t xml:space="preserve"> </w:t>
      </w:r>
      <m:oMath>
        <m:r>
          <m:t>F</m:t>
        </m:r>
        <m:r>
          <m:rPr>
            <m:sty m:val="p"/>
          </m:rPr>
          <m:t>=</m:t>
        </m:r>
        <m:r>
          <m:rPr>
            <m:scr m:val="script"/>
            <m:sty m:val="p"/>
          </m:rPr>
          <m:t>W</m:t>
        </m:r>
        <m:acc>
          <m:accPr>
            <m:chr m:val="̂"/>
          </m:accPr>
          <m:e>
            <m:r>
              <m:t>E</m:t>
            </m:r>
          </m:e>
        </m:acc>
      </m:oMath>
      <w:r>
        <w:t xml:space="preserve">. Section 3.2 constructs the network recovery operator</w:t>
      </w:r>
      <w:r>
        <w:t xml:space="preserve"> </w:t>
      </w:r>
      <m:oMath>
        <m:acc>
          <m:accPr>
            <m:chr m:val="̂"/>
          </m:accPr>
          <m:e>
            <m:r>
              <m:t>E</m:t>
            </m:r>
          </m:e>
        </m:acc>
      </m:oMath>
      <w:r>
        <w:t xml:space="preserve">, which reproduces the retained displacements,</w:t>
      </w:r>
      <w:r>
        <w:t xml:space="preserve"> </w:t>
      </w:r>
      <m:oMath>
        <m:sSub>
          <m:e>
            <m:r>
              <m:t>J</m:t>
            </m:r>
          </m:e>
          <m:sub>
            <m:r>
              <m:t>P</m:t>
            </m:r>
          </m:sub>
        </m:sSub>
        <m:acc>
          <m:accPr>
            <m:chr m:val="̂"/>
          </m:accPr>
          <m:e>
            <m:r>
              <m:t>E</m:t>
            </m:r>
          </m:e>
        </m:acc>
        <m:r>
          <m:rPr>
            <m:sty m:val="p"/>
          </m:rPr>
          <m:t>=</m:t>
        </m:r>
        <m:sSub>
          <m:e>
            <m:r>
              <m:t>I</m:t>
            </m:r>
          </m:e>
          <m:sub>
            <m:r>
              <m:t>p</m:t>
            </m:r>
          </m:sub>
        </m:sSub>
      </m:oMath>
      <w:r>
        <w:t xml:space="preserve">, and the rigid-body motions,</w:t>
      </w:r>
      <w:r>
        <w:t xml:space="preserve"> </w:t>
      </w:r>
      <m:oMath>
        <m:acc>
          <m:accPr>
            <m:chr m:val="̂"/>
          </m:accPr>
          <m:e>
            <m:r>
              <m:t>E</m:t>
            </m:r>
          </m:e>
        </m:acc>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and taking</w:t>
      </w:r>
      <w:r>
        <w:t xml:space="preserve"> </w:t>
      </w:r>
      <m:oMath>
        <m:r>
          <m:rPr>
            <m:scr m:val="script"/>
            <m:sty m:val="p"/>
          </m:rPr>
          <m:t>W</m:t>
        </m:r>
      </m:oMath>
      <w:r>
        <w:t xml:space="preserve"> </w:t>
      </w:r>
      <w:r>
        <w:t xml:space="preserve">as the identity gives the uncorrected recovery</w:t>
      </w:r>
      <w:r>
        <w:t xml:space="preserve"> </w:t>
      </w:r>
      <m:oMath>
        <m:r>
          <m:t>F</m:t>
        </m:r>
        <m:r>
          <m:rPr>
            <m:sty m:val="p"/>
          </m:rPr>
          <m:t>=</m:t>
        </m:r>
        <m:acc>
          <m:accPr>
            <m:chr m:val="̂"/>
          </m:accPr>
          <m:e>
            <m:r>
              <m:t>E</m:t>
            </m:r>
          </m:e>
        </m:acc>
      </m:oMath>
      <w:r>
        <w:t xml:space="preserve">. For each geometry, the steps of the cycle and their coefficients are fixed independently of the retained displacements, and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r>
          <m:t>F</m:t>
        </m:r>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r>
          <m:t>F</m:t>
        </m:r>
      </m:oMath>
      <w:r>
        <w:t xml:space="preserve">, which Sections 3.3 and 3.4 reduce. After the assembled system is solved,</w:t>
      </w:r>
      <w:r>
        <w:t xml:space="preserve"> </w:t>
      </w:r>
      <m:oMath>
        <m:sSub>
          <m:e>
            <m:r>
              <m:t>F</m:t>
            </m:r>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verifies the three properties numerically.</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so one network serves the sets of retained DOFs of all geometries within the range covered by training. Because the material boundaries intersect the background elements, the element moments, the integrals of local monomials over the material part of each background element (Appendix A.1), enter as geometry input. The map from the retained displacements to the interior displacements couples distant parts of the cell, and this long-range coupling is carried by a U-shaped grid hierarchy, which passes the features to successively coarser grids and back.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With the columns of</w:t>
      </w:r>
      <w:r>
        <w:t xml:space="preserve"> </w:t>
      </w:r>
      <m:oMath>
        <m:r>
          <m:t>R</m:t>
        </m:r>
      </m:oMath>
      <w:r>
        <w:t xml:space="preserve"> </w:t>
      </w:r>
      <w:r>
        <w:t xml:space="preserve">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which splits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and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and coefficient heads,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which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mixes the channels within each head and scatters the result back to the nodes of the stencil. With</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and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independent of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acc>
          <m:accPr>
            <m:chr m:val="̂"/>
          </m:accPr>
          <m:e>
            <m:r>
              <m:t>E</m:t>
            </m:r>
          </m:e>
        </m:acc>
        <m:r>
          <m:rPr>
            <m:sty m:val="p"/>
          </m:rPr>
          <m:t>=</m:t>
        </m:r>
        <m:sSub>
          <m:e>
            <m:r>
              <m:t>I</m:t>
            </m:r>
          </m:e>
          <m:sub>
            <m:r>
              <m:t>p</m:t>
            </m:r>
          </m:sub>
        </m:sSub>
      </m:oMath>
      <w:r>
        <w:t xml:space="preserve">, from the final overwrite of the retained displacements, and</w:t>
      </w:r>
      <w:r>
        <w:t xml:space="preserve"> </w:t>
      </w:r>
      <m:oMath>
        <m:acc>
          <m:accPr>
            <m:chr m:val="̂"/>
          </m:accPr>
          <m:e>
            <m:r>
              <m:t>E</m:t>
            </m:r>
          </m:e>
        </m:acc>
        <m:sSub>
          <m:e>
            <m:r>
              <m:t>R</m:t>
            </m:r>
          </m:e>
          <m:sub>
            <m:r>
              <m:t>P</m:t>
            </m:r>
          </m:sub>
        </m:sSub>
        <m:r>
          <m:rPr>
            <m:sty m:val="p"/>
          </m:rPr>
          <m:t>=</m:t>
        </m:r>
        <m:r>
          <m:t>R</m:t>
        </m:r>
      </m:oMath>
      <w:r>
        <w:t xml:space="preserve">,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so that, in exact arithmetic, the returned nodal forces are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and the grid hierarchy carries information between distant parts of the cell, as the coarse levels do in multigrid. The resemblance is limited to the data flow, however: the branch never applies the stiffness matrix and does not compute residuals, the equilibrium solution of the interior problem is not a fixed point of its layers, and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 vectors with 64 channels, which then exchange information in two residual rounds. Coefficient heads compute from these vectors the coefficients of the local interactions, the grid transfers and the convolutions. The heads of the local interactions also receive a position embedding, which identifies the local node position within a stencil (Appendix G.1). (b) Displacement branch. The retained displacements, with their rigid-body part removed, pass through four pairs of local interactions, the grid hierarchy, four further pairs and four pairs on stencils that contain weakly connected nodes (labelled 'Weak'). Linear maps convert the three displacement components to 32 feature channels at the input and back at the output. Bypass paths without learned parameters reconstruct the rigid-body motion and restore the prescribed retained displacements. (c) Multiscale displacement propagation. Restriction</w:t>
      </w:r>
      <w:r>
        <w:t xml:space="preserve"> </w:t>
      </w:r>
      <m:oMath>
        <m:r>
          <m:rPr>
            <m:scr m:val="script"/>
            <m:sty m:val="p"/>
          </m:rPr>
          <m:t>R</m:t>
        </m:r>
      </m:oMath>
      <w:r>
        <w:t xml:space="preserve"> </w:t>
      </w:r>
      <w:r>
        <w:t xml:space="preserve">and prolongation</w:t>
      </w:r>
      <w:r>
        <w:t xml:space="preserve"> </w:t>
      </w:r>
      <m:oMath>
        <m:r>
          <m:rPr>
            <m:scr m:val="script"/>
            <m:sty m:val="p"/>
          </m:rPr>
          <m:t>I</m:t>
        </m:r>
      </m:oMath>
      <w:r>
        <w:t xml:space="preserve"> </w:t>
      </w:r>
      <w:r>
        <w:t xml:space="preserve">connect the grids of the hierarchy, which have 65, 33, 17 and 9 background positions per axis. Each coarse grid applies two residual convolutions on the downward pass and two on the upward pass. (d) Local interaction. The features at the 27 local nodes of a stencil are gathered with geometry-dependent weights into four heads, and the channels are mixed within each head. The result is scattered back to the nodes and added to the incoming features, and the retained features are then restored. E and G denote element and ghost-face interactions. Blue dashed arrows carry geometry-dependent coefficients, and solid arrows carry features or displacements. For fixed geometry, the complete displacement path is linear.</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with the retained displacements held fixed. Polynomial smoothing</w:t>
      </w:r>
      <w:r>
        <w:t xml:space="preserve"> </w:t>
      </w:r>
      <w:hyperlink r:id="rId89">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and let the generalised eigenvectors</w:t>
      </w:r>
      <w:r>
        <w:t xml:space="preserve"> </w:t>
      </w:r>
      <m:oMath>
        <m:sSub>
          <m:e>
            <m:r>
              <m:t>v</m:t>
            </m:r>
          </m:e>
          <m:sub>
            <m:r>
              <m:t>j</m:t>
            </m:r>
          </m:sub>
        </m:sSub>
      </m:oMath>
      <w:r>
        <w:t xml:space="preserve">, ordered by increasing eigenvalue, 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Jacobi-scaled interior 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serves as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which Chebyshev semi-iteration with Jacobi preconditioning</w:t>
      </w:r>
      <w:r>
        <w:t xml:space="preserve"> </w:t>
      </w:r>
      <w:hyperlink r:id="rId36">
        <w:r>
          <w:rPr>
            <w:rStyle w:val="Hyperlink"/>
          </w:rPr>
          <w:t xml:space="preserve">Golub &amp; Varga (1961)</w:t>
        </w:r>
      </w:hyperlink>
      <w:r>
        <w:t xml:space="preserve"> </w:t>
      </w:r>
      <w:r>
        <w:t xml:space="preserve">improves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in</w:t>
      </w:r>
      <w:r>
        <w:t xml:space="preserve"> </w:t>
      </w:r>
      <m:oMath>
        <m:r>
          <m:t>q</m:t>
        </m:r>
      </m:oMath>
      <w:r>
        <w:t xml:space="preserve">. Smoothing a learned initial approximation resembles both the smoothing of a tentative prolongation in smoothed aggregation</w:t>
      </w:r>
      <w:r>
        <w:t xml:space="preserve"> </w:t>
      </w:r>
      <w:hyperlink r:id="rId78">
        <w:r>
          <w:rPr>
            <w:rStyle w:val="Hyperlink"/>
          </w:rPr>
          <w:t xml:space="preserve">Vaněk et al. (1996)</w:t>
        </w:r>
      </w:hyperlink>
      <w:r>
        <w:t xml:space="preserve"> </w:t>
      </w:r>
      <w:r>
        <w:t xml:space="preserve">and hybrid solvers in which relaxation removes the high-frequency error left by a learned prediction</w:t>
      </w:r>
      <w:r>
        <w:t xml:space="preserve"> </w:t>
      </w:r>
      <w:hyperlink r:id="rId66">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each coefficient</w:t>
      </w:r>
      <w:r>
        <w:t xml:space="preserve"> </w:t>
      </w:r>
      <m:oMath>
        <m:sSub>
          <m:e>
            <m:r>
              <m:t>c</m:t>
            </m:r>
          </m:e>
          <m:sub>
            <m:r>
              <m:t>j</m:t>
            </m:r>
          </m:sub>
        </m:sSub>
      </m:oMath>
      <w:r>
        <w:t xml:space="preserve"> </w:t>
      </w:r>
      <w:r>
        <w:t xml:space="preserve">in Eq. (10) is thus multiplied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the polynomial does not increase the error in the</w:t>
      </w:r>
      <w:r>
        <w:t xml:space="preserve"> </w:t>
      </w:r>
      <m:oMath>
        <m:r>
          <m:t>A</m:t>
        </m:r>
      </m:oMath>
      <w:r>
        <w:t xml:space="preserve">-energy norm, but modes with eigenvalues below</w:t>
      </w:r>
      <w:r>
        <w:t xml:space="preserve"> </w:t>
      </w:r>
      <m:oMath>
        <m:r>
          <m:t>a</m:t>
        </m:r>
      </m:oMath>
      <w:r>
        <w:t xml:space="preserve"> </w:t>
      </w:r>
      <w:r>
        <w:t xml:space="preserve">can decay slowly and require the complementary coarse-grid correction of Section 3.4. All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w:t>
      </w:r>
      <w:r>
        <w:t xml:space="preserve">increased by 5%; Section 5.2 verifies that</w:t>
      </w:r>
      <w:r>
        <w:t xml:space="preserve"> </w:t>
      </w:r>
      <m:oMath>
        <m:r>
          <m:t>b</m:t>
        </m:r>
      </m:oMath>
      <w:r>
        <w:t xml:space="preserve"> </w:t>
      </w:r>
      <w:r>
        <w:t xml:space="preserve">bounds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and the last relation in Eq. (11) gives the energy removed by this projection</w:t>
      </w:r>
      <w:r>
        <w:t xml:space="preserve"> </w:t>
      </w:r>
      <w:hyperlink r:id="rId35">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correction</w:t>
      </w:r>
      <w:r>
        <w:t xml:space="preserve"> </w:t>
      </w:r>
      <m:oMath>
        <m:r>
          <m:rPr>
            <m:scr m:val="script"/>
            <m:sty m:val="p"/>
          </m:rPr>
          <m:t>W</m:t>
        </m:r>
      </m:oMath>
      <w:r>
        <w:t xml:space="preserve"> </w:t>
      </w:r>
      <w:r>
        <w:t xml:space="preserve">of Section 3.1 is the two-grid cycle, which places the coarse-grid correction between two smoothing stages of</w:t>
      </w:r>
      <w:r>
        <w:t xml:space="preserve"> </w:t>
      </w:r>
      <m:oMath>
        <m:r>
          <m:t>k</m:t>
        </m:r>
      </m:oMath>
      <w:r>
        <w:t xml:space="preserve"> </w:t>
      </w:r>
      <w:r>
        <w:t xml:space="preserve">steps each.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r>
          <m:t>F</m:t>
        </m:r>
      </m:oMath>
      <w:r>
        <w:t xml:space="preserve">, and by Eq. (6) the error of the condensed stiffness is</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acc>
          <m:accPr>
            <m:chr m:val="̂"/>
          </m:accPr>
          <m:e>
            <m:r>
              <m:t>E</m:t>
            </m:r>
          </m:e>
        </m:acc>
      </m:oMath>
      <w:r>
        <w:t xml:space="preserve"> </w:t>
      </w:r>
      <w:r>
        <w:t xml:space="preserve">satisfy (A2),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By Proposition 2, the correction cannot increase the error in the</w:t>
      </w:r>
      <w:r>
        <w:t xml:space="preserve"> </w:t>
      </w:r>
      <m:oMath>
        <m:r>
          <m:t>A</m:t>
        </m:r>
      </m:oMath>
      <w:r>
        <w:t xml:space="preserve">-energy norm. The assembled stiffness matrices inherit this ordering and their inverses are ordered in reverse (Appendix C), so the correction moves the assembled compliance towards the reference value (Appendix D.1). Proposition 2 guarantees the ordering but not the size of the reduction (Appendix D), which Section 5.5 measures.</w:t>
      </w:r>
    </w:p>
    <w:p>
      <w:pPr>
        <w:pStyle w:val="BodyText"/>
      </w:pPr>
      <w:r>
        <w:rPr>
          <w:b/>
          <w:bCs/>
        </w:rPr>
        <w:t xml:space="preserve">Remark 1.</w:t>
      </w:r>
      <w:r>
        <w:t xml:space="preserve"> </w:t>
      </w:r>
      <w:r>
        <w:t xml:space="preserve">The guarantee of Proposition 2 rests on the two conditions on the smoothing and on the coarse solve, and it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 corresponding modes and the cycle can increase the energy error (Appendix D). Since the polynomial changes with the number</w:t>
      </w:r>
      <w:r>
        <w:t xml:space="preserve"> </w:t>
      </w:r>
      <m:oMath>
        <m:r>
          <m:t>k</m:t>
        </m:r>
      </m:oMath>
      <w:r>
        <w:t xml:space="preserve"> </w:t>
      </w:r>
      <w:r>
        <w:t xml:space="preserve">of smoothing steps,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the nonnegative shift satisfies this condition, whereas an arbitrary approximation need not. The ordering does not extend to the sensitivity: in the example of Appendix D.1, a projection halves the energy of the interior error but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and responses to equilibrated nodal point loads, traction loads and spring supports, together with displacements imposed by a neighbouring cell, provide test displacements that arise from mechanical loading.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smallest when the recovered field equals the exact field for every sampled test displacement. The second term compares the thickness sensitivities</w:t>
      </w:r>
      <w:r>
        <w:t xml:space="preserve"> </w:t>
      </w:r>
      <m:oMath>
        <m:sSub>
          <m:e>
            <m:acc>
              <m:accPr>
                <m:chr m:val="̃"/>
              </m:accPr>
              <m:e>
                <m:r>
                  <m:rPr>
                    <m:sty m:val="b"/>
                  </m:rPr>
                  <m:t>s</m:t>
                </m:r>
              </m:e>
            </m:acc>
          </m:e>
          <m:sub>
            <m:r>
              <m:t>j</m:t>
            </m:r>
          </m:sub>
        </m:sSub>
      </m:oMath>
      <w:r>
        <w:t xml:space="preserve"> </w:t>
      </w:r>
      <w:r>
        <w:t xml:space="preserve">computed from the recovered field (Section 4.2) with the reference sensitivities</w:t>
      </w:r>
      <w:r>
        <w:t xml:space="preserve"> </w:t>
      </w:r>
      <m:oMath>
        <m:sSub>
          <m:e>
            <m:r>
              <m:rPr>
                <m:sty m:val="b"/>
              </m:rPr>
              <m:t>s</m:t>
            </m:r>
          </m:e>
          <m:sub>
            <m:r>
              <m:t>j</m:t>
            </m:r>
          </m:sub>
        </m:sSub>
      </m:oMath>
      <w:r>
        <w:t xml:space="preserve">, both eight-component vectors,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used at deployment. The loss of Eq. (13) is evaluated with the corrected recovery operator</w:t>
      </w:r>
      <w:r>
        <w:t xml:space="preserve"> </w:t>
      </w:r>
      <m:oMath>
        <m:r>
          <m:t>F</m:t>
        </m:r>
        <m:r>
          <m:rPr>
            <m:sty m:val="p"/>
          </m:rPr>
          <m:t>=</m:t>
        </m:r>
        <m:r>
          <m:rPr>
            <m:scr m:val="script"/>
            <m:sty m:val="p"/>
          </m:rPr>
          <m:t>W</m:t>
        </m:r>
        <m:acc>
          <m:accPr>
            <m:chr m:val="̂"/>
          </m:accPr>
          <m:e>
            <m:r>
              <m:t>E</m:t>
            </m:r>
          </m:e>
        </m:acc>
      </m:oMath>
      <w:r>
        <w:t xml:space="preserve">, where</w:t>
      </w:r>
      <w:r>
        <w:t xml:space="preserve"> </w:t>
      </w:r>
      <m:oMath>
        <m:r>
          <m:rPr>
            <m:scr m:val="script"/>
            <m:sty m:val="p"/>
          </m:rPr>
          <m:t>W</m:t>
        </m:r>
      </m:oMath>
      <w:r>
        <w:t xml:space="preserve"> </w:t>
      </w:r>
      <w:r>
        <w:t xml:space="preserve">is the two-grid cycle of Table 1, written 8 /</w:t>
      </w:r>
      <w:r>
        <w:t xml:space="preserve"> </w:t>
      </w:r>
      <m:oMath>
        <m:sSub>
          <m:e>
            <m:r>
              <m:t>Q</m:t>
            </m:r>
          </m:e>
          <m:sub>
            <m:r>
              <m:t>1</m:t>
            </m:r>
          </m:sub>
        </m:sSub>
        <m:r>
          <m:rPr>
            <m:sty m:val="p"/>
          </m:rPr>
          <m:t>(</m:t>
        </m:r>
        <m:r>
          <m:t>17</m:t>
        </m:r>
        <m:r>
          <m:rPr>
            <m:sty m:val="p"/>
          </m:rPr>
          <m:t>)</m:t>
        </m:r>
      </m:oMath>
      <w:r>
        <w:t xml:space="preserve"> </w:t>
      </w:r>
      <w:r>
        <w:t xml:space="preserve">/ 8 for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65">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w:t>
      </w:r>
    </w:p>
    <w:p>
      <w:pPr>
        <w:pStyle w:val="FirstParagraph"/>
      </w:pPr>
      <w:r>
        <w:t xml:space="preserve">The element moments, the geometry encoding of the network with its coefficients and maps, the smoothing interval and the factorisation of the coarse-grid matrix depend on the geometry but not on the retained displacements. They are computed once for each geometry and reused for all retained displacements, and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one product with</w:t>
      </w:r>
      <w:r>
        <w:t xml:space="preserve"> </w:t>
      </w:r>
      <m:oMath>
        <m:r>
          <m:t>K</m:t>
        </m:r>
      </m:oMath>
      <w:r>
        <w:t xml:space="preserve"> </w:t>
      </w:r>
      <w:r>
        <w:t xml:space="preserve">and the transposes of the cycle and of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as a matrix, and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4"/>
        </w:numPr>
      </w:pPr>
      <w:r>
        <w:t xml:space="preserve">Compute</w:t>
      </w:r>
      <w:r>
        <w:t xml:space="preserve"> </w:t>
      </w:r>
      <m:oMath>
        <m:acc>
          <m:accPr>
            <m:chr m:val="̂"/>
          </m:accPr>
          <m:e>
            <m:r>
              <m:t>E</m:t>
            </m:r>
          </m:e>
        </m:acc>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r>
          <m:t>F</m:t>
        </m:r>
        <m:r>
          <m:t>q</m:t>
        </m:r>
      </m:oMath>
      <w:r>
        <w:t xml:space="preserve">.</w:t>
      </w:r>
    </w:p>
    <w:p>
      <w:pPr>
        <w:pStyle w:val="Compact"/>
        <w:numPr>
          <w:ilvl w:val="0"/>
          <w:numId w:val="1004"/>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4"/>
        </w:numPr>
      </w:pPr>
      <w:r>
        <w:t xml:space="preserve">Assemble these cell actions through Eq. (3). After the global solve, recover the cell displacements</w:t>
      </w:r>
      <w:r>
        <w:t xml:space="preserve"> </w:t>
      </w:r>
      <m:oMath>
        <m:sSub>
          <m:e>
            <m:r>
              <m:t>F</m:t>
            </m:r>
          </m:e>
          <m:sub>
            <m:r>
              <m:t>m</m:t>
            </m:r>
          </m:sub>
        </m:sSub>
        <m:sSub>
          <m:e>
            <m:r>
              <m:t>B</m:t>
            </m:r>
          </m:e>
          <m:sub>
            <m:r>
              <m:t>m</m:t>
            </m:r>
          </m:sub>
        </m:sSub>
        <m:acc>
          <m:accPr>
            <m:chr m:val="̂"/>
          </m:accPr>
          <m:e>
            <m:r>
              <m:t>U</m:t>
            </m:r>
          </m:e>
        </m:acc>
      </m:oMath>
      <w:r>
        <w:t xml:space="preserve"> </w:t>
      </w:r>
      <w:r>
        <w:t xml:space="preserve">to evaluate the displacement field and the sensitivities.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For any recovery operator that satisfies assumption (A2) of Section 2.4, this section traces the error of the operator through the condensed stiffness to the two quantities used in design, the compliance and the sensitivities. By Proposition 1 (Section 3.1), the condensed stiffness exceeds the exact one by the energy of the interior error. It is therefore an upper bound on the exact condensed stiffness, with an error of second order in the interior displacement error that can be computed from the interior residual (Eq. (7)). This error reaches the assembled compliance weighted by the fraction of the strain energy that each cell carries (Section 4.1), and it reaches the thickness sensitivity through the derivative of the stiffness matrix, with a term of first order in the interior displacement error (Section 4.2). An accurate compliance therefore does not imply an accurate local sensitivity.</w:t>
      </w:r>
    </w:p>
    <w:p>
      <w:pPr>
        <w:pStyle w:val="BodyText"/>
      </w:pPr>
      <w:r>
        <w:t xml:space="preserve">The relations below are stated for a single substructure and apply to every cell of an assembly. Proposition 1, the residual form of Eq. (7) (Section 3.1) and the self-adjoint compliance sensitivity</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t xml:space="preserve">are classical. The bound weighted by the energy fractions (Proposition 3) and the sensitivity relations (Proposition 4) are derived in this paper for approximate recovery operators under the assumptions of Section 2.4.</w:t>
      </w:r>
    </w:p>
    <w:p>
      <w:pPr>
        <w:pStyle w:val="Heading3"/>
      </w:pPr>
      <w:r>
        <w:t xml:space="preserve">4.1. Compliance</w:t>
      </w:r>
    </w:p>
    <w:p>
      <w:pPr>
        <w:pStyle w:val="FirstParagraph"/>
      </w:pPr>
      <w:r>
        <w:t xml:space="preserve">Consider the exact solutions of the reference and the approximate assembled systems of Eq. (3), which use the same cell stiffness matrices, assembly maps and homogeneous supports and the same nonzero load on the retained DOFs. Let</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consists of two orthogonal parts: the first comes from the change of the assembled retained solution, and the second from the departure of the interior displacements from equilibrium at that solution. How much of the error of a cell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With</w:t>
      </w:r>
      <w:r>
        <w:t xml:space="preserve"> </w:t>
      </w:r>
      <m:oMath>
        <m:sSub>
          <m:e>
            <m:r>
              <m:t>ε</m:t>
            </m:r>
          </m:e>
          <m:sub>
            <m:r>
              <m:t>m</m:t>
            </m:r>
          </m:sub>
        </m:sSub>
      </m:oMath>
      <w:r>
        <w:t xml:space="preserve"> </w:t>
      </w:r>
      <w:r>
        <w:t xml:space="preserve">the energy error of cell</w:t>
      </w:r>
      <w:r>
        <w:t xml:space="preserve"> </w:t>
      </w:r>
      <m:oMath>
        <m:r>
          <m:t>m</m:t>
        </m:r>
      </m:oMath>
      <w:r>
        <w:t xml:space="preserve"> </w:t>
      </w:r>
      <w:r>
        <w:t xml:space="preserve">defined in Eq. (7),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a cell whose response is a rigid-body motion has zero energy,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Under (A1)–(A3),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Equation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the load does not depend on the design.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and for a parameter that affects several substructures their contributions are summed. The design derivative of the exact recovery</w:t>
      </w:r>
      <w:r>
        <w:t xml:space="preserve"> </w:t>
      </w:r>
      <m:oMath>
        <m:r>
          <m:t>E</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t xml:space="preserve">. The sensitivity computed from the recovered field,</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uses the same stiffness derivative and ignores the dependence of the recovery operator</w:t>
      </w:r>
      <w:r>
        <w:t xml:space="preserve"> </w:t>
      </w:r>
      <m:oMath>
        <m:r>
          <m:t>F</m:t>
        </m:r>
      </m:oMath>
      <w:r>
        <w:t xml:space="preserve">, and hence of the network, on the design.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
          </m:rPr>
          <m:t>s</m:t>
        </m:r>
      </m:oMath>
      <w:r>
        <w:t xml:space="preserve"> </w:t>
      </w:r>
      <w:r>
        <w:t xml:space="preserve">and</w:t>
      </w:r>
      <w:r>
        <w:t xml:space="preserve"> </w:t>
      </w:r>
      <m:oMath>
        <m:acc>
          <m:accPr>
            <m:chr m:val="̃"/>
          </m:accPr>
          <m:e>
            <m:r>
              <m:rPr>
                <m:sty m:val="b"/>
              </m:rPr>
              <m:t>s</m:t>
            </m:r>
          </m:e>
        </m:acc>
      </m:oMath>
      <w:r>
        <w:t xml:space="preserve">.</w:t>
      </w:r>
    </w:p>
    <w:p>
      <w:pPr>
        <w:pStyle w:val="BodyText"/>
      </w:pPr>
      <w:r>
        <w:rPr>
          <w:b/>
          <w:bCs/>
        </w:rPr>
        <w:t xml:space="preserve">Proposition 4 (sensitivity error).</w:t>
      </w:r>
      <w:r>
        <w:t xml:space="preserve"> </w:t>
      </w:r>
      <w:r>
        <w:t xml:space="preserve">Under (A1), (A2) and (D), with both sensitivities evaluated at the same retained displacements:</w:t>
      </w:r>
    </w:p>
    <w:p>
      <w:pPr>
        <w:pStyle w:val="Compact"/>
        <w:numPr>
          <w:ilvl w:val="0"/>
          <w:numId w:val="1005"/>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r>
          <m:t>F</m:t>
        </m:r>
      </m:oMath>
      <w:r>
        <w:t xml:space="preserve">. For a parameter that affects one substructure, differentiation with the retained DOFs fixed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when the recovered field is in interior equilibrium, but energy accuracy alone does not control it. Whether Eq. (18) or</w:t>
      </w:r>
      <w:r>
        <w:t xml:space="preserve"> </w:t>
      </w:r>
      <m:oMath>
        <m:sSub>
          <m:e>
            <m:acc>
              <m:accPr>
                <m:chr m:val="̃"/>
              </m:accPr>
              <m:e>
                <m:r>
                  <m:t>s</m:t>
                </m:r>
              </m:e>
            </m:acc>
          </m:e>
          <m:sub>
            <m:r>
              <m:t>c</m:t>
            </m:r>
          </m:sub>
        </m:sSub>
      </m:oMath>
      <w:r>
        <w:t xml:space="preserve"> </w:t>
      </w:r>
      <w:r>
        <w:t xml:space="preserve">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t xml:space="preserve">(Eq. (H.6)), where</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error of</w:t>
      </w:r>
      <w:r>
        <w:t xml:space="preserve"> </w:t>
      </w:r>
      <m:oMath>
        <m:r>
          <m:t>F</m:t>
        </m:r>
      </m:oMath>
      <w:r>
        <w:t xml:space="preserve"> </w:t>
      </w:r>
      <w:r>
        <w:t xml:space="preserve">and of the exact interior recovery (Appendix H.2). All sensitivities reported in this paper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which estimate the exact sensitivity and ignore the design dependence of the network. The derivatives in this section hold on intervals on which the discrete choices of Appendix B.1 are fixed. Across a switch of the discrete model the reference compliance itself can jump, but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any jump that the approximate compliance adds is bounded by its own error level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the energy error of a cell controls its relative sensitivity error only at the order</w:t>
      </w:r>
      <w:r>
        <w:t xml:space="preserve"> </w:t>
      </w:r>
      <m:oMath>
        <m:rad>
          <m:radPr>
            <m:degHide m:val="on"/>
          </m:radPr>
          <m:deg/>
          <m:e>
            <m:r>
              <m:t>ε</m:t>
            </m:r>
          </m:e>
        </m:rad>
      </m:oMath>
      <w:r>
        <w:t xml:space="preserve">. Section 5.6 checks both quantities in two-cell assemblies, and Section 5.10 checks them in thickness designs.</w:t>
      </w:r>
    </w:p>
    <w:p>
      <w:pPr>
        <w:pStyle w:val="Heading2"/>
      </w:pPr>
      <w:r>
        <w:t xml:space="preserve">5. Numerical examples</w:t>
      </w:r>
    </w:p>
    <w:p>
      <w:pPr>
        <w:pStyle w:val="FirstParagraph"/>
      </w:pPr>
      <w:r>
        <w:t xml:space="preserve">The numerical examples cover single cells, assemblies of cells and thickness design; Sections 5.1 and 5.2 give the settings and verify the reference model. On single cells (Sections 5.3–5.5), the mean energy error of NICE over the 80 validation geometries is 0.074%. Applying the correction to the base network without retraining lowers the mean energy error under traction loads from 6.89% to 0.0965%, and under the same correction a graph-harmonic initial field without trainable parameters leaves 5.4 to 265 times the error of NICE. In assemblies (Sections 5.6–5.8), the compliance error follows the relation of Proposition 3, in which the energy error of each cell is weighted by its energy fraction, whereas the local sensitivity has to be checked separately. In design, an analysis of an eight-cell lattice with sensitivities is about ten times faster than a direct solution of the whole lattice (Section 5.9). For the optimised designs, the compliance and the gradient computed with NICE agree with those of exact static condensation (Section 5.10). Table 3 summarises the accuracy of NICE against exact static condensation in all assembled examples.</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denote uncut, lightly, moderately and heavily cut cells; four of them are shown in Figure 4. Table 1 lists the discretisation and correction settings.</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(c,d) heavily cut cells H1 and H2. All panels use the same unit-box scale and viewing direction and show the cells from the side of the cut. Light blue shows the material surface, dark blue the material section on the cell faces, sand the material section on the cut plane and translucent grey the part removed by the cut. The percentages give the box volume that remains after the cut, before the intersection with the thin-walled material, relative to the unit box. The surfaces are reconstructed from Eq. (1) on a grid of 129 points per axis and serve only for visualisation.</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are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cell-face nodes of material patches of positive area on the cell faces; all DOFs of the active elements that carry a cut-surface patch of positive area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three variants, two of which are the trained networks of Table 2. The base network was trained without correction, and NICE continues the training of the base network for 15,000 training steps with the complete correction</w:t>
      </w:r>
      <w:r>
        <w:t xml:space="preserve"> </w:t>
      </w:r>
      <m:oMath>
        <m:r>
          <m:rPr>
            <m:scr m:val="script"/>
            <m:sty m:val="p"/>
          </m:rPr>
          <m:t>W</m:t>
        </m:r>
      </m:oMath>
      <w:r>
        <w:t xml:space="preserve"> </w:t>
      </w:r>
      <w:r>
        <w:t xml:space="preserve">of Sections 3.3 and 3.4 inside the training loop (Section 3.5).</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third variant, denoted 'Base network + correction', is the base network with the correction</w:t>
      </w:r>
      <w:r>
        <w:t xml:space="preserve"> </w:t>
      </w:r>
      <m:oMath>
        <m:r>
          <m:rPr>
            <m:scr m:val="script"/>
            <m:sty m:val="p"/>
          </m:rPr>
          <m:t>W</m:t>
        </m:r>
      </m:oMath>
      <w:r>
        <w:t xml:space="preserve"> </w:t>
      </w:r>
      <w:r>
        <w:t xml:space="preserve">applied at deployment, without retraining, and is evaluated in Sections 5.3, 5.5 and 5.6.</w:t>
      </w:r>
    </w:p>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that contains 304 of the 305 training geometries of the base network, and in its 15,000 training steps it sees at most 153 of them (Supplementary Table ST01). Supplementary Note S8 reports two further continuations of the base network, which draw from the same set and see the same geometries in the same order as NICE.</w:t>
      </w:r>
    </w:p>
    <w:p>
      <w:pPr>
        <w:pStyle w:val="BodyText"/>
      </w:pPr>
      <w:r>
        <w:t xml:space="preserve">Twenty of the 80 validation geometries, 6 uncut and 14 cut, were used for checkpoint selection (Supplementary Table ST01), so statistics are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including the two continuations of Supplementary Note S8, had been compared on the 80 validation geometries and the two-cell configurations (Supplementary Table ST01); the sixteen cells of the lattices of Section 5.8 entered no selection step. Population statistics first average the energy error over the test displacements of each geometry and load class and then weight the geometries equally (Appendix A.1), so that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7 configurations</w:t>
            </w:r>
          </w:p>
        </w:tc>
        <w:tc>
          <w:tcPr/>
          <w:p>
            <w:pPr>
              <w:pStyle w:val="Compact"/>
            </w:pPr>
            <w:r>
              <w:t xml:space="preserve">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M1 and M2 to</w:t>
      </w:r>
      <w:r>
        <w:t xml:space="preserve"> </w:t>
      </w:r>
      <m:oMath>
        <m:r>
          <m:t>n</m:t>
        </m:r>
        <m:r>
          <m:rPr>
            <m:sty m:val="p"/>
          </m:rPr>
          <m:t>=</m:t>
        </m:r>
        <m:r>
          <m:t>48</m:t>
        </m:r>
      </m:oMath>
      <w:r>
        <w:t xml:space="preserve"> </w:t>
      </w:r>
      <w:r>
        <w:t xml:space="preserve">(Figure S01), and H1, H2 and two further validation cells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or refining the volume integration changes the compliance and the sensitivities by at most 0.12%. Supplementary Note S1 also verifies the finite-difference stiffness derivative and its step size (Figure S01(c)). All subsequent comparisons are made against this discrete reference model (Section 2.1).</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The identity states that the work of the returned nodal forces on the retained displacements equals the energy of the recovered field. The deployed operator gives the rigid-body modes zero energy up to round-off, and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which supports this spectral condition numerically. The Gershgorin bound is a guaranteed upper bound, but it is 4.7 to 19.4 times larger than</w:t>
      </w:r>
      <w:r>
        <w:t xml:space="preserve"> </w:t>
      </w:r>
      <m:oMath>
        <m:r>
          <m:t>b</m:t>
        </m:r>
      </m:oMath>
      <w:r>
        <w:t xml:space="preserve">, with a median of 18.4, and, used as</w:t>
      </w:r>
      <w:r>
        <w:t xml:space="preserve"> </w:t>
      </w:r>
      <m:oMath>
        <m:r>
          <m:t>b</m:t>
        </m:r>
      </m:oMath>
      <w:r>
        <w:t xml:space="preserve">, it would place the smoothing interval far above the actual spectrum. The cells of the lattices and optimisations of Sections 5.8–5.10 use the same power-iteration estimate, but the condition was not checked for them;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From uncut to heavily cut cells, the group means of NICE rise from 0.016% to 0.109%, about sevenfold, whereas those of the base network rise from 1.14% to 12.7% (Supplementary Table ST03b). Over all 80 geometries, the mean energy errors of NICE and the base network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with a largest single-geometry mean of 70.1%, whereas the group means of NICE stay between 0.013% and 0.090%. Under the other load classes, the means of NICE are of the same order (Supplementary Table ST03), and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and the five largest single-geometry means of NICE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whereas continuing the training of the base network without the correction leaves its mean nearly unchanged (Supplementary Note S8). NICE continues the training with the correction inside the training loop and draws its training geometries from a larger set; this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 of the base network, Base network + correction and NICE on the 80 validation geometries.</w:t>
      </w:r>
      <w:r>
        <w:t xml:space="preserve"> </w:t>
      </w:r>
      <w:r>
        <w:t xml:space="preserve">Each observation is the mean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of one geometry over the validation test displacements of one load class. (a) Traction loads, 20 geometries per cut-severity group. Markers give the mean over the geometries, and bars give the range from the 10th percentile to the maximum. (b) Single-geometry means of the base network and of NICE under traction loads. Open markers denote uncut geometries and filled markers cut geometries; the dotted line denotes equality. (c) Displacements imposed by a neighbouring cell, stiffness-scaled spring supports, traction loads on a single face and equal nodal point loads. The first two classes use 75 geometries and the other two use 80. The asterisk marks the nodal point loads, which serve as a severe test of the stabilised problem. Twenty geometries (6 uncut, 14 cut) were used for checkpoint selection. Variants as in Table 2; 'Base network + correction' is the base network with the correction applied at deployment, without retraining.</w:t>
      </w:r>
    </w:p>
    <w:p>
      <w:pPr>
        <w:pStyle w:val="Heading3"/>
      </w:pPr>
      <w:r>
        <w:t xml:space="preserve">5.4. Where the network error lies</w:t>
      </w:r>
    </w:p>
    <w:p>
      <w:pPr>
        <w:pStyle w:val="FirstParagraph"/>
      </w:pPr>
      <w:r>
        <w:t xml:space="preserve">Part of the error left by the network lies in modes that smoothing damps slowly, and part lies next to the cut. Relative to its amplitude, the error also carries far more strain energy than the exact solution and is in this sense stiffer.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field (Supplementary Table ST05b), and all 200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and are ordered by increasing eigenvalue. Filled dark markers denote the error and open light-grey markers the exact interior field. Solid lines with circles denote traction loads and dashed lines with triangles nodal point loads. Curves are means over the test displacements. Bands give the 10th to 90th percentiles over the test displacements under traction loads. Each cumulative fraction is normalised by the total interior energy of its own field or error.</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whereas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NICE also halves the fraction of the error energy in this layer, to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retained DOFs of the cut-plane elements, and interior DOFs. (b) Bulk element energies of the exact field for one traction-load test displacement, relative to its total energy. (c,d) Bulk element energies of the error of the base network and of NICE for the same retained displacements, relative to the total energy of the exact field in (b), on a common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w:t>
      </w:r>
      <w:r>
        <w:t xml:space="preserve"> </w:t>
      </w:r>
      <m:oMath>
        <m:sSub>
          <m:e>
            <m:r>
              <m:t>u</m:t>
            </m:r>
          </m:e>
          <m:sub>
            <m:r>
              <m:t>I</m:t>
            </m:r>
          </m:sub>
        </m:sSub>
      </m:oMath>
      <w:r>
        <w:t xml:space="preserve"> </w:t>
      </w:r>
      <w:r>
        <w:t xml:space="preserve">the exact interior displacements and</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the Jacobi-weighted relative displacement error. With</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the ratio of the Rayleigh quotients of the interior error and of the exact field,</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under traction loads, the sensitivity errors at fixed retained displacements are 14.1% and 75.1%, and the linear term contributes only 7.2% and 0.79%, respectively, of the sum of the norms of the linear and quadratic terms. Under traction loads, the linear term contributes 28–43% in the three cells whose energy errors are below 2%, U1, U2 and H1, and under nodal point loads it contributes 24–72% in all six cells. Because the linear term is first order in the displacement error, it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whereas that of M1 falls only from 13.5% to 4.69%,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and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the field of the base network has energy errors of 0.004–0.19%; the graph-harmonic field has 0.08–17%, higher by factors of 7 to 290, and zero interior displacements have 28–1100%, higher by factors of 2,400 to 12,000. Even with 64 steps per stage, eight times the smoothing work, the graph-harmonic field remains 2.6 to 50 times above the eight-step result of the base network under traction loads in five of the six cells of Supplementary Table ST07, which are the cells of Table 4 and U1. Only in H2 does it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(c) M1 without correction, with eight smoothing steps, with a coarse-grid correction followed by eight steps, and with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a single smoothing stage and for the cycle of</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traction loads,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thickness field is continuous across their interface (Figure 9). The seven test cells, U1, U2, L1, M1, M2, H1 and H3, belong to the geometries used for checkpoint selection (Section 5.1); each is assembled in two configurations, x and y, and 'M1/x' denotes test cell M1 in configuration x. Each configuration has six face loads: traction loads in the three Cartesian directions, applied separately on the loaded face of the test cell and on that of the neighbouring cell. Three traction loads on the cut surface of a test cell are considered separately.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is drawn as the 3% line in the figures. The reported errors are maxima over the six loads and, for the sensitivity, also over both cells.</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the traction loads act on the faces at</w:t>
      </w:r>
      <w:r>
        <w:t xml:space="preserve"> </w:t>
      </w:r>
      <m:oMath>
        <m:r>
          <m:t>x</m:t>
        </m:r>
        <m:r>
          <m:rPr>
            <m:sty m:val="p"/>
          </m:rPr>
          <m:t>=</m:t>
        </m:r>
        <m:r>
          <m:t>0</m:t>
        </m:r>
      </m:oMath>
      <w:r>
        <w:t xml:space="preserve">. The loaded faces of the test cell (T) and of the neighbouring cell (N) each carry separate traction loads in the x, y and z directions. The coincident DOFs of the cell-face nodes are shared across the interface, and the DOFs of cut-plane elements that do not lie on the cell faces remain local to their cell. Cut test cells also carry three traction loads on the cut surface, which are analysed separately.</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the five geometries with the largest single-cell errors of NICE, and four cells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and on M1/x its compliance error of 4.38% also exceeds the 3% compliance line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the sensitivity error is about twice the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 sensitivity in two-cell assemblies.</w:t>
      </w:r>
      <w:r>
        <w:t xml:space="preserve"> </w:t>
      </w:r>
      <w:r>
        <w:t xml:space="preserve">The test cell is represented by a learned substructure and the neighbouring cell by exact static condensation. The figure shows NICE and Base network + correction, which is the base network with the correction applied at deployment, without retraining. (a,b) Maximum errors over the six face loads in each configuration; the sensitivity error is also maximised over both cells. (c,d) Compliance error and test-cell sensitivity error under each face load on M1/x and U1/x. Filled markers denote loads on the face of the test cell, and open markers loads on the face of the neighbouring cell. Dashed lines mark 3%. Supplementary Table ST08 gives all results. It also includes the base network and the two variants of Supplementary Note S8. None of these three variants was evaluated in every configuration.</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First,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whereas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Second, at fixed retained displacements the energy error controls the sensitivity error only at the order</w:t>
      </w:r>
      <w:r>
        <w:t xml:space="preserve"> </w:t>
      </w:r>
      <m:oMath>
        <m:rad>
          <m:radPr>
            <m:degHide m:val="on"/>
          </m:radPr>
          <m:deg/>
          <m:e>
            <m:r>
              <m:t>ε</m:t>
            </m:r>
          </m:e>
        </m:rad>
      </m:oMath>
      <w:r>
        <w:t xml:space="preserve"> </w:t>
      </w:r>
      <w:r>
        <w:t xml:space="preserve">(Proposition 4(b)), and here the sensitivity error is about ten times</w:t>
      </w:r>
      <w:r>
        <w:t xml:space="preserve"> </w:t>
      </w:r>
      <m:oMath>
        <m:r>
          <m:t>ε</m:t>
        </m:r>
      </m:oMath>
      <w:r>
        <w:t xml:space="preserve">. Figure 11 shows this weighting for NICE over all loads, and the base network, Base network + correction and the two variants of Supplementary Note S8 follow the same relations (Figure 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energy fraction of the test cell scales down the compliance error but not the sensitivity error.</w:t>
      </w:r>
      <w:r>
        <w:t xml:space="preserve"> </w:t>
      </w:r>
      <w:r>
        <w:t xml:space="preserve">Results of NICE in the fourteen configurations of the seven test cells, one point per load: 84 face loads (filled markers) and 30 cut-surface loads (open markers). Supplementary Tables ST08 and ST09 give the maxima over the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fractions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the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t xml:space="preserve">evaluated at the exact assembled retained displacements. Only the learned test cell contributes to</w:t>
      </w:r>
      <w:r>
        <w:t xml:space="preserve"> </w:t>
      </w:r>
      <m:oMath>
        <m:r>
          <m:t>β</m:t>
        </m:r>
      </m:oMath>
      <w:r>
        <w:t xml:space="preserve">. The line denotes equality. For every load, the compliance error lies between 0.963 and 1.004 times</w:t>
      </w:r>
      <w:r>
        <w:t xml:space="preserve"> </w:t>
      </w:r>
      <m:oMath>
        <m:r>
          <m:t>β</m:t>
        </m:r>
      </m:oMath>
      <w:r>
        <w:t xml:space="preserve">. The five ratios above 1 correspond to an excess of at most</w:t>
      </w:r>
      <w:r>
        <w:t xml:space="preserve"> </w:t>
      </w:r>
      <m:oMath>
        <m:r>
          <m:t>7.8</m:t>
        </m:r>
        <m:r>
          <m:rPr>
            <m:sty m:val="p"/>
          </m:rPr>
          <m:t>×</m:t>
        </m:r>
        <m:sSup>
          <m:e>
            <m:r>
              <m:t>10</m:t>
            </m:r>
          </m:e>
          <m:sup>
            <m:r>
              <m:rPr>
                <m:sty m:val="p"/>
              </m:rPr>
              <m:t>−</m:t>
            </m:r>
            <m:r>
              <m:t>10</m:t>
            </m:r>
          </m:sup>
        </m:sSup>
      </m:oMath>
      <w:r>
        <w:t xml:space="preserve"> </w:t>
      </w:r>
      <w:r>
        <w:t xml:space="preserve">of the compliance, whereas the residual work of the pair solves reaches</w:t>
      </w:r>
      <w:r>
        <w:t xml:space="preserve"> </w:t>
      </w:r>
      <m:oMath>
        <m:r>
          <m:t>1.8</m:t>
        </m:r>
        <m:r>
          <m:rPr>
            <m:sty m:val="p"/>
          </m:rPr>
          <m:t>×</m:t>
        </m:r>
        <m:sSup>
          <m:e>
            <m:r>
              <m:t>10</m:t>
            </m:r>
          </m:e>
          <m:sup>
            <m:r>
              <m:rPr>
                <m:sty m:val="p"/>
              </m:rPr>
              <m:t>−</m:t>
            </m:r>
            <m:r>
              <m:t>8</m:t>
            </m:r>
          </m:sup>
        </m:sSup>
      </m:oMath>
      <w:r>
        <w:t xml:space="preserve"> </w:t>
      </w:r>
      <w:r>
        <w:t xml:space="preserve">of the compliance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 Figure S04 shows the corresponding results of the other variants.</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42">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47">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which at</w:t>
      </w:r>
      <w:r>
        <w:t xml:space="preserve"> </w:t>
      </w:r>
      <m:oMath>
        <m:r>
          <m:t>r</m:t>
        </m:r>
        <m:r>
          <m:rPr>
            <m:sty m:val="p"/>
          </m:rPr>
          <m:t>=</m:t>
        </m:r>
        <m:r>
          <m:t>3</m:t>
        </m:r>
      </m:oMath>
      <w:r>
        <w:t xml:space="preserve"> </w:t>
      </w:r>
      <w:r>
        <w:t xml:space="preserve">is then 0.17–0.44% on U1, M1 and M2;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and Bernstein polynomials of degree</w:t>
      </w:r>
      <w:r>
        <w:t xml:space="preserve"> </w:t>
      </w:r>
      <m:oMath>
        <m:r>
          <m:t>r</m:t>
        </m:r>
      </m:oMath>
      <w:r>
        <w:t xml:space="preserve"> </w:t>
      </w:r>
      <w:r>
        <w:t xml:space="preserve">on every cell face. The DOFs of the cut-plane elements that do not lie on the cell faces remain unrestricted. (a) Number of retained DOFs; the dashed line marks the 32,991 DOFs of the full representation. (b,c) Maximum compliance error and maximum test-cell sensitivity error, over the three loads on the test-cell face or over all six loads on the test-cell and neighbour faces. Traction loads on the cut surface are excluded. Errors are relative to the solution with all retained DOFs, and the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and the corner parameters of the block range from 0.25 to 0.54. The sixteen cells were generated for these examples and were used neither in training nor in checkpoint selection. Each lattice is clamped on one face and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and its coarse space consists of the trilinear lattice-vertex functions multiplied by the six rigid-body modes.</w:t>
      </w:r>
    </w:p>
    <w:p>
      <w:pPr>
        <w:pStyle w:val="BodyText"/>
      </w:pPr>
      <w:r>
        <w:t xml:space="preserve">The errors of the cells do not accumulate in these lattices. Under the face loads, the compliance error stays below 0.015% in both lattices, and the sensitivity error of every cell is at most 0.144% (Table 3). The sensitivities of the cells, summed at the shared corner parameters, give the lattice gradient, which under the face loads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because Eq. (15) bounds the compliance error of the lattice by the weighted energy error</w:t>
      </w:r>
      <w:r>
        <w:t xml:space="preserve"> </w:t>
      </w:r>
      <m:oMath>
        <m:r>
          <m:t>β</m:t>
        </m:r>
      </m:oMath>
      <w:r>
        <w:t xml:space="preserve">. This error weights the energy error of each cell at the exact retained displacements by the energy fraction of the cell. Under the face loads, these cell energy errors range from 0.006% to 0.026% in the block and from 0.005% to 0.052% in the layer; under the random loads, they range from 0.02% to 0.12%, and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and under the random loads by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errors above are errors of the condensed stiffness and not of the incomplete solve. The solves reach the prescribed tolerance on the recursively updated residual, whereas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the difference between the energy computed with the applied condensed stiffness and the energy of the recovered displacements (Supplementary Table ST14). Together with the residual work, these records show that the errors above do not come from the incomplete solve.</w:t>
      </w:r>
    </w:p>
    <w:p>
      <w:pPr>
        <w:pStyle w:val="Heading3"/>
      </w:pPr>
      <w:r>
        <w:t xml:space="preserve">5.9. Computational cost</w:t>
      </w:r>
    </w:p>
    <w:p>
      <w:pPr>
        <w:pStyle w:val="FirstParagraph"/>
      </w:pPr>
      <w:r>
        <w:t xml:space="preserve">A lattice analysis with sensitivities by NICE needs less time and memory than the direct solution of the whole lattice and than conventional exact static condensation, and less time than conjugate gradients on the whole lattice preconditioned by algebraic multigrid. There are two reasons. First, NICE solves the assembled problem on the retained DOFs only: for the two eight-cell lattices, these number 139,002 and 143,685, whereas the whole-lattice model has 1.83 and 2.11 million DOFs. Second, NICE prepares every cell by a network evaluation and a fixed correction instead of a factorisation of the interior stiffness matrix. At the scale of Section 5.10, the cut finite element model of a 110-cell plate has 32.7 million DOFs and its assembled retained system 1.6 million, and a design iteration takes 19 min, about 11 s per cell. The cost comparison below concerns one lattice analysis with sensitivities, from cell setup to the solution, on the two eight-cell lattices of Section 5.8 and on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and keeps the retained DOFs, the clamp and the loads of the block. Table 5 compares three routes.</w:t>
      </w:r>
    </w:p>
    <w:p>
      <w:pPr>
        <w:pStyle w:val="BodyText"/>
      </w:pPr>
      <w:r>
        <w:t xml:space="preserve">Route (a) is the direct solution of the whole lattice: the full cut finite element model of the lattice, which contains the retained and interior DOFs of every cell, is assembled and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and the assembled condensed system is then solved by a block Cholesky factorisation that eliminates the retained DOFs belonging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GPU. It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then computes the sensitivities;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 and does not measure hardware-equivalent amounts of work.</w:t>
      </w:r>
    </w:p>
    <w:p>
      <w:pPr>
        <w:pStyle w:val="BodyText"/>
      </w:pPr>
      <w:r>
        <w:rPr>
          <w:b/>
          <w:bCs/>
        </w:rPr>
        <w:t xml:space="preserve">Table 5. Cost of one lattice analysis with sensitivities.</w:t>
      </w:r>
      <w:r>
        <w:t xml:space="preserve"> </w:t>
      </w:r>
      <w:r>
        <w:t xml:space="preserve">(a) Direct solution of the whole lattice by sparse Cholesky factorisation with MKL PARDISO and 16 threads on the CPU. Time from cell setup to the solution of six loads (three traction loads and three random loads), and peak process memory. (b) Condensation of every cell with the Schur-complement option of PARDISO, followed by the solution of the condensed lattice system by block Cholesky factorisation, 16 threads: total time and peak process memory. (c) Cell preparation, preconditioner setup, conjugate gradients for the three traction loads to</w:t>
      </w:r>
      <w:r>
        <w:t xml:space="preserve"> </w:t>
      </w:r>
      <m:oMath>
        <m:sSup>
          <m:e>
            <m:r>
              <m:t>10</m:t>
            </m:r>
          </m:e>
          <m:sup>
            <m:r>
              <m:rPr>
                <m:sty m:val="p"/>
              </m:rPr>
              <m:t>−</m:t>
            </m:r>
            <m:r>
              <m:t>6</m:t>
            </m:r>
          </m:sup>
        </m:sSup>
      </m:oMath>
      <w:r>
        <w:t xml:space="preserve">, and sensitivities: time, peak GPU memory and CPU memory after cell preparation. The compliance error of (c) is computed against (a) for the four-cell lattices and against the exact static condensation of Section 5.8 for the eight-cell lattices. Routes (a) and (b) solve six loads and do not evaluate sensitivities; route (c) solves three loads and evaluates the sensitivities.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whereas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More threads reduce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The memory requirements follow the same pattern. For the eight-cell lattices, the peak process memory of the direct solution is 71 and 86 GiB, set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23">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78">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and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eight and seven times as long as NICE. Classical algebraic multigrid (BoomerAMG</w:t>
      </w:r>
      <w:r>
        <w:t xml:space="preserve"> </w:t>
      </w:r>
      <w:hyperlink r:id="rId124">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25">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also repeats the cell setup and the assembly of the whole-lattice system, which in route (a) take 416 and 474 s (Supplementary Table ST12b),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and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and the second case is a cut plate supported on its cut, described below and shown in Figure 13. In both cases, the corner thickness parameters solve the design problem of Section 2.3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The parameters at the vertices in the plane of the loaded face are fixed, 9 of 27 parameters in case A and 10 of 74 in the plate,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2.3, with the sensitivities</w:t>
      </w:r>
      <w:r>
        <w:t xml:space="preserve"> </w:t>
      </w:r>
      <m:oMath>
        <m:sSub>
          <m:e>
            <m:acc>
              <m:accPr>
                <m:chr m:val="̃"/>
              </m:accPr>
              <m:e>
                <m:r>
                  <m:rPr>
                    <m:sty m:val="b"/>
                  </m:rPr>
                  <m:t>s</m:t>
                </m:r>
              </m:e>
            </m:acc>
          </m:e>
          <m:sub>
            <m:r>
              <m:t>m</m:t>
            </m:r>
          </m:sub>
        </m:sSub>
      </m:oMath>
      <w:r>
        <w:t xml:space="preserve"> </w:t>
      </w:r>
      <w:r>
        <w:t xml:space="preserve">of Section 4.2 in place of</w:t>
      </w:r>
      <w:r>
        <w:t xml:space="preserve"> </w:t>
      </w:r>
      <m:oMath>
        <m:sSub>
          <m:e>
            <m:r>
              <m:rPr>
                <m:sty m:val="b"/>
              </m:rPr>
              <m:t>s</m:t>
            </m:r>
          </m:e>
          <m:sub>
            <m:r>
              <m:t>m</m:t>
            </m:r>
          </m:sub>
        </m:sSub>
      </m:oMath>
      <w:r>
        <w:t xml:space="preserve">. The bounds are</w:t>
      </w:r>
      <w:r>
        <w:t xml:space="preserve"> </w:t>
      </w:r>
      <m:oMath>
        <m:r>
          <m:t>0.18</m:t>
        </m:r>
        <m:r>
          <m:rPr>
            <m:sty m:val="p"/>
          </m:rPr>
          <m:t>≤</m:t>
        </m:r>
        <m:r>
          <m:t>τ</m:t>
        </m:r>
        <m:r>
          <m:rPr>
            <m:sty m:val="p"/>
          </m:rPr>
          <m:t>≤</m:t>
        </m:r>
        <m:r>
          <m:t>0.69</m:t>
        </m:r>
      </m:oMath>
      <w:r>
        <w:t xml:space="preserve">, and in each cell the corner span, the largest difference between two of its corner parameters, and the norm of the gradient of</w:t>
      </w:r>
      <w:r>
        <w:t xml:space="preserve"> </w:t>
      </w:r>
      <m:oMath>
        <m:r>
          <m:t>τ</m:t>
        </m:r>
      </m:oMath>
      <w:r>
        <w:t xml:space="preserve"> </w:t>
      </w:r>
      <w:r>
        <w:t xml:space="preserve">are limited to 0.45. These bounds and limits keep every cell inside the parameter domain of the training data, in which the corner parameters lie in [0.175, 0.699] and the corner span and the gradient norm are at most 0.47 (Section 6.3). Each design iteration regenerates the geometry and the learned substructure of every cell and solves the lattice from the previous solution by the preconditioned conjugate gradients of Section 5.8. It then takes one step of the method of moving asymptotes (MMA)</w:t>
      </w:r>
      <w:r>
        <w:t xml:space="preserve"> </w:t>
      </w:r>
      <w:hyperlink r:id="rId126">
        <w:r>
          <w:rPr>
            <w:rStyle w:val="Hyperlink"/>
          </w:rPr>
          <w:t xml:space="preserve">Svanberg (1987)</w:t>
        </w:r>
      </w:hyperlink>
      <w:r>
        <w:t xml:space="preserve">, in the variant of Svanberg (2007), with a move limit of 5% of the parameter range and no line search (Supplementary Table 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with the material surface coloured by the local thickness parameter, and the NICE and exact compliances (Supplementary Table ST21). (b) Change from the uniform start,</w:t>
      </w:r>
      <w:r>
        <w:t xml:space="preserve"> </w:t>
      </w:r>
      <m:oMath>
        <m:r>
          <m:t>τ</m:t>
        </m:r>
        <m:r>
          <m:rPr>
            <m:sty m:val="p"/>
          </m:rPr>
          <m:t>−</m:t>
        </m:r>
        <m:r>
          <m:t>0.40</m:t>
        </m:r>
      </m:oMath>
      <w:r>
        <w:t xml:space="preserve">. Material moves into the cells next to the support near the loaded end (up to</w:t>
      </w:r>
      <w:r>
        <w:t xml:space="preserve"> </w:t>
      </w:r>
      <m:oMath>
        <m:r>
          <m:rPr>
            <m:sty m:val="p"/>
          </m:rPr>
          <m:t>+</m:t>
        </m:r>
        <m:r>
          <m:t>0.29</m:t>
        </m:r>
      </m:oMath>
      <w:r>
        <w:t xml:space="preserve">), and the cells far from the load are thinned (down to</w:t>
      </w:r>
      <w:r>
        <w:t xml:space="preserve"> </w:t>
      </w:r>
      <m:oMath>
        <m:r>
          <m:rPr>
            <m:sty m:val="p"/>
          </m:rPr>
          <m:t>−</m:t>
        </m:r>
        <m:r>
          <m:t>0.22</m:t>
        </m:r>
      </m:oMath>
      <w:r>
        <w:t xml:space="preserve">). (c) The cut cell of Figure 1b at the final design under the design load. The panel shows the displacement magnitude on the material surface from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from exact static condensation</w:t>
      </w:r>
      <w:r>
        <w:t xml:space="preserve"> </w:t>
      </w:r>
      <m:oMath>
        <m:sSub>
          <m:e>
            <m:r>
              <m:t>E</m:t>
            </m:r>
          </m:e>
          <m:sub>
            <m:r>
              <m:t>m</m:t>
            </m:r>
          </m:sub>
        </m:sSub>
        <m:sSub>
          <m:e>
            <m:r>
              <m:t>B</m:t>
            </m:r>
          </m:e>
          <m:sub>
            <m:r>
              <m:t>m</m:t>
            </m:r>
          </m:sub>
        </m:sSub>
        <m:r>
          <m:t>U</m:t>
        </m:r>
      </m:oMath>
      <w:r>
        <w:t xml:space="preserve"> </w:t>
      </w:r>
      <w:r>
        <w:t xml:space="preserve">on a common scale, and their difference on a separate scale. The two fields differ by 1.04% in the energy norm of the cell and by 0.76% in the Euclidean norm of the nodal displacements. Applying the same recovery operator to the exact retained displacements also gives 1.04%, so the difference comes from the displacement recovery within the cell. Over the plate, the difference in the energy norm is 1.72%; its square equals the relative compliance difference of</w:t>
      </w:r>
      <w:r>
        <w:t xml:space="preserve"> </w:t>
      </w:r>
      <m:oMath>
        <m:r>
          <m:t>2.96</m:t>
        </m:r>
        <m:r>
          <m:rPr>
            <m:sty m:val="p"/>
          </m:rPr>
          <m:t>×</m:t>
        </m:r>
        <m:sSup>
          <m:e>
            <m:r>
              <m:t>10</m:t>
            </m:r>
          </m:e>
          <m:sup>
            <m:r>
              <m:rPr>
                <m:sty m:val="p"/>
              </m:rPr>
              <m:t>−</m:t>
            </m:r>
            <m:r>
              <m:t>4</m:t>
            </m:r>
          </m:sup>
        </m:sSup>
      </m:oMath>
      <w:r>
        <w:t xml:space="preserve"> </w:t>
      </w:r>
      <w:r>
        <w:t xml:space="preserve">(Eq. (14)).</w:t>
      </w:r>
    </w:p>
    <w:p>
      <w:pPr>
        <w:pStyle w:val="BodyText"/>
      </w:pPr>
      <w:r>
        <w:t xml:space="preserve">In case A, the NICE design agrees with the design obtained with exact static condensation. The block, loaded by a normal traction on the face opposite the clamp, is optimised from its graded design with NICE and, for comparison, with exact static condensation, called the twin run (Figure 14a).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NICE after 24 design iterations and the twin run after 23 (Table 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and the lattice gradient has errors of at most 0.33%, with every component of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cells and leaves 16 uncut and eight cut cells (Supplementary Note S6.3). The plate is clamped at its cut: every DOF of the cut-plane elements of every cut cell is fixed, a support that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so the plate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 is thickest near the end of the support closest to the loaded face and along the opposite free edge, and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 Two uniform designs of the same volume 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the homogenisation design described below lowers it by 30.5% against the first.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22">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model is clamped on the plane of the cut and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w:t>
      </w:r>
      <w:r>
        <w:t xml:space="preserve">and, at the uniform start,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elements per cell and axis, the underestimate is 25.8%. The clamp of the homogenised model is imposed by a penalty, and a hundredfold larger penalty factor changes the macroscale compliance by less than 0.001% (Supplementary Note S6.3). Nor is the underestimate caused by the support: the fine-scale model clamps all cut-plane elements, a support at least as stiff as one acting on the cut surface alone, which lowers the exact compliance and therefore narrows the difference. Along its own optimisation path, the macroscale compliance lies 27–33% below the NICE compliance; up to iteration 3, the two runs analyse the same designs (Figure 14b). 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The corner parameters of the homogenisation design (Figure 15b) differ from those of the NICE design by up to 0.26, with a correlation of 0.95 (Supplementary Table ST18c).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in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has 32.7 million DOFs in the cut finite element model and 1.62 million free retained DOFs. Each plate was run for its first four design iterations, with learned substructures beyond 4 GiB of GPU memory streamed from CPU memory. The time of a design iteration grew in proportion to the number of cells, at 10.1 to 10.9 s per cell, and reached 19.4 min for 110 cells; the conjugate gradients needed 138 to 173 iterations. The CPU memory, which holds the streamed state of the learned cells, grew by about 0.7 GiB per cell. With the learned cells on the GPU held within a fixed 4 GiB, the GPU memory grew with the assembled retained system, whose stiffness matrix</w:t>
      </w:r>
      <w:r>
        <w:t xml:space="preserve"> </w:t>
      </w:r>
      <m:oMath>
        <m:sSub>
          <m:e>
            <m:r>
              <m:rPr>
                <m:scr m:val="double-struck"/>
                <m:sty m:val="p"/>
              </m:rPr>
              <m:t>K</m:t>
            </m:r>
          </m:e>
          <m:sub>
            <m:r>
              <m:t>P</m:t>
            </m:r>
            <m:r>
              <m:t>P</m:t>
            </m:r>
          </m:sub>
        </m:sSub>
      </m:oMath>
      <w:r>
        <w:t xml:space="preserve"> </w:t>
      </w:r>
      <w:r>
        <w:t xml:space="preserve">the preconditioner factorises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 under a unit traction load on a face.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unless marked otherwise. Exact verification: exact discrete compliance of the designs, with the amount by which the NICE compliance lies below it in parentheses. Iterations: number of design iterations. Time: mean time of a design iteration, including the geometry generation of every cell. Unlike the analyses of Table 5, a design iteration regenerates the geometry of every cell and solves for one load (Supplementary Note S6.1).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the NICE optimisation and of the twin optimisation with exact static condensation. Open circles give the exact compliance of the NICE designs at iterations 0, 12 and 23.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and relative to the exact compliance of the same design (circles: −0.011%, −0.018%, −0.028%). The designs of the two runs coincide at iterations 0–4 and differ afterwards. At iterations 16 and 19, labelled 'perturbed designs', the NICE design had been perturbed by the fallback of the geometry generator (Supplementary Table ST19a). (b) Plate supported on its cut. The curves show the NICE compliance from the uniform start and the compliance of the homogenised macroscale model along its own optimisation (dashed line). The star marks the homogenisation design analysed with NICE on the cut geometry, placed at the last macroscale iteration. Open circles give the exact compliance of the uniform start, the final NICE design and the homogenisation design.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(a,b) Corner thickness parameters of the final NICE design and of the homogenisation design in the layer</w:t>
      </w:r>
      <w:r>
        <w:t xml:space="preserve"> </w:t>
      </w:r>
      <m:oMath>
        <m:r>
          <m:t>z</m:t>
        </m:r>
        <m:r>
          <m:rPr>
            <m:sty m:val="p"/>
          </m:rPr>
          <m:t>=</m:t>
        </m:r>
        <m:r>
          <m:t>0</m:t>
        </m:r>
      </m:oMath>
      <w:r>
        <w:t xml:space="preserve">, drawn with the long side horizontal. Circles denote design variables, and squares denote the fixed vertices in the plane of the loaded face. Vertices drawn in the removed region are corners of cut cells. The thick hatched line marks the clamped cut-plane elements, and the arrows mark the loaded face and the direction of the in-plane traction. The compliances in (a,b) are the NICE and exact values of the same design (Supplementary Table ST21).</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of 24, 51, 88 and 110 cells with the proportions and cut of the plate in Figure 15, at the uniform start</w:t>
      </w:r>
      <w:r>
        <w:t xml:space="preserve"> </w:t>
      </w:r>
      <m:oMath>
        <m:r>
          <m:t>τ</m:t>
        </m:r>
        <m:r>
          <m:rPr>
            <m:sty m:val="p"/>
          </m:rPr>
          <m:t>=</m:t>
        </m:r>
        <m:r>
          <m:t>0.40</m:t>
        </m:r>
      </m:oMath>
      <w:r>
        <w:t xml:space="preserve">, drawn to the same scale. Each plate stands on its clamped long side (hatched), and the opposite face carries an in-plane traction along the long side (arrows). Light: uncut cells; dark: cut cells. Each panel gives the DOFs of the cut finite-element model, the free retained DOFs and the mean time per design iteration. (e) Time per design iteration against the number of cells (squares: mean; bars: range over the timed iterations). The dashed line is proportional to the number of cells, with the mean time of 10.7 s per cell. Memory use is given in Supplementary Table ST20.</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interior response, whereas the ablation of Section 5.7 isolates the effect of the exchanged displacement patterns. Even with exact interior displacements, restricting the cell-face displacements changes the assembled response, and a polynomial degree that gives an accurate compliance can still leave an appreciable error in the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 whose solution takes most of the time of a NICE analysis (Supplementary Table ST12d).</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and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By the energy formulation of the condensed stiffness, if an interior correction does not increase the</w:t>
      </w:r>
      <w:r>
        <w:t xml:space="preserve"> </w:t>
      </w:r>
      <m:oMath>
        <m:r>
          <m:t>A</m:t>
        </m:r>
      </m:oMath>
      <w:r>
        <w:t xml:space="preserve">-energy error for any retained displacements, the corrected condensed stiffness lies between the uncorrected and the exact condensed stiffness, whatever the network (Section 3.4). An interior displacement error of about 1% gives an energy error of 1.8 to 35% because the error is stiffer than the exact solution (Section 5.4). Chebyshev smoothing removes the error components with large Rayleigh quotients of the Jacobi-scaled interior stiffness matrix, and the coarse-grid correction removes the smooth components that smoothing reduces slowly. Under the same correction, the network prediction leaves lower energy errors than zero interior displacements and the graph-harmonic field (Table 4); even with eight times the smoothing work, the graph-harmonic field leaves a larger error than the eight-step result of the base network in five of six cells (Section 5.5). Conversely, the correction reduces the error components that the network represents poorly. On the moderately cut cell M1, it lowers the energy error of the base network from 13.5% to 0.19% without any change of the network parameters, and in the two-cell configurations Base network + correction already stays below the 3% lines. Training with the correction applied adds less than the correction itself: it reduces the mean energy error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so the relevant cost is the total work needed to reach the prescribed accuracy in both quantities. On the lattices of Section 5.9, NICE is faster than the whole-lattice direct solution and conventional exact static condensation and needs less memory than these two direct routes; on the two eight-cell lattices on which iterative solvers were compared, it is also faster than whole-lattice conjugate gradients with algebraic multigrid. The advantage comes from the way the interior is resolved. The exact routes, direct or iterative, solve the fine-scale problem of every cell or of the whole lattice, whereas NICE obtains the interior displacements of each cell from one network evaluation and a fixed number of correction steps and solves the assembled problem on the retained DOFs only (Section 5.9). Inexact BDDC and FETI-DP methods</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w:t>
      </w:r>
      <w:r>
        <w:t xml:space="preserve"> </w:t>
      </w:r>
      <w:hyperlink r:id="rId54">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to which its grid hierarchy, with 65, 33, 17 and 9 positions per axis, is matched. Other TPMS families need further training.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6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which is left to future work. The network is not equivariant under the symmetries of the cube: for a rotated or reflected cell, its prediction is in general not the correspondingly rotated or reflected prediction, a property that symmetry-decoupled shape functions for voxel substructures have</w:t>
      </w:r>
      <w:r>
        <w:t xml:space="preserve"> </w:t>
      </w:r>
      <w:hyperlink r:id="rId43">
        <w:r>
          <w:rPr>
            <w:rStyle w:val="Hyperlink"/>
          </w:rPr>
          <w:t xml:space="preserve">Jiang, C. et al. (2026)</w:t>
        </w:r>
      </w:hyperlink>
      <w:r>
        <w:t xml:space="preserve">. NICE was evaluated mainly in the identity orientation. In a second orientation, obtained by a symmetry of the cube and also used in checkpoint selection, its mean energy error on the 80 validation geometries over the seven load classes evaluated in both orientations is 4% higher in relative terms, and under traction loads 12% higher (Supplementary Table ST03c).</w:t>
      </w:r>
    </w:p>
    <w:p>
      <w:pPr>
        <w:pStyle w:val="BodyText"/>
      </w:pPr>
      <w:r>
        <w:t xml:space="preserve">The properties of the condensed stiffness shown in Section 3.1 hold for any input to the network, but the accuracy does not, and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so its compliance is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to</w:t>
      </w:r>
      <w:r>
        <w:t xml:space="preserve"> </w:t>
      </w:r>
      <m:oMath>
        <m:r>
          <m:t>n</m:t>
        </m:r>
        <m:r>
          <m:rPr>
            <m:sty m:val="p"/>
          </m:rPr>
          <m:t>=</m:t>
        </m:r>
        <m:r>
          <m:t>64</m:t>
        </m:r>
      </m:oMath>
      <w:r>
        <w:t xml:space="preserve"> </w:t>
      </w:r>
      <w:r>
        <w:t xml:space="preserve">by at most 0.28% in the compliance and 0.44% in the sensitivity, except in the heavily cut cell H2, where the deviations reach about 1% and 3.6% (Supplementary Table ST10).</w:t>
      </w:r>
    </w:p>
    <w:p>
      <w:pPr>
        <w:pStyle w:val="BodyText"/>
      </w:pPr>
      <w:r>
        <w:t xml:space="preserve">The evidence on assembled models consists of two-cell assemblies in fourteen configurations of cells used for checkpoint selection and eighteen configurations of cells outside checkpoint selection (Section 5.6), and of two eight-cell lattices and the two four-cell layers of the block (Sections 5.8 and 5.9). The designs checked against exact static condensation are three designs of the block in case A, five designs of the cut 24-cell plate and the first designs of the 24- and 51-cell plates of the scale study (Section 5.10). All comparisons between trained variants use a single random seed, and the effect of the sensitivity term in the loss of Eq. (13) was not isolated. 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r>
          <m:t>F</m:t>
        </m:r>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and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because a line search would compare the approximate compliance with</w:t>
      </w:r>
      <w:r>
        <w:t xml:space="preserve"> </w:t>
      </w:r>
      <m:oMath>
        <m:sSub>
          <m:e>
            <m:acc>
              <m:accPr>
                <m:chr m:val="̃"/>
              </m:accPr>
              <m:e>
                <m:r>
                  <m:t>s</m:t>
                </m:r>
              </m:e>
            </m:acc>
          </m:e>
          <m:sub>
            <m:r>
              <m:t>c</m:t>
            </m:r>
          </m:sub>
        </m:sSub>
      </m:oMath>
      <w:r>
        <w:t xml:space="preserve">, which is not its derivative. 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using algebraic multigrid</w:t>
      </w:r>
      <w:r>
        <w:t xml:space="preserve"> </w:t>
      </w:r>
      <w:hyperlink r:id="rId78">
        <w:r>
          <w:rPr>
            <w:rStyle w:val="Hyperlink"/>
          </w:rPr>
          <w:t xml:space="preserve">Vaněk et al. (1996)</w:t>
        </w:r>
      </w:hyperlink>
      <w:r>
        <w:t xml:space="preserve">,</w:t>
      </w:r>
      <w:r>
        <w:t xml:space="preserve"> </w:t>
      </w:r>
      <w:hyperlink r:id="rId139">
        <w:r>
          <w:rPr>
            <w:rStyle w:val="Hyperlink"/>
          </w:rPr>
          <w:t xml:space="preserve">Henson &amp; Yang (2002)</w:t>
        </w:r>
      </w:hyperlink>
      <w:r>
        <w:t xml:space="preserve">,</w:t>
      </w:r>
      <w:r>
        <w:t xml:space="preserve"> </w:t>
      </w:r>
      <w:hyperlink r:id="rId124">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25">
        <w:r>
          <w:rPr>
            <w:rStyle w:val="Hyperlink"/>
          </w:rPr>
          <w:t xml:space="preserve">Dohrmann (2003)</w:t>
        </w:r>
      </w:hyperlink>
      <w:r>
        <w:t xml:space="preserve"> </w:t>
      </w:r>
      <w:r>
        <w:t xml:space="preserve">(Section 5.9). FETI-DP</w:t>
      </w:r>
      <w:r>
        <w:t xml:space="preserve"> </w:t>
      </w:r>
      <w:hyperlink r:id="rId140">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and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a set that changes with the cell geometry. A network predicts the interior displacements, a fixed two-grid correction reduces the interior force imbalance that the network leaves, and the condensed stiffness is computed from the strain energy of the corrected field and applied with the transpose of the complete recovery operator. The condensed stiffness is therefore symmetric positive semidefinite, only the rigid-body modes have zero energy, and it is an upper bound on the exact condensed stiffness, with an error of second order in the interior displacement error (Proposition 1). These properties do not depend on how well the network is trained. A correction that satisfies the conditions of Proposition 2 cannot increase the error of the condensed stiffness, and in every example of Supplementary Table ST07, a larger number of smoothing steps reduced the error further. The network and the correction complement each other. Under the same correction, a graph-harmonic initial field leaves 5.4 to 265 times the error of NICE;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of first order in that error (Proposition 4). In cut cells, the displacement errors of the base network are about 1%, but they are stiffer than the exact solution and give energy errors of 1.8 to 35% (Section 5.4). These relations hold for any approximate recovery operator, so an approximate static condensation used in design must be checked on its sensitivities as well as on its compliance; NICE is trained and checked on both.</w:t>
      </w:r>
    </w:p>
    <w:p>
      <w:pPr>
        <w:pStyle w:val="BodyText"/>
      </w:pPr>
      <w:r>
        <w:t xml:space="preserve">For cut thin-walled Schwarz-P cells with tens of thousands of retained DOFs, the mean energy error of NICE over the 80 validation geometries is 0.074%, and in every two-cell configuration its compliance and sensitivity errors are at most 0.27% and 1.49%. An analysis of an eight-cell lattice with sensitivities takes 79–105 s on one GPU, whereas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by 27%. At the five checked designs of this plate, the compliance and the gradient from NICE differ from those of exact static condensation by at most 0.032% and 0.32%, and the optimised design has a 32% lower compliance than the uniform design of the same volume. On the plates of the scale study, exact checks up to 51 cells give compliance errors below 0.014% and gradient errors below 0.05%, and a design iteration of a 110-cell plate with 32.7 million DOFs takes 19 min.</w:t>
      </w:r>
    </w:p>
    <w:p>
      <w:pPr>
        <w:pStyle w:val="BodyText"/>
      </w:pPr>
      <w:r>
        <w:t xml:space="preserve">The periodic boundary conditions assumed by homogenisation fail without scale separation or when cells are cut, and a fine-scale model that discretises every cell must be reassembled and solved at every design iteration. Between these two approaches, NICE provides a component model that keeps the properties of static condensation without factorising the interior stiffness matrix of each cell.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face nodes of every certified positive-area material patch. The cut node set is the union of all 27 nodes of each active element carrying a positive-area cut-surface patch. Their union is deduplicated in active-node order. The DOFs of the cut-plane elements that lie off the cut plane are also retained, because their basis functions determine the displacement and the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implicit band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t>E</m:t>
        </m:r>
      </m:oMath>
      <w:r>
        <w:t xml:space="preserve"> </w:t>
      </w:r>
      <w:r>
        <w:t xml:space="preserve">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are taken of the complete recovery operator, including the correction. Interior body loads are zero; equivalently, the load functional depends only on the retained DOFs. Boundary loads integrated consistently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an admissible linear recovery operator</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and the assumption that the numerically integrated element matrices keep the rigid-body kernel.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assumptions of Section 2.3,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r>
        <w:t xml:space="preserve"> </w:t>
      </w:r>
      <w:r>
        <w:t xml:space="preserve">## Appendix D. Polynomial smoothing and coarse projections</w:t>
      </w:r>
    </w:p>
    <w:p>
      <w:pPr>
        <w:pStyle w:val="BodyText"/>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7">
        <w:r>
          <w:rPr>
            <w:rStyle w:val="Hyperlink"/>
          </w:rPr>
          <w:t xml:space="preserve">Xu &amp; Zikatanov (2002)</w:t>
        </w:r>
      </w:hyperlink>
      <w:r>
        <w:t xml:space="preserve">. This is the standard energy-projection mechanism of subspace correction</w:t>
      </w:r>
      <w:r>
        <w:t xml:space="preserve"> </w:t>
      </w:r>
      <w:hyperlink r:id="rId35">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increases monotonically towards the reference, and the total reconstructed energy error of Eq. (14)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r>
        <w:t xml:space="preserve"> </w:t>
      </w:r>
      <w:r>
        <w:t xml:space="preserve">## 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terms that contain the derivative of the recovery operator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thus removes the term linear in the interior displacement error and replaces it by a term weighted by the design derivative of the recovery error. Which of the two 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PSD.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70">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55">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52">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56">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9">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2">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47">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4">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54">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9">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4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4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50">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43">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7">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3">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51">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8">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5">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5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68">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4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6">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44">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4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47"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54"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9"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8"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56"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70"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53" Target="https://doi.org/10.1016/j.cma.2018.11.003" TargetMode="External" /><Relationship Type="http://schemas.openxmlformats.org/officeDocument/2006/relationships/hyperlink" Id="rId51" Target="https://doi.org/10.1016/j.cma.2021.113813" TargetMode="External" /><Relationship Type="http://schemas.openxmlformats.org/officeDocument/2006/relationships/hyperlink" Id="rId52"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55" Target="https://doi.org/10.1016/j.cma.2026.119304" TargetMode="External" /><Relationship Type="http://schemas.openxmlformats.org/officeDocument/2006/relationships/hyperlink" Id="rId46" Target="https://doi.org/10.1016/j.compstruct.2025.119330" TargetMode="External" /><Relationship Type="http://schemas.openxmlformats.org/officeDocument/2006/relationships/hyperlink" Id="rId43"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41"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44" Target="https://doi.org/10.1016/j.eml.2024.102237" TargetMode="External" /><Relationship Type="http://schemas.openxmlformats.org/officeDocument/2006/relationships/hyperlink" Id="rId45" Target="https://doi.org/10.1016/j.ijmecsci.2026.112007" TargetMode="External" /><Relationship Type="http://schemas.openxmlformats.org/officeDocument/2006/relationships/hyperlink" Id="rId69" Target="https://doi.org/10.1016/j.jcp.2013.04.045" TargetMode="External" /><Relationship Type="http://schemas.openxmlformats.org/officeDocument/2006/relationships/hyperlink" Id="rId42"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6" Target="https://doi.org/10.1038/s42256-024-00910-x" TargetMode="External" /><Relationship Type="http://schemas.openxmlformats.org/officeDocument/2006/relationships/hyperlink" Id="rId50"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4" Target="https://doi.org/10.1137/20M1344913" TargetMode="External" /><Relationship Type="http://schemas.openxmlformats.org/officeDocument/2006/relationships/hyperlink" Id="rId67"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68"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3" Target="https://proceedings.mlr.press/v119/luz20a.html" TargetMode="External" /><Relationship Type="http://schemas.openxmlformats.org/officeDocument/2006/relationships/hyperlink" Id="rId62" Target="https://proceedings.mlr.press/v97/greenfeld19a.html" TargetMode="External" /><Relationship Type="http://schemas.openxmlformats.org/officeDocument/2006/relationships/hyperlink" Id="rId65"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54"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9"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8"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56"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70"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53" Target="https://doi.org/10.1016/j.cma.2018.11.003" TargetMode="External" /><Relationship Type="http://schemas.openxmlformats.org/officeDocument/2006/relationships/hyperlink" Id="rId51" Target="https://doi.org/10.1016/j.cma.2021.113813" TargetMode="External" /><Relationship Type="http://schemas.openxmlformats.org/officeDocument/2006/relationships/hyperlink" Id="rId52"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55" Target="https://doi.org/10.1016/j.cma.2026.119304" TargetMode="External" /><Relationship Type="http://schemas.openxmlformats.org/officeDocument/2006/relationships/hyperlink" Id="rId46" Target="https://doi.org/10.1016/j.compstruct.2025.119330" TargetMode="External" /><Relationship Type="http://schemas.openxmlformats.org/officeDocument/2006/relationships/hyperlink" Id="rId43"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41"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44" Target="https://doi.org/10.1016/j.eml.2024.102237" TargetMode="External" /><Relationship Type="http://schemas.openxmlformats.org/officeDocument/2006/relationships/hyperlink" Id="rId45" Target="https://doi.org/10.1016/j.ijmecsci.2026.112007" TargetMode="External" /><Relationship Type="http://schemas.openxmlformats.org/officeDocument/2006/relationships/hyperlink" Id="rId69" Target="https://doi.org/10.1016/j.jcp.2013.04.045" TargetMode="External" /><Relationship Type="http://schemas.openxmlformats.org/officeDocument/2006/relationships/hyperlink" Id="rId42"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6" Target="https://doi.org/10.1038/s42256-024-00910-x" TargetMode="External" /><Relationship Type="http://schemas.openxmlformats.org/officeDocument/2006/relationships/hyperlink" Id="rId50"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4" Target="https://doi.org/10.1137/20M1344913" TargetMode="External" /><Relationship Type="http://schemas.openxmlformats.org/officeDocument/2006/relationships/hyperlink" Id="rId67"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68"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3" Target="https://proceedings.mlr.press/v119/luz20a.html" TargetMode="External" /><Relationship Type="http://schemas.openxmlformats.org/officeDocument/2006/relationships/hyperlink" Id="rId62" Target="https://proceedings.mlr.press/v97/greenfeld19a.html" TargetMode="External" /><Relationship Type="http://schemas.openxmlformats.org/officeDocument/2006/relationships/hyperlink" Id="rId65"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2026-10-11T19:54:38Z</dcterms:created>
  <dcterms:modified xsi:type="dcterms:W3CDTF">2026-10-11T19:54:38Z</dcterms:modified>
</cp:coreProperties>
</file>

<file path=docProps/custom.xml><?xml version="1.0" encoding="utf-8"?>
<Properties xmlns="http://schemas.openxmlformats.org/officeDocument/2006/custom-properties" xmlns:vt="http://schemas.openxmlformats.org/officeDocument/2006/docPropsVTypes"/>
</file>