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remaining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The base network was initialised from parameters obtained in three preceding training stages. The data split comprises 691 geometries: 591 training geometries and 100 validation geometries, which include the 80 of Table ST02.</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remaining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material layer.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results of the two-cell assemblies with a continuous-thickness neighbour</w:t>
      </w:r>
    </w:p>
    <w:p>
      <w:pPr>
        <w:pStyle w:val="FirstParagraph"/>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Remaining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remaining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By the principle of minimum potential energy, the compliance of this restricted solution does not decrease when the boundary space is enlarged to a space that contains it. The correction keeps every retained DOF fixed and changes the interior displacements of</w:t>
      </w:r>
      <w:r>
        <w:t xml:space="preserve"> </w:t>
      </w:r>
      <m:oMath>
        <m:r>
          <m:t>u</m:t>
        </m:r>
        <m:r>
          <m:rPr>
            <m:sty m:val="p"/>
          </m:rPr>
          <m:t>=</m:t>
        </m:r>
        <m:acc>
          <m:accPr>
            <m:chr m:val="̂"/>
          </m:accPr>
          <m:e>
            <m:r>
              <m:rPr>
                <m:sty m:val="p"/>
              </m:rPr>
              <m:t>Ψ</m:t>
            </m:r>
          </m:e>
        </m:acc>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remaining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(PyTorch 2.8.0, CUDA 12.8, NVIDIA cuDSS 0.8) on an NVIDIA GeForce RTX 5090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20">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allocated by the process;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
                    </m:rPr>
                    <m:t>τ</m:t>
                  </m:r>
                </m:e>
                <m:sub>
                  <m:r>
                    <m:t>g</m:t>
                  </m:r>
                </m:sub>
              </m:sSub>
            </m:oMath>
            <w:r>
              <w:t xml:space="preserve">;</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21">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study: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Approximate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Approximate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remaining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(remaining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study and exact verification of the plate designs</w:t>
      </w:r>
    </w:p>
    <w:p>
      <w:pPr>
        <w:pStyle w:val="FirstParagraph"/>
      </w:pPr>
      <w:r>
        <w:rPr>
          <w:b/>
          <w:bCs/>
        </w:rPr>
        <w:t xml:space="preserve">Scale study.</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remaining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study.</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Approximate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Approximate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2.4).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they depend only on the stiffness matrix, the assembly and two properties of the recovery operator, and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stiffness matrices,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10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geometries (set / used)</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surface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and of Figure S04;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2026-10-13T15:53:16Z</dcterms:created>
  <dcterms:modified xsi:type="dcterms:W3CDTF">2026-10-13T15:53:16Z</dcterms:modified>
</cp:coreProperties>
</file>

<file path=docProps/custom.xml><?xml version="1.0" encoding="utf-8"?>
<Properties xmlns="http://schemas.openxmlformats.org/officeDocument/2006/custom-properties" xmlns:vt="http://schemas.openxmlformats.org/officeDocument/2006/docPropsVTypes"/>
</file>