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2611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eb56e410c313" o:bwmode="white" o:targetscreensize="800,600">
      <v:fill r:id="rId15eb56e410c30f" o:title="tit_15eb56e410c315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pernos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POWER TRAIN TECHNOLOGIES S.A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14979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proofErr w:type="spellStart"/>
            <w:r w:rsidRPr="00DC53C2">
              <w:rPr>
                <w:rFonts w:ascii="Arial" w:hAnsi="Arial" w:cs="Arial"/>
                <w:b/>
                <w:bCs/>
                <w:lang w:val="es-ES"/>
              </w:rPr>
              <w:t>Ref</w:t>
            </w:r>
            <w:proofErr w:type="spellEnd"/>
            <w:r w:rsidRPr="00DC53C2">
              <w:rPr>
                <w:rFonts w:ascii="Arial" w:hAnsi="Arial" w:cs="Arial"/>
                <w:b/>
                <w:bCs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14979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Daniel Pavez G.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POWER TRAIN TECHNOLOGIES S.A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08-05-2020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Juan González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lastRenderedPageBreak/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POWER TRAIN TECHNOLOGIES S.A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96849300-0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Juan González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juanmarcos.gonzalez@ptt.cl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9743FE">
      <w:pPr>
        <w:spacing w:line="360" w:lineRule="auto"/>
        <w:ind w:left="284" w:hanging="1"/>
        <w:jc w:val="both"/>
      </w:pPr>
      <w:r>
        <w:rPr>
          <w:rFonts w:ascii="Arial" w:hAnsi="Arial" w:cs="Arial"/>
          <w:sz w:val="20"/>
          <w:szCs w:val="20"/>
        </w:rPr>
        <w:t xml:space="preserve">El objetivo de esta propuesta es "" cuyo alcance es el siguiente:</w:t>
      </w:r>
    </w:p>
    <w:p>
      <w:pPr>
        <w:widowControl w:val="on"/>
        <w:pBdr/>
        <w:spacing w:before="0" w:after="0" w:line="240" w:lineRule="auto"/>
        <w:ind w:left="60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a) 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cliente, previo al inicio del trabajo. Además contempla visitas a terreno, la cual debe estar establecida previamente entre las partes antes de iniciar el trabajo en cuestión.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detalles, los resultados resguardados en imágenes digitales. Además se planificará, de ser necesario, los cortes para la extracción de muestras.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de los objetivos es el siguiente: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2.3.1.- Análisis Fractográfico: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Analizará la superficie de la fractura de la o las piezas de estudios.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2.3.2.- Análisis Metalográfico: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realizarán los sectores de interés para el posterior análisis metalográfico, para poder analizar las microestructuras. La preparación de las muestras se realiza mediante la norma ASTM E3 y la selección del ataque químico según la norma ASTM E407.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2.3.3.- Ensayos Tracción: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Los ensayos de tracción se realizaran en base a la norma ASTM E8, o equivalente dependiendo de los requerimientos (API, AWS, ASME, ASTMA 370, etc.).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2.3.4.- Ensayos de Dureza: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Dependiendo de la naturaleza del análisis, se podrán realizara microdurezavickers(norma ASTM 999)o durezas de otros tipos, como Brinell (norma ASTM XXXX), Rockwell A, B, C, 30T, etc (norma ASTM XXXX), o Shor A (norma ASTM XXXX).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2.3.5.- Microscopia Electrónica de Barrido: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 microscopia electrónica para observar las zonas de interés y además, si es necesario, se realizarán cuantificación de elementos por microsonda (EDS).</w:t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46.50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// 14:00 a 18:00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Viernes </w:t>
      </w:r>
      <w:r>
        <w:rPr>
          <w:rFonts w:ascii="Arial" w:hAnsi="Arial" w:cs="Arial"/>
          <w:bCs/>
          <w:sz w:val="20"/>
          <w:szCs w:val="20"/>
        </w:rPr>
        <w:t xml:space="preserve">9:00 a 13:00 </w:t>
      </w:r>
      <w:proofErr w:type="spellStart"/>
      <w:r>
        <w:rPr>
          <w:rFonts w:ascii="Arial" w:hAnsi="Arial" w:cs="Arial"/>
          <w:bCs/>
          <w:sz w:val="20"/>
          <w:szCs w:val="20"/>
        </w:rPr>
        <w:t>hrs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// 14:00 a 16:0</w:t>
      </w:r>
      <w:r w:rsidRPr="008642B0">
        <w:rPr>
          <w:rFonts w:ascii="Arial" w:hAnsi="Arial" w:cs="Arial"/>
          <w:bCs/>
          <w:sz w:val="20"/>
          <w:szCs w:val="20"/>
        </w:rPr>
        <w:t xml:space="preserve">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>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345997" cy="775411"/>
            <wp:effectExtent l="0" t="0" r="0" b="0"/>
            <wp:wrapSquare wrapText="bothSides"/>
            <wp:docPr id="508426635" name="0 Imagen" descr="../../ft/D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DPG.png"/>
                    <pic:cNvPicPr/>
                  </pic:nvPicPr>
                  <pic:blipFill>
                    <a:blip r:embed="rId692245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997" cy="775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DEB6D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Daniel Pavez G.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1DD" w:rsidRDefault="00EB11DD" w:rsidP="009D2B3B">
      <w:r>
        <w:separator/>
      </w:r>
    </w:p>
  </w:endnote>
  <w:endnote w:type="continuationSeparator" w:id="0">
    <w:p w:rsidR="00EB11DD" w:rsidRDefault="00EB11DD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uropolitical">
    <w:panose1 w:val="020B0500000000000000"/>
    <w:charset w:val="00"/>
    <w:family w:val="swiss"/>
    <w:pitch w:val="variable"/>
    <w:sig w:usb0="80000027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1DD" w:rsidRDefault="00EB11DD" w:rsidP="009D2B3B">
      <w:r>
        <w:separator/>
      </w:r>
    </w:p>
  </w:footnote>
  <w:footnote w:type="continuationSeparator" w:id="0">
    <w:p w:rsidR="00EB11DD" w:rsidRDefault="00EB11DD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08 de Mayo de 2020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3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08 de Mayo de 2020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3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OFE-14979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POWER TRAIN TECHNOLOGIES S.A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OFE-14979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POWER TRAIN TECHNOLOGIES S.A</w:t>
                    </w:r>
                  </w:p>
                </w:txbxContent>
              </v:textbox>
            </v:shape>
          </w:pict>
        </mc:Fallback>
      </mc:AlternateContent>
    </w:r>
    <w:r w:rsidR="000A1CBF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163574">
    <w:multiLevelType w:val="hybridMultilevel"/>
    <w:lvl w:ilvl="0" w:tplc="16740112">
      <w:start w:val="1"/>
      <w:numFmt w:val="decimal"/>
      <w:lvlText w:val="%1."/>
      <w:lvlJc w:val="left"/>
      <w:pPr>
        <w:ind w:left="720" w:hanging="360"/>
      </w:pPr>
    </w:lvl>
    <w:lvl w:ilvl="1" w:tplc="16740112" w:tentative="1">
      <w:start w:val="1"/>
      <w:numFmt w:val="lowerLetter"/>
      <w:lvlText w:val="%2."/>
      <w:lvlJc w:val="left"/>
      <w:pPr>
        <w:ind w:left="1440" w:hanging="360"/>
      </w:pPr>
    </w:lvl>
    <w:lvl w:ilvl="2" w:tplc="16740112" w:tentative="1">
      <w:start w:val="1"/>
      <w:numFmt w:val="lowerRoman"/>
      <w:lvlText w:val="%3."/>
      <w:lvlJc w:val="right"/>
      <w:pPr>
        <w:ind w:left="2160" w:hanging="180"/>
      </w:pPr>
    </w:lvl>
    <w:lvl w:ilvl="3" w:tplc="16740112" w:tentative="1">
      <w:start w:val="1"/>
      <w:numFmt w:val="decimal"/>
      <w:lvlText w:val="%4."/>
      <w:lvlJc w:val="left"/>
      <w:pPr>
        <w:ind w:left="2880" w:hanging="360"/>
      </w:pPr>
    </w:lvl>
    <w:lvl w:ilvl="4" w:tplc="16740112" w:tentative="1">
      <w:start w:val="1"/>
      <w:numFmt w:val="lowerLetter"/>
      <w:lvlText w:val="%5."/>
      <w:lvlJc w:val="left"/>
      <w:pPr>
        <w:ind w:left="3600" w:hanging="360"/>
      </w:pPr>
    </w:lvl>
    <w:lvl w:ilvl="5" w:tplc="16740112" w:tentative="1">
      <w:start w:val="1"/>
      <w:numFmt w:val="lowerRoman"/>
      <w:lvlText w:val="%6."/>
      <w:lvlJc w:val="right"/>
      <w:pPr>
        <w:ind w:left="4320" w:hanging="180"/>
      </w:pPr>
    </w:lvl>
    <w:lvl w:ilvl="6" w:tplc="16740112" w:tentative="1">
      <w:start w:val="1"/>
      <w:numFmt w:val="decimal"/>
      <w:lvlText w:val="%7."/>
      <w:lvlJc w:val="left"/>
      <w:pPr>
        <w:ind w:left="5040" w:hanging="360"/>
      </w:pPr>
    </w:lvl>
    <w:lvl w:ilvl="7" w:tplc="16740112" w:tentative="1">
      <w:start w:val="1"/>
      <w:numFmt w:val="lowerLetter"/>
      <w:lvlText w:val="%8."/>
      <w:lvlJc w:val="left"/>
      <w:pPr>
        <w:ind w:left="5760" w:hanging="360"/>
      </w:pPr>
    </w:lvl>
    <w:lvl w:ilvl="8" w:tplc="1674011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63573">
    <w:multiLevelType w:val="hybridMultilevel"/>
    <w:lvl w:ilvl="0" w:tplc="3298614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5163573">
    <w:abstractNumId w:val="15163573"/>
  </w:num>
  <w:num w:numId="15163574">
    <w:abstractNumId w:val="151635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951412963" Type="http://schemas.openxmlformats.org/officeDocument/2006/relationships/comments" Target="comments.xml"/><Relationship Id="rId69224548" Type="http://schemas.openxmlformats.org/officeDocument/2006/relationships/image" Target="media/imgrId69224548.png"/><Relationship Id="rId15eb56e410c30f" Type="http://schemas.openxmlformats.org/officeDocument/2006/relationships/image" Target="media/img15eb56e410c30f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653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Alfredo Artigas</cp:lastModifiedBy>
  <cp:revision>60</cp:revision>
  <dcterms:created xsi:type="dcterms:W3CDTF">2020-01-20T18:46:00Z</dcterms:created>
  <dcterms:modified xsi:type="dcterms:W3CDTF">2020-01-29T13:40:00Z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