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3327606b8788360b6" o:bwmode="white" o:targetscreensize="800,600">
      <v:fill r:id="rId7735606b8788360b4" o:title="tit_5595606b8788360b7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de prueba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LABORATORIO SIMET-USACH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16437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proofErr w:type="spellStart"/>
            <w:r w:rsidRPr="00DC53C2">
              <w:rPr>
                <w:rFonts w:ascii="Arial" w:hAnsi="Arial" w:cs="Arial"/>
                <w:b/>
                <w:bCs/>
                <w:lang w:val="es-ES"/>
              </w:rPr>
              <w:t>Ref</w:t>
            </w:r>
            <w:proofErr w:type="spellEnd"/>
            <w:r w:rsidRPr="00DC53C2">
              <w:rPr>
                <w:rFonts w:ascii="Arial" w:hAnsi="Arial" w:cs="Arial"/>
                <w:b/>
                <w:bCs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16437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Ra?l Palma M.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LABORATORIO SIMET-USACH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05-04-2021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ALFREDO ARTIGAS A.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lastRenderedPageBreak/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LABORATORIO SIMET-USACH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12345678-9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ALFREDO ARTIGAS A.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9743FE">
      <w:pPr>
        <w:spacing w:line="360" w:lineRule="auto"/>
        <w:ind w:left="284" w:hanging="1"/>
        <w:jc w:val="both"/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pernos fracturados" cuyo alcance es el siguiente:</w:t>
      </w:r>
    </w:p>
    <w:p w:rsidR="00BC6535" w:rsidRDefault="00BC6535" w:rsidP="009743FE">
      <w:pPr>
        <w:spacing w:line="360" w:lineRule="auto"/>
        <w:ind w:left="708"/>
        <w:jc w:val="both"/>
        <w:rPr>
          <w:rFonts w:ascii="Arial" w:hAnsi="Arial" w:cs="Arial"/>
          <w:sz w:val="20"/>
          <w:szCs w:val="20"/>
        </w:rPr>
      </w:pPr>
      <w:r w:rsidRPr="00CE3308">
        <w:rPr>
          <w:rFonts w:ascii="Arial" w:hAnsi="Arial" w:cs="Arial"/>
          <w:sz w:val="20"/>
          <w:szCs w:val="20"/>
        </w:rPr>
        <w:t xml:space="preserve">a) </w:t>
        <w:br/>
        <w:t xml:space="preserve"/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cliente, previo al inicio del trabajo. Además contempla visitas a terreno, la cual debe estar establecida previamente entre las partes antes de iniciar el trabajo en cuestión.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detalles, los resultados resguardados en imágenes digitales. Además se planificará, de ser necesario, los cortes para la extracción de muestras.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de los objetivos es el siguiente: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1) El an?lisis qu?mico de las muestra(s) de estudio es realizado por espectrometr?a de emisi?n ?ptica (base Fe, Cu y Al), seg?n norma ASTM A751. En el caso que la muestra sea muy peque?a y/o  encontrase con un metal en otra base, se podr? hacer un ensayo de an?lisis semicuantitativo de elementos por microscopia electr?nica de barrido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// 14:00 a 18:00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 xml:space="preserve"> Viernes </w:t>
      </w:r>
      <w:r>
        <w:rPr>
          <w:rFonts w:ascii="Arial" w:hAnsi="Arial" w:cs="Arial"/>
          <w:bCs/>
          <w:sz w:val="20"/>
          <w:szCs w:val="20"/>
        </w:rPr>
        <w:t xml:space="preserve">9:00 a 13:00 </w:t>
      </w:r>
      <w:proofErr w:type="spellStart"/>
      <w:r>
        <w:rPr>
          <w:rFonts w:ascii="Arial" w:hAnsi="Arial" w:cs="Arial"/>
          <w:bCs/>
          <w:sz w:val="20"/>
          <w:szCs w:val="20"/>
        </w:rPr>
        <w:t>hrs</w:t>
      </w:r>
      <w:proofErr w:type="spellEnd"/>
      <w:r>
        <w:rPr>
          <w:rFonts w:ascii="Arial" w:hAnsi="Arial" w:cs="Arial"/>
          <w:bCs/>
          <w:sz w:val="20"/>
          <w:szCs w:val="20"/>
        </w:rPr>
        <w:t xml:space="preserve"> // 14:00 a 16:0</w:t>
      </w:r>
      <w:r w:rsidRPr="008642B0">
        <w:rPr>
          <w:rFonts w:ascii="Arial" w:hAnsi="Arial" w:cs="Arial"/>
          <w:bCs/>
          <w:sz w:val="20"/>
          <w:szCs w:val="20"/>
        </w:rPr>
        <w:t xml:space="preserve">0 </w:t>
      </w:r>
      <w:proofErr w:type="spellStart"/>
      <w:r w:rsidRPr="008642B0">
        <w:rPr>
          <w:rFonts w:ascii="Arial" w:hAnsi="Arial" w:cs="Arial"/>
          <w:bCs/>
          <w:sz w:val="20"/>
          <w:szCs w:val="20"/>
        </w:rPr>
        <w:t>hrs</w:t>
      </w:r>
      <w:proofErr w:type="spellEnd"/>
      <w:r w:rsidRPr="008642B0">
        <w:rPr>
          <w:rFonts w:ascii="Arial" w:hAnsi="Arial" w:cs="Arial"/>
          <w:bCs/>
          <w:sz w:val="20"/>
          <w:szCs w:val="20"/>
        </w:rPr>
        <w:t>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357853455" name="Picture 1" descr="../../ft/R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RPM.png"/>
                    <pic:cNvPicPr/>
                  </pic:nvPicPr>
                  <pic:blipFill>
                    <a:blip r:embed="rId7579976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BDEB6D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Ra?l Palma M.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1DD" w:rsidRDefault="00EB11DD" w:rsidP="009D2B3B">
      <w:r>
        <w:separator/>
      </w:r>
    </w:p>
  </w:endnote>
  <w:endnote w:type="continuationSeparator" w:id="0">
    <w:p w:rsidR="00EB11DD" w:rsidRDefault="00EB11DD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europolitical">
    <w:panose1 w:val="020B0500000000000000"/>
    <w:charset w:val="00"/>
    <w:family w:val="swiss"/>
    <w:pitch w:val="variable"/>
    <w:sig w:usb0="80000027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1DD" w:rsidRDefault="00EB11DD" w:rsidP="009D2B3B">
      <w:r>
        <w:separator/>
      </w:r>
    </w:p>
  </w:footnote>
  <w:footnote w:type="continuationSeparator" w:id="0">
    <w:p w:rsidR="00EB11DD" w:rsidRDefault="00EB11DD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05 de Abril de 2021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3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0A1CBF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05 de Abril de 2021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3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0A1CBF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OFE-16437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LABORATORIO SIMET-USACH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OFE-16437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LABORATORIO SIMET-USACH</w:t>
                    </w:r>
                  </w:p>
                </w:txbxContent>
              </v:textbox>
            </v:shape>
          </w:pict>
        </mc:Fallback>
      </mc:AlternateContent>
    </w:r>
    <w:r w:rsidR="000A1CBF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0A1CBF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1222">
    <w:multiLevelType w:val="hybridMultilevel"/>
    <w:lvl w:ilvl="0" w:tplc="91771562">
      <w:start w:val="1"/>
      <w:numFmt w:val="decimal"/>
      <w:lvlText w:val="%1."/>
      <w:lvlJc w:val="left"/>
      <w:pPr>
        <w:ind w:left="720" w:hanging="360"/>
      </w:pPr>
    </w:lvl>
    <w:lvl w:ilvl="1" w:tplc="91771562" w:tentative="1">
      <w:start w:val="1"/>
      <w:numFmt w:val="lowerLetter"/>
      <w:lvlText w:val="%2."/>
      <w:lvlJc w:val="left"/>
      <w:pPr>
        <w:ind w:left="1440" w:hanging="360"/>
      </w:pPr>
    </w:lvl>
    <w:lvl w:ilvl="2" w:tplc="91771562" w:tentative="1">
      <w:start w:val="1"/>
      <w:numFmt w:val="lowerRoman"/>
      <w:lvlText w:val="%3."/>
      <w:lvlJc w:val="right"/>
      <w:pPr>
        <w:ind w:left="2160" w:hanging="180"/>
      </w:pPr>
    </w:lvl>
    <w:lvl w:ilvl="3" w:tplc="91771562" w:tentative="1">
      <w:start w:val="1"/>
      <w:numFmt w:val="decimal"/>
      <w:lvlText w:val="%4."/>
      <w:lvlJc w:val="left"/>
      <w:pPr>
        <w:ind w:left="2880" w:hanging="360"/>
      </w:pPr>
    </w:lvl>
    <w:lvl w:ilvl="4" w:tplc="91771562" w:tentative="1">
      <w:start w:val="1"/>
      <w:numFmt w:val="lowerLetter"/>
      <w:lvlText w:val="%5."/>
      <w:lvlJc w:val="left"/>
      <w:pPr>
        <w:ind w:left="3600" w:hanging="360"/>
      </w:pPr>
    </w:lvl>
    <w:lvl w:ilvl="5" w:tplc="91771562" w:tentative="1">
      <w:start w:val="1"/>
      <w:numFmt w:val="lowerRoman"/>
      <w:lvlText w:val="%6."/>
      <w:lvlJc w:val="right"/>
      <w:pPr>
        <w:ind w:left="4320" w:hanging="180"/>
      </w:pPr>
    </w:lvl>
    <w:lvl w:ilvl="6" w:tplc="91771562" w:tentative="1">
      <w:start w:val="1"/>
      <w:numFmt w:val="decimal"/>
      <w:lvlText w:val="%7."/>
      <w:lvlJc w:val="left"/>
      <w:pPr>
        <w:ind w:left="5040" w:hanging="360"/>
      </w:pPr>
    </w:lvl>
    <w:lvl w:ilvl="7" w:tplc="91771562" w:tentative="1">
      <w:start w:val="1"/>
      <w:numFmt w:val="lowerLetter"/>
      <w:lvlText w:val="%8."/>
      <w:lvlJc w:val="left"/>
      <w:pPr>
        <w:ind w:left="5760" w:hanging="360"/>
      </w:pPr>
    </w:lvl>
    <w:lvl w:ilvl="8" w:tplc="9177156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221">
    <w:multiLevelType w:val="hybridMultilevel"/>
    <w:lvl w:ilvl="0" w:tplc="2807510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11221">
    <w:abstractNumId w:val="11221"/>
  </w:num>
  <w:num w:numId="11222">
    <w:abstractNumId w:val="112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,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15770533" Type="http://schemas.openxmlformats.org/officeDocument/2006/relationships/comments" Target="comments.xml"/><Relationship Id="rId884639239" Type="http://schemas.microsoft.com/office/2011/relationships/commentsExtended" Target="commentsExtended.xml"/><Relationship Id="rId75799768" Type="http://schemas.openxmlformats.org/officeDocument/2006/relationships/image" Target="media/imgrId75799768.png"/><Relationship Id="rId7735606b8788360b4" Type="http://schemas.openxmlformats.org/officeDocument/2006/relationships/image" Target="media/img7735606b8788360b4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4</Pages>
  <Words>653</Words>
  <Characters>3596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Alfredo Artigas</cp:lastModifiedBy>
  <cp:revision>60</cp:revision>
  <dcterms:created xsi:type="dcterms:W3CDTF">2020-01-20T18:46:00Z</dcterms:created>
  <dcterms:modified xsi:type="dcterms:W3CDTF">2020-01-29T13:40:00Z</dcterms:modified>
</cp:coreProperties>
</file>