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34360f874f6cf64e" o:bwmode="white" o:targetscreensize="800,600">
      <v:fill r:id="rId857560f874f6cf64c" o:title="tit_562560f874f6cf64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CRAWFORD LIQUIDADORES DE SEGUROS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16926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16926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CRAWFORD LIQUIDADORES DE SEGUROS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21-07-2021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21-07-2021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Ignacio Castillo U.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CRAWFORD LIQUIDADORES DE SEGUROS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77250330-k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Ignacio Castillo U.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icastillo@crawford-gml.cl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ensayos varios a XXXXX"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An?lisis Dimensional: Se realizar?n las mediciones necesarias, con los instrumentos indicados para la confirmaci?n o ratificaci?n de las medidas especificadas por normas, planos y/o especificaci?n del cliente.</w:t>
        <w:br/>
        <w:t xml:space="preserve">2.3.2.- An?lisis Qu?mico: El an?lisis qu?mico de la(s) muestra(s) en estudio es realizado por espectrometr?a de emisi?n ?ptica (base Fe, Cu y Al), seg?n norma ASTM A751. En el caso que la muestra sea muy peque?a y/o se encontrase con un metal en otra base, se podr? hacer un ensayo de an?lisis semicuantitativo de elementos por microscopia electr?nica de barrido (EDS).</w:t>
        <w:br/>
        <w:t xml:space="preserve">2.3.3.-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2.3.4.- Ensayos de tracci?n: Los ensayos de tracci?n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Electr?nica de Barrido: Se realizar? microscopia electr?nica para observar las zonas de inter?s y adem?s, si es necesario, se realizar? cuantificaci?n de elementos por microsonda (EDS).</w:t>
        <w:br/>
        <w:t xml:space="preserve">2.3.7.- Ensayo de Impacto: El ensayo de impacto Charpy ser?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28314497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17249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21 de Julio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21 de Julio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OFE-16926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CRAWFORD LIQUIDADORES DE SEGUROS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OFE-16926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CRAWFORD LIQUIDADORES DE SEGUROS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78">
    <w:multiLevelType w:val="hybridMultilevel"/>
    <w:lvl w:ilvl="0" w:tplc="93978339">
      <w:start w:val="1"/>
      <w:numFmt w:val="decimal"/>
      <w:lvlText w:val="%1."/>
      <w:lvlJc w:val="left"/>
      <w:pPr>
        <w:ind w:left="720" w:hanging="360"/>
      </w:pPr>
    </w:lvl>
    <w:lvl w:ilvl="1" w:tplc="93978339" w:tentative="1">
      <w:start w:val="1"/>
      <w:numFmt w:val="lowerLetter"/>
      <w:lvlText w:val="%2."/>
      <w:lvlJc w:val="left"/>
      <w:pPr>
        <w:ind w:left="1440" w:hanging="360"/>
      </w:pPr>
    </w:lvl>
    <w:lvl w:ilvl="2" w:tplc="93978339" w:tentative="1">
      <w:start w:val="1"/>
      <w:numFmt w:val="lowerRoman"/>
      <w:lvlText w:val="%3."/>
      <w:lvlJc w:val="right"/>
      <w:pPr>
        <w:ind w:left="2160" w:hanging="180"/>
      </w:pPr>
    </w:lvl>
    <w:lvl w:ilvl="3" w:tplc="93978339" w:tentative="1">
      <w:start w:val="1"/>
      <w:numFmt w:val="decimal"/>
      <w:lvlText w:val="%4."/>
      <w:lvlJc w:val="left"/>
      <w:pPr>
        <w:ind w:left="2880" w:hanging="360"/>
      </w:pPr>
    </w:lvl>
    <w:lvl w:ilvl="4" w:tplc="93978339" w:tentative="1">
      <w:start w:val="1"/>
      <w:numFmt w:val="lowerLetter"/>
      <w:lvlText w:val="%5."/>
      <w:lvlJc w:val="left"/>
      <w:pPr>
        <w:ind w:left="3600" w:hanging="360"/>
      </w:pPr>
    </w:lvl>
    <w:lvl w:ilvl="5" w:tplc="93978339" w:tentative="1">
      <w:start w:val="1"/>
      <w:numFmt w:val="lowerRoman"/>
      <w:lvlText w:val="%6."/>
      <w:lvlJc w:val="right"/>
      <w:pPr>
        <w:ind w:left="4320" w:hanging="180"/>
      </w:pPr>
    </w:lvl>
    <w:lvl w:ilvl="6" w:tplc="93978339" w:tentative="1">
      <w:start w:val="1"/>
      <w:numFmt w:val="decimal"/>
      <w:lvlText w:val="%7."/>
      <w:lvlJc w:val="left"/>
      <w:pPr>
        <w:ind w:left="5040" w:hanging="360"/>
      </w:pPr>
    </w:lvl>
    <w:lvl w:ilvl="7" w:tplc="93978339" w:tentative="1">
      <w:start w:val="1"/>
      <w:numFmt w:val="lowerLetter"/>
      <w:lvlText w:val="%8."/>
      <w:lvlJc w:val="left"/>
      <w:pPr>
        <w:ind w:left="5760" w:hanging="360"/>
      </w:pPr>
    </w:lvl>
    <w:lvl w:ilvl="8" w:tplc="939783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77">
    <w:multiLevelType w:val="hybridMultilevel"/>
    <w:lvl w:ilvl="0" w:tplc="55180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277">
    <w:abstractNumId w:val="6277"/>
  </w:num>
  <w:num w:numId="6278">
    <w:abstractNumId w:val="6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23984174" Type="http://schemas.openxmlformats.org/officeDocument/2006/relationships/comments" Target="comments.xml"/><Relationship Id="rId318140430" Type="http://schemas.microsoft.com/office/2011/relationships/commentsExtended" Target="commentsExtended.xml"/><Relationship Id="rId17249201" Type="http://schemas.openxmlformats.org/officeDocument/2006/relationships/image" Target="media/imgrId17249201.png"/><Relationship Id="rId857560f874f6cf64c" Type="http://schemas.openxmlformats.org/officeDocument/2006/relationships/image" Target="media/img857560f874f6cf64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