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10F8" w14:textId="4A6BD99A" w:rsidR="00EE13AA" w:rsidRDefault="00EE13AA" w:rsidP="00EE13AA">
      <w:pPr>
        <w:jc w:val="center"/>
        <w:rPr>
          <w:b/>
          <w:bCs/>
        </w:rPr>
      </w:pPr>
      <w:r>
        <w:rPr>
          <w:b/>
          <w:bCs/>
        </w:rPr>
        <w:t>Propuesta trabajo final – Big Data</w:t>
      </w:r>
    </w:p>
    <w:p w14:paraId="2687CABB" w14:textId="2F1FE475" w:rsidR="00EE13AA" w:rsidRDefault="00EE13AA" w:rsidP="00EE13AA">
      <w:pPr>
        <w:jc w:val="center"/>
        <w:rPr>
          <w:b/>
          <w:bCs/>
        </w:rPr>
      </w:pPr>
      <w:r>
        <w:rPr>
          <w:b/>
          <w:bCs/>
        </w:rPr>
        <w:t>Grupo 5:  Carlos Avilán y Francisco Ortiz</w:t>
      </w:r>
    </w:p>
    <w:p w14:paraId="758C2C3A" w14:textId="32459F7B" w:rsidR="004222FE" w:rsidRPr="00602B30" w:rsidRDefault="004222FE" w:rsidP="004222FE">
      <w:pPr>
        <w:jc w:val="both"/>
        <w:rPr>
          <w:i/>
          <w:iCs/>
        </w:rPr>
      </w:pPr>
      <w:r w:rsidRPr="00602B30">
        <w:rPr>
          <w:i/>
          <w:iCs/>
        </w:rPr>
        <w:t xml:space="preserve">Esta propuesta de trabajo final nace de la necesidad de </w:t>
      </w:r>
      <w:r w:rsidR="00602B30" w:rsidRPr="00602B30">
        <w:rPr>
          <w:i/>
          <w:iCs/>
        </w:rPr>
        <w:t>realizar una predicción para el desarrollo de nuestra tesis.</w:t>
      </w:r>
    </w:p>
    <w:p w14:paraId="457EF972" w14:textId="7CF12FBB" w:rsidR="00A359A8" w:rsidRDefault="00A359A8" w:rsidP="00A359A8">
      <w:pPr>
        <w:jc w:val="both"/>
        <w:rPr>
          <w:lang w:val="es-ES"/>
        </w:rPr>
      </w:pPr>
      <w:r>
        <w:t>En nuestro trabajo de grado pretendemos evaluar el impacto del</w:t>
      </w:r>
      <w:r w:rsidRPr="2667FFE0">
        <w:rPr>
          <w:lang w:val="es-ES"/>
        </w:rPr>
        <w:t xml:space="preserve"> Proyecto Nacional Conectividad de Alta Velocidad -PNCAV</w:t>
      </w:r>
      <w:r>
        <w:rPr>
          <w:lang w:val="es-ES"/>
        </w:rPr>
        <w:t xml:space="preserve"> el cual</w:t>
      </w:r>
      <w:r w:rsidRPr="2667FFE0">
        <w:rPr>
          <w:lang w:val="es-ES"/>
        </w:rPr>
        <w:t xml:space="preserve"> nace en el 2013 en el marco del Plan Vive Digital con el objetivo de impulsar la masificación del Internet de alta velocidad, y alcanzar una cobertura del 100% para el 2023 en algunos municipios de las regiones de la Amazonía, Orinoquía y Chocó. Este despliegue de infraestructura pretende generar un desarrollo regional aumentando las oportunidades de transformación socioeconómica. </w:t>
      </w:r>
    </w:p>
    <w:p w14:paraId="33345917" w14:textId="4EA17AA0" w:rsidR="00A359A8" w:rsidRDefault="00A359A8" w:rsidP="00A359A8">
      <w:pPr>
        <w:jc w:val="both"/>
      </w:pPr>
      <w:r>
        <w:rPr>
          <w:lang w:val="es-ES"/>
        </w:rPr>
        <w:t xml:space="preserve">En el mundo existen estudios del impacto positivo en la economía a causa de la masificación del Internet banda ancha. Sin embargo, en Colombia no existen estudios recientes que puedan determinar el efecto que tienen esta clase de políticas y en particular del PNCAV. </w:t>
      </w:r>
      <w:r>
        <w:t xml:space="preserve">Ante esto, </w:t>
      </w:r>
      <w:r w:rsidR="00891B84">
        <w:t xml:space="preserve">nuestro trabajo de grado </w:t>
      </w:r>
      <w:r>
        <w:t>tiene como fin responder la siguiente pregunta: ¿Cuál es el efecto del aumento de la penetración de Internet banda ancha en el Producto Interno Bruto (PIB) en estos municipios?</w:t>
      </w:r>
    </w:p>
    <w:p w14:paraId="3E4174F3" w14:textId="2C765062" w:rsidR="00A359A8" w:rsidRDefault="00A359A8" w:rsidP="00A359A8">
      <w:pPr>
        <w:jc w:val="both"/>
      </w:pPr>
      <w:r>
        <w:t xml:space="preserve">Para poder determinar este impacto </w:t>
      </w:r>
      <w:r w:rsidR="0045754B">
        <w:t xml:space="preserve">es necesario conocer el PIB de los municipios de Colombia. Sin embargo, esta información existe solamente del 2005 al 2009 (datos CEDE). Para ello en este trabajo final pretendemos </w:t>
      </w:r>
      <w:r w:rsidR="00891B84">
        <w:t>establecer</w:t>
      </w:r>
      <w:r w:rsidR="0045754B">
        <w:t xml:space="preserve"> un modelo que sea capaz de predecir este PIB</w:t>
      </w:r>
      <w:r w:rsidR="00891B84">
        <w:t xml:space="preserve"> municipal en base a distintos predictores que explican de una u otra forma el PIB.</w:t>
      </w:r>
    </w:p>
    <w:p w14:paraId="51F684D6" w14:textId="4D26F3C8" w:rsidR="003A293C" w:rsidRPr="00187A50" w:rsidRDefault="003A293C" w:rsidP="00A359A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702D80C0" w14:textId="24912BA5" w:rsidR="00187A50" w:rsidRPr="00AE4531" w:rsidRDefault="00000000" w:rsidP="00187A5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PIB</m:t>
              </m:r>
            </m:e>
            <m:sub>
              <m:r>
                <w:rPr>
                  <w:rFonts w:ascii="Cambria Math" w:hAnsi="Cambria Math"/>
                </w:rPr>
                <m:t>mun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704429DD" w14:textId="78C556DE" w:rsidR="00AE4531" w:rsidRPr="00187A50" w:rsidRDefault="00BF6A6A" w:rsidP="00187A5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cons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pob</m:t>
          </m:r>
          <m:r>
            <w:rPr>
              <w:rFonts w:ascii="Cambria Math" w:eastAsiaTheme="minorEastAsia" w:hAnsi="Cambria Math"/>
            </w:rPr>
            <m:t>l_tot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areaoficialkm2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discapital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g_cap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finan_credito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vrf_peq_productor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lights_mean</m:t>
          </m:r>
        </m:oMath>
      </m:oMathPara>
    </w:p>
    <w:p w14:paraId="0A986C22" w14:textId="4D3D7533" w:rsidR="00187A50" w:rsidRDefault="00187A50" w:rsidP="00187A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donde la matriz X, incluye </w:t>
      </w:r>
      <w:r w:rsidR="0060532C">
        <w:rPr>
          <w:rFonts w:eastAsiaTheme="minorEastAsia"/>
        </w:rPr>
        <w:t>algunos de los</w:t>
      </w:r>
      <w:r>
        <w:rPr>
          <w:rFonts w:eastAsiaTheme="minorEastAsia"/>
        </w:rPr>
        <w:t xml:space="preserve"> posibles predictores</w:t>
      </w:r>
      <w:r w:rsidR="00F645E0">
        <w:rPr>
          <w:rFonts w:eastAsiaTheme="minorEastAsia"/>
        </w:rPr>
        <w:t>. La siguiente información está desagregada a nivel municipal:</w:t>
      </w:r>
    </w:p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1586"/>
        <w:gridCol w:w="1659"/>
        <w:gridCol w:w="6290"/>
      </w:tblGrid>
      <w:tr w:rsidR="004C0D6C" w14:paraId="4578C296" w14:textId="77777777" w:rsidTr="00ED6FA9">
        <w:tc>
          <w:tcPr>
            <w:tcW w:w="1586" w:type="dxa"/>
          </w:tcPr>
          <w:p w14:paraId="4F59AE50" w14:textId="476758BB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59" w:type="dxa"/>
          </w:tcPr>
          <w:p w14:paraId="3E8103C3" w14:textId="29743792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Fuente de datos</w:t>
            </w:r>
          </w:p>
        </w:tc>
        <w:tc>
          <w:tcPr>
            <w:tcW w:w="6290" w:type="dxa"/>
          </w:tcPr>
          <w:p w14:paraId="767A1B5D" w14:textId="658C3872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Bibliografía</w:t>
            </w:r>
          </w:p>
        </w:tc>
      </w:tr>
      <w:tr w:rsidR="004C0D6C" w:rsidRPr="00AE4531" w14:paraId="4454B82A" w14:textId="77777777" w:rsidTr="00ED6FA9">
        <w:tc>
          <w:tcPr>
            <w:tcW w:w="1586" w:type="dxa"/>
            <w:vAlign w:val="center"/>
          </w:tcPr>
          <w:p w14:paraId="44CDBB73" w14:textId="35B7A6C0" w:rsidR="004C0D6C" w:rsidRPr="004C0D6C" w:rsidRDefault="002A0977" w:rsidP="006B234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Datos de luminosidad (satélite VIIRS)</w:t>
            </w:r>
          </w:p>
        </w:tc>
        <w:tc>
          <w:tcPr>
            <w:tcW w:w="1659" w:type="dxa"/>
            <w:vAlign w:val="center"/>
          </w:tcPr>
          <w:p w14:paraId="009F4871" w14:textId="28ACA8C5" w:rsidR="006B234D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rFonts w:eastAsiaTheme="minorEastAsia"/>
                <w:lang w:val="en-US"/>
              </w:rPr>
              <w:t>A harmonized global nighttime</w:t>
            </w:r>
          </w:p>
          <w:p w14:paraId="239D0525" w14:textId="400E85E2" w:rsidR="006B234D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rFonts w:eastAsiaTheme="minorEastAsia"/>
                <w:lang w:val="en-US"/>
              </w:rPr>
              <w:t>light dataset</w:t>
            </w:r>
            <w:r w:rsidR="00FB500E">
              <w:rPr>
                <w:rFonts w:eastAsiaTheme="minorEastAsia"/>
                <w:lang w:val="en-US"/>
              </w:rPr>
              <w:t xml:space="preserve">. Eduard Martinez. </w:t>
            </w:r>
          </w:p>
        </w:tc>
        <w:tc>
          <w:tcPr>
            <w:tcW w:w="6290" w:type="dxa"/>
            <w:vAlign w:val="center"/>
          </w:tcPr>
          <w:p w14:paraId="71678042" w14:textId="4B382E08" w:rsidR="00ED6FA9" w:rsidRDefault="00ED6FA9" w:rsidP="003C35EB">
            <w:pPr>
              <w:jc w:val="center"/>
              <w:rPr>
                <w:rFonts w:eastAsiaTheme="minorEastAsia"/>
                <w:lang w:val="en-US"/>
              </w:rPr>
            </w:pPr>
            <w:r w:rsidRPr="00ED6FA9">
              <w:rPr>
                <w:rFonts w:eastAsiaTheme="minorEastAsia"/>
                <w:lang w:val="en-US"/>
              </w:rPr>
              <w:t>Using luminosity data as a proxy for economic statistics</w:t>
            </w:r>
          </w:p>
          <w:p w14:paraId="588E7002" w14:textId="603466E9" w:rsidR="00ED6FA9" w:rsidRDefault="00000000" w:rsidP="00ED6FA9">
            <w:pPr>
              <w:jc w:val="center"/>
              <w:rPr>
                <w:rFonts w:eastAsiaTheme="minorEastAsia"/>
                <w:lang w:val="en-US"/>
              </w:rPr>
            </w:pPr>
            <w:hyperlink r:id="rId5" w:history="1">
              <w:r w:rsidR="00ED6FA9" w:rsidRPr="00517A65">
                <w:rPr>
                  <w:rStyle w:val="Hipervnculo"/>
                  <w:rFonts w:eastAsiaTheme="minorEastAsia"/>
                  <w:lang w:val="en-US"/>
                </w:rPr>
                <w:t>https://www.pnas.org/doi/10.1073/pnas.1017031108</w:t>
              </w:r>
            </w:hyperlink>
          </w:p>
          <w:p w14:paraId="59DB122A" w14:textId="45D35C73" w:rsidR="00ED6FA9" w:rsidRPr="006B234D" w:rsidRDefault="00ED6FA9" w:rsidP="00ED6FA9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2A0977" w:rsidRPr="00AE4531" w14:paraId="65902838" w14:textId="77777777" w:rsidTr="00ED6FA9">
        <w:tc>
          <w:tcPr>
            <w:tcW w:w="1586" w:type="dxa"/>
            <w:vAlign w:val="center"/>
          </w:tcPr>
          <w:p w14:paraId="0129F41C" w14:textId="51B6F5E6" w:rsidR="002A0977" w:rsidRPr="006B234D" w:rsidRDefault="002A0977" w:rsidP="006B234D">
            <w:pPr>
              <w:jc w:val="center"/>
              <w:rPr>
                <w:rFonts w:eastAsiaTheme="minorEastAsia"/>
              </w:rPr>
            </w:pPr>
            <w:r w:rsidRPr="006B234D">
              <w:rPr>
                <w:rFonts w:eastAsiaTheme="minorEastAsia"/>
              </w:rPr>
              <w:t>Número de habitantes</w:t>
            </w:r>
          </w:p>
        </w:tc>
        <w:tc>
          <w:tcPr>
            <w:tcW w:w="1659" w:type="dxa"/>
            <w:vAlign w:val="center"/>
          </w:tcPr>
          <w:p w14:paraId="3B45B7E9" w14:textId="0CD7F72F" w:rsidR="008773FB" w:rsidRPr="006B234D" w:rsidRDefault="002A0977" w:rsidP="006B234D">
            <w:pPr>
              <w:jc w:val="center"/>
            </w:pPr>
            <w:r w:rsidRPr="006B234D">
              <w:rPr>
                <w:rFonts w:eastAsiaTheme="minorEastAsia"/>
              </w:rPr>
              <w:t>(</w:t>
            </w:r>
            <w:proofErr w:type="spellStart"/>
            <w:r w:rsidRPr="006B234D">
              <w:rPr>
                <w:rFonts w:eastAsiaTheme="minorEastAsia"/>
              </w:rPr>
              <w:t>pobl_tot</w:t>
            </w:r>
            <w:proofErr w:type="spellEnd"/>
            <w:r w:rsidRPr="006B234D">
              <w:t>,</w:t>
            </w:r>
          </w:p>
          <w:p w14:paraId="41868946" w14:textId="5F48DF3A" w:rsidR="002A0977" w:rsidRPr="008773FB" w:rsidRDefault="008773FB" w:rsidP="008773FB">
            <w:pPr>
              <w:pStyle w:val="Default"/>
              <w:jc w:val="center"/>
            </w:pPr>
            <w:r>
              <w:rPr>
                <w:sz w:val="22"/>
                <w:szCs w:val="22"/>
              </w:rPr>
              <w:t>DANE. Proyecciones de población</w:t>
            </w:r>
            <w:r w:rsidR="002A0977" w:rsidRPr="006B234D">
              <w:rPr>
                <w:rFonts w:eastAsiaTheme="minorEastAsia"/>
              </w:rPr>
              <w:t>)</w:t>
            </w:r>
          </w:p>
        </w:tc>
        <w:tc>
          <w:tcPr>
            <w:tcW w:w="6290" w:type="dxa"/>
            <w:vAlign w:val="center"/>
          </w:tcPr>
          <w:p w14:paraId="1FE08491" w14:textId="77777777" w:rsidR="000C551C" w:rsidRDefault="000C551C" w:rsidP="00C0279D">
            <w:pPr>
              <w:jc w:val="center"/>
              <w:rPr>
                <w:rFonts w:eastAsiaTheme="minorEastAsia"/>
                <w:lang w:val="en-US"/>
              </w:rPr>
            </w:pPr>
            <w:r w:rsidRPr="000C551C">
              <w:rPr>
                <w:rFonts w:eastAsiaTheme="minorEastAsia"/>
                <w:lang w:val="en-US"/>
              </w:rPr>
              <w:t>The Role of Population in Economic Growth</w:t>
            </w:r>
          </w:p>
          <w:p w14:paraId="614D179F" w14:textId="034A7929" w:rsidR="00C0279D" w:rsidRPr="000C551C" w:rsidRDefault="00000000" w:rsidP="00C0279D">
            <w:pPr>
              <w:jc w:val="center"/>
              <w:rPr>
                <w:rFonts w:eastAsiaTheme="minorEastAsia"/>
                <w:lang w:val="en-US"/>
              </w:rPr>
            </w:pPr>
            <w:hyperlink r:id="rId6" w:history="1">
              <w:r w:rsidR="000C551C" w:rsidRPr="000C551C">
                <w:rPr>
                  <w:rStyle w:val="Hipervnculo"/>
                  <w:rFonts w:eastAsiaTheme="minorEastAsia"/>
                  <w:lang w:val="en-US"/>
                </w:rPr>
                <w:t>https://journals.sagepub.com/doi/full/10.1177/2158244017736094</w:t>
              </w:r>
            </w:hyperlink>
            <w:r w:rsidR="000C551C" w:rsidRPr="000C551C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2A0977" w14:paraId="3BC45024" w14:textId="77777777" w:rsidTr="00ED6FA9">
        <w:tc>
          <w:tcPr>
            <w:tcW w:w="1586" w:type="dxa"/>
            <w:vAlign w:val="center"/>
          </w:tcPr>
          <w:p w14:paraId="6663D70A" w14:textId="077AE2A3" w:rsidR="002A0977" w:rsidRPr="006B234D" w:rsidRDefault="002A0977" w:rsidP="006B234D">
            <w:pPr>
              <w:jc w:val="center"/>
              <w:rPr>
                <w:rFonts w:eastAsiaTheme="minorEastAsia"/>
              </w:rPr>
            </w:pPr>
            <w:r w:rsidRPr="006B234D">
              <w:t xml:space="preserve">Gastos de capital (Inversión) </w:t>
            </w:r>
            <w:r w:rsidRPr="006B234D">
              <w:lastRenderedPageBreak/>
              <w:t>relacionados con la formación bruta de capital fijo y otros</w:t>
            </w:r>
          </w:p>
        </w:tc>
        <w:tc>
          <w:tcPr>
            <w:tcW w:w="1659" w:type="dxa"/>
            <w:vAlign w:val="center"/>
          </w:tcPr>
          <w:p w14:paraId="1F3D8DA6" w14:textId="105528DC" w:rsidR="002A0977" w:rsidRPr="006B234D" w:rsidRDefault="002A0977" w:rsidP="009A4783">
            <w:pPr>
              <w:jc w:val="center"/>
              <w:rPr>
                <w:rFonts w:eastAsiaTheme="minorEastAsia"/>
              </w:rPr>
            </w:pPr>
            <w:r w:rsidRPr="006B234D">
              <w:lastRenderedPageBreak/>
              <w:t>(</w:t>
            </w:r>
            <w:proofErr w:type="spellStart"/>
            <w:r w:rsidRPr="006B234D">
              <w:t>g_cap</w:t>
            </w:r>
            <w:proofErr w:type="spellEnd"/>
            <w:r w:rsidRPr="006B234D">
              <w:t>, Buen gobierno CEDE)</w:t>
            </w:r>
          </w:p>
        </w:tc>
        <w:tc>
          <w:tcPr>
            <w:tcW w:w="6290" w:type="dxa"/>
            <w:vAlign w:val="center"/>
          </w:tcPr>
          <w:p w14:paraId="176FEC2E" w14:textId="2E0D48C1" w:rsidR="002A0977" w:rsidRPr="004C0D6C" w:rsidRDefault="00000000" w:rsidP="006B234D">
            <w:pPr>
              <w:jc w:val="center"/>
              <w:rPr>
                <w:rFonts w:eastAsiaTheme="minorEastAsia"/>
              </w:rPr>
            </w:pPr>
            <w:hyperlink r:id="rId7">
              <w:proofErr w:type="spellStart"/>
              <w:r w:rsidR="002A0977" w:rsidRPr="733B125D">
                <w:rPr>
                  <w:rStyle w:val="Hipervnculo"/>
                </w:rPr>
                <w:t>ShowProperty</w:t>
              </w:r>
              <w:proofErr w:type="spellEnd"/>
              <w:r w:rsidR="002A0977" w:rsidRPr="733B125D">
                <w:rPr>
                  <w:rStyle w:val="Hipervnculo"/>
                </w:rPr>
                <w:t xml:space="preserve"> (urf.gov.co)</w:t>
              </w:r>
            </w:hyperlink>
          </w:p>
        </w:tc>
      </w:tr>
      <w:tr w:rsidR="002A0977" w14:paraId="2191CBD5" w14:textId="77777777" w:rsidTr="00ED6FA9">
        <w:tc>
          <w:tcPr>
            <w:tcW w:w="1586" w:type="dxa"/>
            <w:vAlign w:val="center"/>
          </w:tcPr>
          <w:p w14:paraId="75434E17" w14:textId="299E30B6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Crédito interno y externo</w:t>
            </w:r>
          </w:p>
        </w:tc>
        <w:tc>
          <w:tcPr>
            <w:tcW w:w="1659" w:type="dxa"/>
            <w:vAlign w:val="center"/>
          </w:tcPr>
          <w:p w14:paraId="3217C077" w14:textId="12F1A7A4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(</w:t>
            </w:r>
            <w:proofErr w:type="spellStart"/>
            <w:r w:rsidRPr="006B234D">
              <w:t>finan_credito</w:t>
            </w:r>
            <w:proofErr w:type="spellEnd"/>
            <w:r w:rsidRPr="006B234D">
              <w:t>, Buen Gobierno CEDE)</w:t>
            </w:r>
          </w:p>
        </w:tc>
        <w:tc>
          <w:tcPr>
            <w:tcW w:w="6290" w:type="dxa"/>
            <w:vAlign w:val="center"/>
          </w:tcPr>
          <w:p w14:paraId="4B778501" w14:textId="77777777" w:rsidR="006B234D" w:rsidRPr="006B234D" w:rsidRDefault="00000000" w:rsidP="006B234D">
            <w:pPr>
              <w:jc w:val="center"/>
              <w:rPr>
                <w:rFonts w:eastAsiaTheme="minorEastAsia"/>
                <w:b/>
                <w:bCs/>
              </w:rPr>
            </w:pPr>
            <w:hyperlink r:id="rId8">
              <w:r w:rsidR="006B234D" w:rsidRPr="733B125D">
                <w:rPr>
                  <w:rStyle w:val="Hipervnculo"/>
                </w:rPr>
                <w:t>El efecto del microcrédito en el PIB de Colombia, 2005-2018 (redalyc.org)</w:t>
              </w:r>
            </w:hyperlink>
          </w:p>
          <w:p w14:paraId="543F75AA" w14:textId="046604DF" w:rsidR="002A0977" w:rsidRPr="004C0D6C" w:rsidRDefault="002A0977" w:rsidP="006B234D">
            <w:pPr>
              <w:jc w:val="center"/>
              <w:rPr>
                <w:rFonts w:eastAsiaTheme="minorEastAsia"/>
              </w:rPr>
            </w:pPr>
          </w:p>
        </w:tc>
      </w:tr>
      <w:tr w:rsidR="002A0977" w:rsidRPr="00AE4531" w14:paraId="650A006F" w14:textId="77777777" w:rsidTr="00ED6FA9">
        <w:tc>
          <w:tcPr>
            <w:tcW w:w="1586" w:type="dxa"/>
            <w:vAlign w:val="center"/>
          </w:tcPr>
          <w:p w14:paraId="71457262" w14:textId="2951B30D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Distancia lineal a la capital del departamento</w:t>
            </w:r>
          </w:p>
        </w:tc>
        <w:tc>
          <w:tcPr>
            <w:tcW w:w="1659" w:type="dxa"/>
            <w:vAlign w:val="center"/>
          </w:tcPr>
          <w:p w14:paraId="104208CC" w14:textId="0A558285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(</w:t>
            </w:r>
            <w:proofErr w:type="spellStart"/>
            <w:r w:rsidRPr="006B234D">
              <w:t>discapital</w:t>
            </w:r>
            <w:proofErr w:type="spellEnd"/>
            <w:r w:rsidRPr="006B234D">
              <w:t>, Características generales CEDE)</w:t>
            </w:r>
          </w:p>
        </w:tc>
        <w:tc>
          <w:tcPr>
            <w:tcW w:w="6290" w:type="dxa"/>
            <w:vAlign w:val="center"/>
          </w:tcPr>
          <w:p w14:paraId="505842DD" w14:textId="46B85041" w:rsidR="002A0977" w:rsidRPr="006B234D" w:rsidRDefault="00000000" w:rsidP="006B234D">
            <w:pPr>
              <w:jc w:val="center"/>
              <w:rPr>
                <w:rFonts w:eastAsiaTheme="minorEastAsia"/>
                <w:lang w:val="en-US"/>
              </w:rPr>
            </w:pPr>
            <w:hyperlink r:id="rId9">
              <w:r w:rsidR="006B234D" w:rsidRPr="006B234D">
                <w:rPr>
                  <w:rStyle w:val="Hipervnculo"/>
                  <w:lang w:val="en-US"/>
                </w:rPr>
                <w:t>The Contribution of Economic Geography to GDP per Capita (oecd.org)</w:t>
              </w:r>
            </w:hyperlink>
          </w:p>
        </w:tc>
      </w:tr>
      <w:tr w:rsidR="002A0977" w:rsidRPr="00AE4531" w14:paraId="63DE8A4D" w14:textId="77777777" w:rsidTr="00ED6FA9">
        <w:tc>
          <w:tcPr>
            <w:tcW w:w="1586" w:type="dxa"/>
            <w:vAlign w:val="center"/>
          </w:tcPr>
          <w:p w14:paraId="4BBF8E98" w14:textId="74582D89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lang w:val="en-US"/>
              </w:rPr>
              <w:t xml:space="preserve">Valor </w:t>
            </w:r>
            <w:proofErr w:type="spellStart"/>
            <w:r w:rsidRPr="006B234D">
              <w:rPr>
                <w:lang w:val="en-US"/>
              </w:rPr>
              <w:t>crédito</w:t>
            </w:r>
            <w:proofErr w:type="spellEnd"/>
            <w:r w:rsidRPr="006B234D">
              <w:rPr>
                <w:lang w:val="en-US"/>
              </w:rPr>
              <w:t xml:space="preserve"> </w:t>
            </w:r>
            <w:proofErr w:type="spellStart"/>
            <w:r w:rsidRPr="006B234D">
              <w:rPr>
                <w:lang w:val="en-US"/>
              </w:rPr>
              <w:t>pequeños</w:t>
            </w:r>
            <w:proofErr w:type="spellEnd"/>
            <w:r w:rsidRPr="006B234D">
              <w:rPr>
                <w:lang w:val="en-US"/>
              </w:rPr>
              <w:t xml:space="preserve"> </w:t>
            </w:r>
            <w:proofErr w:type="spellStart"/>
            <w:r w:rsidRPr="006B234D">
              <w:rPr>
                <w:lang w:val="en-US"/>
              </w:rPr>
              <w:t>productores</w:t>
            </w:r>
            <w:proofErr w:type="spellEnd"/>
          </w:p>
        </w:tc>
        <w:tc>
          <w:tcPr>
            <w:tcW w:w="1659" w:type="dxa"/>
            <w:vAlign w:val="center"/>
          </w:tcPr>
          <w:p w14:paraId="0ECE491E" w14:textId="2724E502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lang w:val="en-US"/>
              </w:rPr>
              <w:t>(</w:t>
            </w:r>
            <w:proofErr w:type="spellStart"/>
            <w:proofErr w:type="gramStart"/>
            <w:r w:rsidRPr="006B234D">
              <w:rPr>
                <w:lang w:val="en-US"/>
              </w:rPr>
              <w:t>vrf</w:t>
            </w:r>
            <w:proofErr w:type="gramEnd"/>
            <w:r w:rsidRPr="006B234D">
              <w:rPr>
                <w:lang w:val="en-US"/>
              </w:rPr>
              <w:t>_peq</w:t>
            </w:r>
            <w:proofErr w:type="spellEnd"/>
            <w:r w:rsidRPr="006B234D">
              <w:rPr>
                <w:lang w:val="en-US"/>
              </w:rPr>
              <w:t>, Agricultura CEDE)</w:t>
            </w:r>
          </w:p>
        </w:tc>
        <w:tc>
          <w:tcPr>
            <w:tcW w:w="6290" w:type="dxa"/>
            <w:vAlign w:val="center"/>
          </w:tcPr>
          <w:p w14:paraId="1AD7CCF5" w14:textId="020C2C99" w:rsidR="002A0977" w:rsidRPr="006B234D" w:rsidRDefault="00000000" w:rsidP="006B234D">
            <w:pPr>
              <w:jc w:val="center"/>
              <w:rPr>
                <w:rFonts w:eastAsiaTheme="minorEastAsia"/>
                <w:lang w:val="en-US"/>
              </w:rPr>
            </w:pPr>
            <w:hyperlink r:id="rId10">
              <w:r w:rsidR="006B234D" w:rsidRPr="00E561EB">
                <w:rPr>
                  <w:rStyle w:val="Hipervnculo"/>
                  <w:lang w:val="en-US"/>
                </w:rPr>
                <w:t>Effects of credit on national and agricultural GDP, and poverty: a developing country perspective | SpringerLink</w:t>
              </w:r>
            </w:hyperlink>
          </w:p>
        </w:tc>
      </w:tr>
      <w:tr w:rsidR="002A0977" w:rsidRPr="00AE4531" w14:paraId="18067DF0" w14:textId="77777777" w:rsidTr="00ED6FA9">
        <w:tc>
          <w:tcPr>
            <w:tcW w:w="1586" w:type="dxa"/>
            <w:vAlign w:val="center"/>
          </w:tcPr>
          <w:p w14:paraId="6B6C87C2" w14:textId="6890634F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Área oficial municipio en km²</w:t>
            </w:r>
          </w:p>
        </w:tc>
        <w:tc>
          <w:tcPr>
            <w:tcW w:w="1659" w:type="dxa"/>
            <w:vAlign w:val="center"/>
          </w:tcPr>
          <w:p w14:paraId="3DA10ADF" w14:textId="4D72473B" w:rsidR="002A0977" w:rsidRPr="006B234D" w:rsidRDefault="006B234D" w:rsidP="006B234D">
            <w:pPr>
              <w:tabs>
                <w:tab w:val="left" w:pos="591"/>
              </w:tabs>
              <w:jc w:val="center"/>
              <w:rPr>
                <w:rFonts w:eastAsiaTheme="minorEastAsia"/>
              </w:rPr>
            </w:pPr>
            <w:r w:rsidRPr="006B234D">
              <w:t>(areaoficialkm2, Características generales del CEDE)</w:t>
            </w:r>
          </w:p>
        </w:tc>
        <w:tc>
          <w:tcPr>
            <w:tcW w:w="6290" w:type="dxa"/>
            <w:vAlign w:val="center"/>
          </w:tcPr>
          <w:p w14:paraId="662AEE57" w14:textId="14512EEA" w:rsidR="002A0977" w:rsidRPr="009A4783" w:rsidRDefault="00000000" w:rsidP="006B234D">
            <w:pPr>
              <w:jc w:val="center"/>
              <w:rPr>
                <w:rFonts w:eastAsiaTheme="minorEastAsia"/>
                <w:lang w:val="en-US"/>
              </w:rPr>
            </w:pPr>
            <w:hyperlink r:id="rId11" w:history="1">
              <w:r w:rsidR="009A4783" w:rsidRPr="009A4783">
                <w:rPr>
                  <w:rStyle w:val="Hipervnculo"/>
                  <w:lang w:val="en-US"/>
                </w:rPr>
                <w:t>Competitive Cities Economic Growth - TCdata360 (worldbank.org)</w:t>
              </w:r>
            </w:hyperlink>
          </w:p>
        </w:tc>
      </w:tr>
    </w:tbl>
    <w:p w14:paraId="32508ADB" w14:textId="77777777" w:rsidR="00187A50" w:rsidRPr="009A4783" w:rsidRDefault="00187A50" w:rsidP="004C0D6C">
      <w:pPr>
        <w:jc w:val="center"/>
        <w:rPr>
          <w:rFonts w:eastAsiaTheme="minorEastAsia"/>
          <w:lang w:val="en-US"/>
        </w:rPr>
      </w:pPr>
    </w:p>
    <w:p w14:paraId="6A6329D4" w14:textId="1D6C5428" w:rsidR="00187A50" w:rsidRDefault="00FB500E" w:rsidP="00FB500E">
      <w:pPr>
        <w:jc w:val="both"/>
        <w:rPr>
          <w:rFonts w:eastAsiaTheme="minorEastAsia"/>
        </w:rPr>
      </w:pPr>
      <w:r>
        <w:rPr>
          <w:rFonts w:eastAsiaTheme="minorEastAsia"/>
        </w:rPr>
        <w:t>Para lograr esto pretende realizar lo siguiente:</w:t>
      </w:r>
    </w:p>
    <w:p w14:paraId="5FE53A0D" w14:textId="670066A8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Consolidar datos </w:t>
      </w:r>
      <w:r w:rsidR="003B7357">
        <w:rPr>
          <w:rFonts w:eastAsiaTheme="minorEastAsia"/>
        </w:rPr>
        <w:t>(</w:t>
      </w:r>
      <w:r>
        <w:rPr>
          <w:rFonts w:eastAsiaTheme="minorEastAsia"/>
        </w:rPr>
        <w:t>especialmente los datos de luminosidad</w:t>
      </w:r>
      <w:r w:rsidR="003B7357">
        <w:rPr>
          <w:rFonts w:eastAsiaTheme="minorEastAsia"/>
        </w:rPr>
        <w:t>)</w:t>
      </w:r>
      <w:r>
        <w:rPr>
          <w:rFonts w:eastAsiaTheme="minorEastAsia"/>
        </w:rPr>
        <w:t>. Unir base de datos y realizar limpieza de estas.</w:t>
      </w:r>
    </w:p>
    <w:p w14:paraId="228A4B1F" w14:textId="2697ABD7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Estimar varios modelos con diferentes </w:t>
      </w:r>
      <w:r w:rsidR="00A83F62">
        <w:rPr>
          <w:rFonts w:eastAsiaTheme="minorEastAsia"/>
        </w:rPr>
        <w:t xml:space="preserve">combinaciones de </w:t>
      </w:r>
      <w:r>
        <w:rPr>
          <w:rFonts w:eastAsiaTheme="minorEastAsia"/>
        </w:rPr>
        <w:t>variables independientes.</w:t>
      </w:r>
    </w:p>
    <w:p w14:paraId="1315CAF5" w14:textId="1833A6E8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Utilizar todas las herramientas vistas en la clase de Big Data</w:t>
      </w:r>
      <w:r w:rsidR="00EE13AA">
        <w:rPr>
          <w:rFonts w:eastAsiaTheme="minorEastAsia"/>
        </w:rPr>
        <w:t>, con el fin de estimar el mejor modelo posible.</w:t>
      </w:r>
    </w:p>
    <w:p w14:paraId="55C3A1E7" w14:textId="0F7BFF9E" w:rsidR="00187A50" w:rsidRPr="00835FA6" w:rsidRDefault="00FB500E" w:rsidP="00A359A8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35FA6">
        <w:rPr>
          <w:rFonts w:eastAsiaTheme="minorEastAsia"/>
        </w:rPr>
        <w:t>Comparar cada modelo por medio de</w:t>
      </w:r>
      <w:r w:rsidR="00EA3CB1" w:rsidRPr="00835FA6">
        <w:rPr>
          <w:rFonts w:eastAsiaTheme="minorEastAsia"/>
        </w:rPr>
        <w:t xml:space="preserve"> diferentes parámetros de eficiencia</w:t>
      </w:r>
      <w:r w:rsidRPr="00835FA6">
        <w:rPr>
          <w:rFonts w:eastAsiaTheme="minorEastAsia"/>
        </w:rPr>
        <w:t xml:space="preserve"> y escoger el mejor</w:t>
      </w:r>
      <w:r w:rsidR="00652762">
        <w:rPr>
          <w:rFonts w:eastAsiaTheme="minorEastAsia"/>
        </w:rPr>
        <w:t>.</w:t>
      </w:r>
    </w:p>
    <w:p w14:paraId="50274B36" w14:textId="62515BE6" w:rsidR="001D58C5" w:rsidRPr="00433E69" w:rsidRDefault="00835FA6" w:rsidP="00433E69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rFonts w:eastAsiaTheme="minorEastAsia"/>
        </w:rPr>
        <w:t xml:space="preserve">Describir </w:t>
      </w:r>
      <w:r w:rsidR="00652762">
        <w:rPr>
          <w:rFonts w:eastAsiaTheme="minorEastAsia"/>
        </w:rPr>
        <w:t>los resultados obtenidos y concluir.</w:t>
      </w:r>
    </w:p>
    <w:p w14:paraId="0DCAF34E" w14:textId="77777777" w:rsidR="00AE4531" w:rsidRPr="00433E69" w:rsidRDefault="00AE4531" w:rsidP="00433E69">
      <w:pPr>
        <w:jc w:val="both"/>
      </w:pPr>
    </w:p>
    <w:sectPr w:rsidR="00AE4531" w:rsidRPr="00433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6A0"/>
    <w:multiLevelType w:val="hybridMultilevel"/>
    <w:tmpl w:val="4E28A608"/>
    <w:lvl w:ilvl="0" w:tplc="AEC6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516"/>
    <w:multiLevelType w:val="hybridMultilevel"/>
    <w:tmpl w:val="9FFACB80"/>
    <w:lvl w:ilvl="0" w:tplc="9E2C8980">
      <w:start w:val="1"/>
      <w:numFmt w:val="decimal"/>
      <w:lvlText w:val="%1."/>
      <w:lvlJc w:val="left"/>
      <w:pPr>
        <w:ind w:left="720" w:hanging="360"/>
      </w:pPr>
    </w:lvl>
    <w:lvl w:ilvl="1" w:tplc="7A381BD2">
      <w:start w:val="1"/>
      <w:numFmt w:val="lowerLetter"/>
      <w:lvlText w:val="%2."/>
      <w:lvlJc w:val="left"/>
      <w:pPr>
        <w:ind w:left="1440" w:hanging="360"/>
      </w:pPr>
    </w:lvl>
    <w:lvl w:ilvl="2" w:tplc="90AEC8BE">
      <w:start w:val="1"/>
      <w:numFmt w:val="lowerRoman"/>
      <w:lvlText w:val="%3."/>
      <w:lvlJc w:val="right"/>
      <w:pPr>
        <w:ind w:left="2160" w:hanging="180"/>
      </w:pPr>
    </w:lvl>
    <w:lvl w:ilvl="3" w:tplc="A8B47B64">
      <w:start w:val="1"/>
      <w:numFmt w:val="decimal"/>
      <w:lvlText w:val="%4."/>
      <w:lvlJc w:val="left"/>
      <w:pPr>
        <w:ind w:left="2880" w:hanging="360"/>
      </w:pPr>
    </w:lvl>
    <w:lvl w:ilvl="4" w:tplc="2D8E088E">
      <w:start w:val="1"/>
      <w:numFmt w:val="lowerLetter"/>
      <w:lvlText w:val="%5."/>
      <w:lvlJc w:val="left"/>
      <w:pPr>
        <w:ind w:left="3600" w:hanging="360"/>
      </w:pPr>
    </w:lvl>
    <w:lvl w:ilvl="5" w:tplc="AA2A9D0E">
      <w:start w:val="1"/>
      <w:numFmt w:val="lowerRoman"/>
      <w:lvlText w:val="%6."/>
      <w:lvlJc w:val="right"/>
      <w:pPr>
        <w:ind w:left="4320" w:hanging="180"/>
      </w:pPr>
    </w:lvl>
    <w:lvl w:ilvl="6" w:tplc="CAF4AF4A">
      <w:start w:val="1"/>
      <w:numFmt w:val="decimal"/>
      <w:lvlText w:val="%7."/>
      <w:lvlJc w:val="left"/>
      <w:pPr>
        <w:ind w:left="5040" w:hanging="360"/>
      </w:pPr>
    </w:lvl>
    <w:lvl w:ilvl="7" w:tplc="16D43F24">
      <w:start w:val="1"/>
      <w:numFmt w:val="lowerLetter"/>
      <w:lvlText w:val="%8."/>
      <w:lvlJc w:val="left"/>
      <w:pPr>
        <w:ind w:left="5760" w:hanging="360"/>
      </w:pPr>
    </w:lvl>
    <w:lvl w:ilvl="8" w:tplc="953A7186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97628">
    <w:abstractNumId w:val="1"/>
  </w:num>
  <w:num w:numId="2" w16cid:durableId="187210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8"/>
    <w:rsid w:val="000C551C"/>
    <w:rsid w:val="00187A50"/>
    <w:rsid w:val="001D58C5"/>
    <w:rsid w:val="002A0977"/>
    <w:rsid w:val="002A0C71"/>
    <w:rsid w:val="003A293C"/>
    <w:rsid w:val="003B7357"/>
    <w:rsid w:val="003C35EB"/>
    <w:rsid w:val="004222FE"/>
    <w:rsid w:val="00433E69"/>
    <w:rsid w:val="0045754B"/>
    <w:rsid w:val="00493BC9"/>
    <w:rsid w:val="004C0D6C"/>
    <w:rsid w:val="004D401A"/>
    <w:rsid w:val="00602B30"/>
    <w:rsid w:val="0060532C"/>
    <w:rsid w:val="00652762"/>
    <w:rsid w:val="006B234D"/>
    <w:rsid w:val="007239A8"/>
    <w:rsid w:val="00835FA6"/>
    <w:rsid w:val="008773FB"/>
    <w:rsid w:val="00891B84"/>
    <w:rsid w:val="009A4783"/>
    <w:rsid w:val="00A359A8"/>
    <w:rsid w:val="00A83F62"/>
    <w:rsid w:val="00AE4531"/>
    <w:rsid w:val="00BF6A6A"/>
    <w:rsid w:val="00C0279D"/>
    <w:rsid w:val="00EA3CB1"/>
    <w:rsid w:val="00ED6FA9"/>
    <w:rsid w:val="00EE13AA"/>
    <w:rsid w:val="00F02E97"/>
    <w:rsid w:val="00F645E0"/>
    <w:rsid w:val="00FB500E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287E"/>
  <w15:chartTrackingRefBased/>
  <w15:docId w15:val="{B36FFA1E-D312-44BE-938F-36291CF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293C"/>
    <w:rPr>
      <w:color w:val="808080"/>
    </w:rPr>
  </w:style>
  <w:style w:type="table" w:styleId="Tablaconcuadrcula">
    <w:name w:val="Table Grid"/>
    <w:basedOn w:val="Tablanormal"/>
    <w:uiPriority w:val="39"/>
    <w:rsid w:val="004C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09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234D"/>
    <w:pPr>
      <w:ind w:left="720"/>
      <w:contextualSpacing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C35EB"/>
    <w:rPr>
      <w:color w:val="605E5C"/>
      <w:shd w:val="clear" w:color="auto" w:fill="E1DFDD"/>
    </w:rPr>
  </w:style>
  <w:style w:type="paragraph" w:customStyle="1" w:styleId="Default">
    <w:name w:val="Default"/>
    <w:rsid w:val="008773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118/11866602001/htm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rf.gov.co/webcenter/ShowProperty?nodeId=%2FConexionContent%2FWCC_CLUSTER-070589%2F%2FidcPrimaryFile&amp;revision=latestreleas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full/10.1177/2158244017736094" TargetMode="External"/><Relationship Id="rId11" Type="http://schemas.openxmlformats.org/officeDocument/2006/relationships/hyperlink" Target="https://tcdata360.worldbank.org/stories/competitive-cities/" TargetMode="External"/><Relationship Id="rId5" Type="http://schemas.openxmlformats.org/officeDocument/2006/relationships/hyperlink" Target="https://www.pnas.org/doi/10.1073/pnas.1017031108" TargetMode="External"/><Relationship Id="rId10" Type="http://schemas.openxmlformats.org/officeDocument/2006/relationships/hyperlink" Target="https://link.springer.com/article/10.1007/s43546-021-00146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ecd.org/norway/4250617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21</cp:revision>
  <dcterms:created xsi:type="dcterms:W3CDTF">2022-07-14T15:31:00Z</dcterms:created>
  <dcterms:modified xsi:type="dcterms:W3CDTF">2022-07-29T23:59:00Z</dcterms:modified>
</cp:coreProperties>
</file>