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Contrat d'Audit Général</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 LES SOUSSIGNÉS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Prestataire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{prestataireName}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{prestataireAddress}</w:t>
        <w:br w:type="textWrapping"/>
        <w:t xml:space="preserve">{prestataireEmail}</w:t>
        <w:br w:type="textWrapping"/>
        <w:t xml:space="preserve">{prestataireTelephone}</w:t>
        <w:br w:type="textWrapping"/>
        <w:t xml:space="preserve">SIRET : {prestataireSiret}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Client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Représentant la société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{clientAddress}</w:t>
        <w:br w:type="textWrapping"/>
        <w:t xml:space="preserve">{clientEmail}</w:t>
      </w:r>
    </w:p>
    <w:p>
      <w:r>
        <w:t>{clientPhone}</w:t>
      </w:r>
    </w:p>
    <w:p>
      <w:r>
        <w:t>SIRET: {clientSiret}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1 : Objet du Contrat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a pour objet la réalisation d'un audit général de la structure organisationnelle et des processus internes du Client par le Prestataire. L'objectif est d'identifier les points de friction, les opportunités d'optimisation et de proposer des axes d'amélioration stratégiques.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L'audit portera notamment sur les aspects suivants (liste non exhaustive)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des flux de travail (workflows)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Évaluation des outils et logiciels utilisés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 de la relation client (CRM)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Processus de vente et de marketing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interne et externe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2 : Durée de la 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mission d'audit débutera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{dateDebut}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s'achèvera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{dateFin}</w:t>
      </w:r>
    </w:p>
    <w:p>
      <w:r>
        <w:t>Objet du contrat: {objectScope}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rapport d'audit détaillé sera remis au Client au plus tard 7 jours ouvrés après la fin de la mission.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3 : Obligations du Prestataire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Prestataire s'engage à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 l'audit avec diligence, professionnalisme et en toute confidentialité.</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les délais convenus.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un rapport d'audit clair, objectif et contenant des recommandations exploitables.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 divulguer aucune information sensible concernant le Client à des tiers.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4 : Obligations du Client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Client s'engage à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au Prestataire tous les accès et informations nécessaires à la bonne exécution de la mission.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Désigner un interlocuteur principal pour faciliter la communication.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les échéances de paiement.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5 : Conditions Financières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l'ensemble de la mission d'audit, le montant de la prestation est fixé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{prixHT} € 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(Hors Taxes).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montant toutes taxes comprises (TTC), incluant une TVA de 20%, s'élève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{prixTTC} € TTC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Modalités de paiement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à la signature du contrat.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à la livraison du rapport d'audit final.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paiement s'effectuera par virement bancaire aux coordonnées fournies par le Prestataire.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6 : Confidentialité</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Chaque partie s'engage à ne pas divulguer les informations confidentielles de l'autre partie, que ce soit pendant la durée du contrat ou après son expiration.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7 : Litiges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 de litige, les deux parties s'efforceront de trouver une solution à l'amiable. À défaut, le litige sera porté devant le tribunal de commerce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 en deux exemplaires originaux,</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{lieu}, le {dateContrat}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Prestataire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{prestataireName}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Client</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{clientName}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br w:type="textWrapping"/>
        <w:t xml:space="preserv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