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DECISION TREE</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Pengantar</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era digital, pertanian Indonesia sedang bertransformasi lewat teknologi cerdas seperti Artificial Intelligence (AI), IoT, sensor, drone, dan otomatisasi. AI dapat digunakan di berbagai aplikasi pertanian — dari diagnosa penyakit, manajemen air, hingga prediksi pa-nen dan pengendalian hama. Buku Artificial Intelligence: A Modern Approach (Russell &amp;Norvig) membahas fondasi AI klasik dan modern seperti pemodelan masalah (CSP), rea-soning probabilistik, search algorithms, supervised learning, optimisasi lokal, dan neuralnetworks. Pengetahuan ini penting untuk membidani solusi pertanian masa depan.Setiap proyek di bawah ini dirancang agar relevan dengan dunia nyata pertanianIndonesia, berbasis konsep AI utama, dan bisa diselesaikan mahasiswa S1 dalam waktu dua minggu.</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Tree – Prediksi Kelayakan Panen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Masalah</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agronomi seperti umur, tinggi tanaman, warna daun, curah hujan, dan soil mois-ture digunakan untuk memprediksi kelayakan panen. Pohon keputusan dibuat manual berdasar information gain.</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Proyek</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pohon keputusan dengan perhitungan information gain.</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performa prediksi pada data uji.</w:t>
      </w:r>
    </w:p>
    <w:p w:rsidR="00000000" w:rsidDel="00000000" w:rsidP="00000000" w:rsidRDefault="00000000" w:rsidRPr="00000000" w14:paraId="0000000E">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Tahapan Pengerjaan</w:t>
      </w:r>
    </w:p>
    <w:p w:rsidR="00000000" w:rsidDel="00000000" w:rsidP="00000000" w:rsidRDefault="00000000" w:rsidRPr="00000000" w14:paraId="00000010">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Eksplorasi data.</w:t>
      </w:r>
    </w:p>
    <w:p w:rsidR="00000000" w:rsidDel="00000000" w:rsidP="00000000" w:rsidRDefault="00000000" w:rsidRPr="00000000" w14:paraId="00000011">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entropy/information gain.</w:t>
      </w:r>
    </w:p>
    <w:p w:rsidR="00000000" w:rsidDel="00000000" w:rsidP="00000000" w:rsidRDefault="00000000" w:rsidRPr="00000000" w14:paraId="0000001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decision tree.</w:t>
      </w:r>
    </w:p>
    <w:p w:rsidR="00000000" w:rsidDel="00000000" w:rsidP="00000000" w:rsidRDefault="00000000" w:rsidRPr="00000000" w14:paraId="0000001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dan visualisasi pohon.</w:t>
      </w:r>
    </w:p>
    <w:p w:rsidR="00000000" w:rsidDel="00000000" w:rsidP="00000000" w:rsidRDefault="00000000" w:rsidRPr="00000000" w14:paraId="0000001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Konsep AI yang Diuji</w:t>
      </w:r>
    </w:p>
    <w:p w:rsidR="00000000" w:rsidDel="00000000" w:rsidP="00000000" w:rsidRDefault="00000000" w:rsidRPr="00000000" w14:paraId="00000016">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learning, decision tree.</w:t>
      </w:r>
    </w:p>
    <w:p w:rsidR="00000000" w:rsidDel="00000000" w:rsidP="00000000" w:rsidRDefault="00000000" w:rsidRPr="00000000" w14:paraId="00000017">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 information gain.</w:t>
      </w:r>
    </w:p>
    <w:p w:rsidR="00000000" w:rsidDel="00000000" w:rsidP="00000000" w:rsidRDefault="00000000" w:rsidRPr="00000000" w14:paraId="0000001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Dataset</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tbl>
      <w:tblPr>
        <w:tblStyle w:val="Table1"/>
        <w:tblW w:w="9315.0" w:type="dxa"/>
        <w:jc w:val="left"/>
        <w:tblLayout w:type="fixed"/>
        <w:tblLook w:val="0600"/>
      </w:tblPr>
      <w:tblGrid>
        <w:gridCol w:w="2070"/>
        <w:gridCol w:w="1500"/>
        <w:gridCol w:w="1635"/>
        <w:gridCol w:w="1305"/>
        <w:gridCol w:w="1860"/>
        <w:gridCol w:w="945"/>
        <w:tblGridChange w:id="0">
          <w:tblGrid>
            <w:gridCol w:w="2070"/>
            <w:gridCol w:w="1500"/>
            <w:gridCol w:w="1635"/>
            <w:gridCol w:w="1305"/>
            <w:gridCol w:w="1860"/>
            <w:gridCol w:w="945"/>
          </w:tblGrid>
        </w:tblGridChange>
      </w:tblGrid>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plant age days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height cm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leaf color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rainfall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soil moisture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ready</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90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105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yellow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green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dark green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green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 </w:t>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r>
    </w:tbl>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Output</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 p l a n t _ a g e _ d a y s ( &gt;75)</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 l ea f_ co lo r == " yellow " -&gt; ready = yes ; else ready = no</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Akurasi pada test set : 0.87</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Dataset</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Sintetik atau dataset yang sudah tersedia</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