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A1F1F"/>
        </w:rPr>
        <w:t>Demand Framework — Rahman v. UHSH et al.</w:t>
      </w:r>
    </w:p>
    <w:p>
      <w:r>
        <w:rPr>
          <w:b/>
        </w:rPr>
        <w:t>ATTORNEY WORK PRODUCT — PRIVILEGED &amp; CONFIDENTIAL</w:t>
      </w:r>
    </w:p>
    <w:p>
      <w:r>
        <w:rPr>
          <w:i/>
        </w:rPr>
        <w:t>Prepared for counsel (Douglas Walter Drazen) — Rahman v. UHSH et al., 3:26-cv-00197 (N.D.N.Y.) | Prepared 2026-08-02 | Court-ordered mediation deadline: November 2026 (completion deadline, not earliest date — 00:04:20). Machine canon: `../data/damages_model.json`. Not for filing. Not legal advice; all figures are probabilistic estimates, never guarantees.</w:t>
      </w:r>
    </w:p>
    <w:p>
      <w:r>
        <w:rPr>
          <w:b/>
        </w:rPr>
        <w:t>Evidence labels (travel with every figure):</w:t>
      </w:r>
      <w:r>
        <w:t xml:space="preserve"> </w:t>
      </w:r>
      <w:r>
        <w:rPr>
          <w:b/>
        </w:rPr>
        <w:t>DOCUMENTED</w:t>
      </w:r>
      <w:r>
        <w:t xml:space="preserve"> (record in hand / hash-chained) · </w:t>
      </w:r>
      <w:r>
        <w:rPr>
          <w:b/>
        </w:rPr>
        <w:t>ESTIMABLE</w:t>
      </w:r>
      <w:r>
        <w:t xml:space="preserve"> (methodology + identified records, computation pending) · </w:t>
      </w:r>
      <w:r>
        <w:rPr>
          <w:b/>
        </w:rPr>
        <w:t>ASSERTED</w:t>
      </w:r>
      <w:r>
        <w:t xml:space="preserve"> (client statement or posture figure without independent support).</w:t>
      </w:r>
    </w:p>
    <w:p>
      <w:r>
        <w:rPr>
          <w:b/>
        </w:rPr>
        <w:t>What this document is:</w:t>
      </w:r>
      <w:r>
        <w:t xml:space="preserve"> the framework governing how any demand — demand letter, mediation statement number, or caucus figure — is constructed, labeled, sequenced, and conceded. It is not itself a demand letter. No number leaves this framework without its label and its caveats.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21315E"/>
        </w:rPr>
        <w:t>1. The Number Architecture (fixed by canon — do not improvise)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Figure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Label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Anchor / exposure ceiling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~$100M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ASSERTED — NEGOTIATION POSTURE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Spoken once, in caucus, as the defendant's runaway-jury tail risk (constructed transparently: $12.5M max compensatory + $87.5M punitive (7:1 </w:t>
            </w:r>
            <w:r>
              <w:rPr>
                <w:i/>
                <w:sz w:val="17"/>
              </w:rPr>
              <w:t>Zhang</w:t>
            </w:r>
            <w:r>
              <w:rPr>
                <w:sz w:val="17"/>
              </w:rPr>
              <w:t xml:space="preserve"> ratio) + $1.5M fees ≈ $101.5M). Never pled, never filed, never stated as expected outcome.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Acceptance threshold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$40M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NEGOTIATION POSTURE — client directive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Client-instructed. Honesty flag: ~2.4× the top of the verified-law Tier-2 range and ~9× its floor; not a number the damages model supports as a probable verdict. Counsel must own that gap with the client before mediation — the mediator will price off Tier 2.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Working / defensible envelope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$4,342,000 – $16,565,500</w:t>
            </w:r>
            <w:r>
              <w:rPr>
                <w:sz w:val="17"/>
              </w:rPr>
              <w:t xml:space="preserve"> (Tier 2)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ESTIMABLE — verified-law arithmetic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Where the demand conversation actually lives: compensatory $2,092,000–$6,695,500 + FMLA liquidated $0–$1,120,000 + punitives $2,000,000–$8,000,000 (~1:1–~2:1 discipline) + statutory fees $250,000–$750,000.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Floor / BATNA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$1,222,000 – $1,595,500</w:t>
            </w:r>
            <w:r>
              <w:rPr>
                <w:sz w:val="17"/>
              </w:rPr>
              <w:t xml:space="preserve"> (Tier 1 documented core) </w:t>
            </w:r>
            <w:r>
              <w:rPr>
                <w:b/>
                <w:sz w:val="17"/>
              </w:rPr>
              <w:t>plus all non-monetary must-haves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DOCUMENTED/ESTIMABLE</w:t>
            </w:r>
            <w:r>
              <w:rPr>
                <w:sz w:val="17"/>
              </w:rPr>
              <w:t xml:space="preserve"> (largest line DOCUMENTED-PENDING — Flag 4)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</w:r>
            <w:r>
              <w:rPr>
                <w:sz w:val="17"/>
              </w:rPr>
              <w:t>Do not accept below the documented core absent non-monetary relief of equivalent value to the client's first-order objectives. Below this, the BATNA is trial with asymmetric fee-shifting.</w:t>
            </w:r>
          </w:p>
        </w:tc>
      </w:tr>
    </w:tbl>
    <w:p/>
    <w:p>
      <w:pPr>
        <w:pStyle w:val="IntenseQuote"/>
      </w:pPr>
      <w:r>
        <w:rPr>
          <w:b/>
        </w:rPr>
        <w:t>RULE 11 / MEDIATOR-CREDIBILITY CAVEAT (applies to both posture figures, every time they appear).</w:t>
      </w:r>
      <w:r>
        <w:t xml:space="preserve"> The $100M ceiling and the $40M acceptance threshold are negotiation posture, not damages calculations. Any figure placed in a pleading, demand letter, or mediation statement must trace to the Tier-1/Tier-2 evidence-labeled arithmetic in </w:t>
      </w:r>
      <w:r>
        <w:rPr>
          <w:rFonts w:ascii="Consolas" w:hAnsi="Consolas"/>
          <w:sz w:val="18"/>
        </w:rPr>
        <w:t>damages_model.json</w:t>
      </w:r>
      <w:r>
        <w:t>. Asserting the posture numbers as computed damages risks Rule 11 exposure and — more practically — destroys credibility with the mediator, the asset this framework exists to protect.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21315E"/>
        </w:rPr>
        <w:t>2. Demand Construction Rules</w:t>
      </w:r>
    </w:p>
    <w:p>
      <w:pPr>
        <w:pStyle w:val="ListNumber"/>
      </w:pPr>
      <w:r>
        <w:rPr>
          <w:b/>
        </w:rPr>
        <w:t>No orphan numbers.</w:t>
      </w:r>
      <w:r>
        <w:t xml:space="preserve"> Every dollar figure in any demand instrument carries its evidence label and traces to </w:t>
      </w:r>
      <w:r>
        <w:rPr>
          <w:rFonts w:ascii="Consolas" w:hAnsi="Consolas"/>
          <w:sz w:val="18"/>
        </w:rPr>
        <w:t>damages_model.json</w:t>
      </w:r>
      <w:r>
        <w:t xml:space="preserve"> (Tier 1/Tier 2 line items). If a number is not in the canon, it does not go in the demand.</w:t>
      </w:r>
    </w:p>
    <w:p>
      <w:pPr>
        <w:pStyle w:val="ListNumber"/>
      </w:pPr>
      <w:r>
        <w:rPr>
          <w:b/>
        </w:rPr>
        <w:t>Open with receipts, not posture.</w:t>
      </w:r>
      <w:r>
        <w:t xml:space="preserve"> The first number the mediator hears is the Tier 1 documented core ($1,222,000–$1,595,500) with the wire ledger ($223,800 DOCUMENTED — 38 wires, SHA-256 chain) and billing records behind it. Credibility purchased here is what lets Tier 2 land.</w:t>
      </w:r>
    </w:p>
    <w:p>
      <w:pPr>
        <w:pStyle w:val="ListNumber"/>
      </w:pPr>
      <w:r>
        <w:rPr>
          <w:b/>
        </w:rPr>
        <w:t>Argue in Tier 2; escalate by strengthening components, not inflating them.</w:t>
      </w:r>
      <w:r>
        <w:t xml:space="preserve"> Front pay ($700,000–$3,500,000) is $0 without the vocational/economic expert (</w:t>
      </w:r>
      <w:r>
        <w:rPr>
          <w:i/>
        </w:rPr>
        <w:t>Tarpley</w:t>
      </w:r>
      <w:r>
        <w:t>, VERIFIED, CL 4680173 — adverse); distress stays garden-variety (~$100,000) without psychiatric records; the doubling ($0–$1,120,000) and uncapped distress/punitives require the NYSHRL/FMLA amendment (not yet pled — check the amendment deadline now).</w:t>
      </w:r>
    </w:p>
    <w:p>
      <w:pPr>
        <w:pStyle w:val="ListNumber"/>
      </w:pPr>
      <w:r>
        <w:rPr>
          <w:b/>
        </w:rPr>
        <w:t>Deploy the $100M anchor once, correctly, in caucus</w:t>
      </w:r>
      <w:r>
        <w:t xml:space="preserve"> — as the carrier's tail risk with the seven Tier-3 assumptions stated aloud, never as our valuation. Pair it with the fee-shifting clock running toward the November 2026 deadline.</w:t>
      </w:r>
    </w:p>
    <w:p>
      <w:pPr>
        <w:pStyle w:val="ListNumber"/>
      </w:pPr>
      <w:r>
        <w:rPr>
          <w:b/>
        </w:rPr>
        <w:t>Remedies discipline in every draft:</w:t>
      </w:r>
      <w:r>
        <w:t xml:space="preserve"> no emotional distress under Title VI/Rehab/FMLA (</w:t>
      </w:r>
      <w:r>
        <w:rPr>
          <w:i/>
        </w:rPr>
        <w:t>Cummings</w:t>
      </w:r>
      <w:r>
        <w:t>); no punitives under Title VI (</w:t>
      </w:r>
      <w:r>
        <w:rPr>
          <w:i/>
        </w:rPr>
        <w:t>Barnes</w:t>
      </w:r>
      <w:r>
        <w:t>). Punitive-base disclosure: the $2M–$8M band is anchored to total compensatory, but punitives ride only on NYSHRL/tort counts — recompute or disclose before external use (see damages-architecture.md).</w:t>
      </w:r>
    </w:p>
    <w:p>
      <w:pPr>
        <w:pStyle w:val="ListNumber"/>
      </w:pPr>
      <w:r>
        <w:rPr>
          <w:b/>
        </w:rPr>
        <w:t>Anti-double-count:</w:t>
      </w:r>
      <w:r>
        <w:t xml:space="preserve"> paternal loans (~$300K/yr × 3, ~$900K, DOCUMENTED $223,800 subset) and living expenses (~$1M / 3 yr, ESTIMABLE) are corroboration of the lost-income gap, never additive lines.</w:t>
      </w:r>
    </w:p>
    <w:p>
      <w:pPr>
        <w:pStyle w:val="ListNumber"/>
      </w:pPr>
      <w:r>
        <w:rPr>
          <w:b/>
        </w:rPr>
        <w:t>Identity hygiene:</w:t>
      </w:r>
      <w:r>
        <w:t xml:space="preserve"> defendant is United Health Services (Binghamton, EIN 16-1165049) — not Universal Health Services, not UnitedHealth Group. The $122M DOJ settlement and $500M Nevada punitive verdict are barred from every demand instrument until counsel resolves the caption-entity conflict. Misattribution is sanctionable.</w:t>
      </w:r>
    </w:p>
    <w:p>
      <w:pPr>
        <w:pStyle w:val="ListNumber"/>
      </w:pPr>
      <w:r>
        <w:rPr>
          <w:b/>
        </w:rPr>
        <w:t>Unverified comparators</w:t>
      </w:r>
      <w:r>
        <w:t xml:space="preserve"> (</w:t>
      </w:r>
      <w:r>
        <w:rPr>
          <w:i/>
        </w:rPr>
        <w:t>Walker v. Ascension</w:t>
      </w:r>
      <w:r>
        <w:t xml:space="preserve"> $10M; </w:t>
      </w:r>
      <w:r>
        <w:rPr>
          <w:i/>
        </w:rPr>
        <w:t>Pizarro</w:t>
      </w:r>
      <w:r>
        <w:t xml:space="preserve"> $1.725M; </w:t>
      </w:r>
      <w:r>
        <w:rPr>
          <w:i/>
        </w:rPr>
        <w:t>Walsh/Su v. Tara</w:t>
      </w:r>
      <w:r>
        <w:t xml:space="preserve"> $650K) appear, if at all, only as mediation atmospherics with the flag "unverified — confirm with counsel."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21315E"/>
        </w:rPr>
        <w:t>3. Concession Ladder (monetary), against the non-monetary spine</w:t>
      </w:r>
    </w:p>
    <w:p>
      <w:r>
        <w:t>Sequence (all labels repeated at each step):</w:t>
      </w:r>
    </w:p>
    <w:p>
      <w:pPr>
        <w:pStyle w:val="ListNumber"/>
      </w:pPr>
      <w:r>
        <w:rPr>
          <w:b/>
        </w:rPr>
        <w:t>Anchor (caucus only):</w:t>
      </w:r>
      <w:r>
        <w:t xml:space="preserve"> ~$100M exposure framing — ASSERTED / NEGOTIATION POSTURE, with caveats stated.</w:t>
      </w:r>
    </w:p>
    <w:p>
      <w:pPr>
        <w:pStyle w:val="ListNumber"/>
      </w:pPr>
      <w:r>
        <w:rPr>
          <w:b/>
        </w:rPr>
        <w:t>Opening demand (written):</w:t>
      </w:r>
      <w:r>
        <w:t xml:space="preserve"> top of Tier 2 — $16,565,500 ESTIMABLE, component arithmetic attached, conditions disclosed.</w:t>
      </w:r>
    </w:p>
    <w:p>
      <w:pPr>
        <w:pStyle w:val="ListNumber"/>
      </w:pPr>
      <w:r>
        <w:rPr>
          <w:b/>
        </w:rPr>
        <w:t>Working range:</w:t>
      </w:r>
      <w:r>
        <w:t xml:space="preserve"> concessions move within $4.34M–$16.57M only in exchange for movement on the non-monetary must-haves; each concession cites which Tier-2 condition (expert, records, amendment) remains unpriced.</w:t>
      </w:r>
    </w:p>
    <w:p>
      <w:pPr>
        <w:pStyle w:val="ListNumber"/>
      </w:pPr>
      <w:r>
        <w:rPr>
          <w:b/>
        </w:rPr>
        <w:t>Client threshold check:</w:t>
      </w:r>
      <w:r>
        <w:t xml:space="preserve"> $40M (NEGOTIATION POSTURE — client directive) governs client sign-off conversations, not mediator communications; counsel owns the gap between it and Tier 2 explicitly with the client.</w:t>
      </w:r>
    </w:p>
    <w:p>
      <w:pPr>
        <w:pStyle w:val="ListNumber"/>
      </w:pPr>
      <w:r>
        <w:rPr>
          <w:b/>
        </w:rPr>
        <w:t>Floor:</w:t>
      </w:r>
      <w:r>
        <w:t xml:space="preserve"> Tier 1 core $1,222,000–$1,595,500 + all five must-haves. Below this, the answer is the BATNA: trial, multiple liability paths, fee-shifting compounding monthly.</w:t>
      </w:r>
    </w:p>
    <w:p>
      <w:r>
        <w:rPr>
          <w:b/>
        </w:rPr>
        <w:t>Non-monetary must-haves (non-negotiable at any price point — the client's true first-order objectives):</w:t>
      </w:r>
    </w:p>
    <w:p>
      <w:pPr>
        <w:pStyle w:val="ListNumber"/>
      </w:pPr>
      <w:r>
        <w:t>Full correction/expungement of the academic record (probation removed; any document bearing the alleged forged signature withdrawn; ACGME-consistent record).</w:t>
      </w:r>
    </w:p>
    <w:p>
      <w:pPr>
        <w:pStyle w:val="ListNumber"/>
      </w:pPr>
      <w:r>
        <w:t>Clean, board-safe verification/certification letters from UHSH to licensing authorities.</w:t>
      </w:r>
    </w:p>
    <w:p>
      <w:pPr>
        <w:pStyle w:val="ListNumber"/>
      </w:pPr>
      <w:r>
        <w:t>Written, USCIS-usable stipulation confirming internal exoneration, reinstatement, graduation, and favorable termination of the criminal matter (acquittal Sept 2025).</w:t>
      </w:r>
    </w:p>
    <w:p>
      <w:pPr>
        <w:pStyle w:val="ListNumber"/>
      </w:pPr>
      <w:r>
        <w:t>Neutral-or-better reference protocol; mutual non-disparagement.</w:t>
      </w:r>
    </w:p>
    <w:p>
      <w:pPr>
        <w:pStyle w:val="ListNumber"/>
      </w:pPr>
      <w:r>
        <w:t>Institutional-change component (conflict-of-interest and GME probation-procedure reform) — accountability and sustainable change, not punishment.</w:t>
      </w:r>
    </w:p>
    <w:p>
      <w:r>
        <w:t>Trade money for the must-haves early and visibly: they cost UHSH little and are worth more to the client than the last several million of any demand.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21315E"/>
        </w:rPr>
        <w:t>4. Gating Conditions — no demand is served until these clear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34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gates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Flag 4 — executed Florida contract in counsel's hands.</w:t>
            </w:r>
            <w:r>
              <w:rPr>
                <w:sz w:val="17"/>
              </w:rPr>
              <w:t xml:space="preserve"> Canon self-contradicts: "contract was signed on April 1st" (00:13:03) vs "had the offer but had never signed it" (00:14:21); the criminal complaint's theory was a fabricated job offer. Until the instrument is physically in hand, the $1,050,000–$1,120,000 line is DOCUMENTED-PENDING/ASSERTED and the Tier 1 floor has no receipt for its largest line.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Largest Tier-1 line; </w:t>
            </w:r>
            <w:r>
              <w:rPr>
                <w:i/>
                <w:sz w:val="17"/>
              </w:rPr>
              <w:t>Lama Holding</w:t>
            </w:r>
            <w:r>
              <w:rPr>
                <w:sz w:val="17"/>
              </w:rPr>
              <w:t xml:space="preserve"> track; defense will read the client's recorded words back to the mediator.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Operative-year discrepancy resolved.</w:t>
            </w:r>
            <w:r>
              <w:rPr>
                <w:sz w:val="17"/>
              </w:rPr>
              <w:t xml:space="preserve"> April 14 probation: 2022 (facts canon) vs Mar–Apr 2024 (r3/r4).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Drives back-pay start, FMLA/NYSHRL limitations, willfulness window.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Discovery responses received before mediation</w:t>
            </w:r>
            <w:r>
              <w:rPr>
                <w:sz w:val="17"/>
              </w:rPr>
              <w:t xml:space="preserve"> (Drazen, 00:05:23; DZ-03).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Arrive with productions, spoliation record, comparator files.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NYSHRL/FMLA amendment status confirmed.</w:t>
            </w:r>
            <w:r>
              <w:rPr>
                <w:sz w:val="17"/>
              </w:rPr>
              <w:t xml:space="preserve"> Neither count is yet pled; the Tier-2 high end (distress above garden-variety, doubling, uncapped punitives, §297(10) fees) depends on it.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Without it, the defensible envelope compresses toward its floor.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Caption-entity identity confirmed</w:t>
            </w:r>
            <w:r>
              <w:rPr>
                <w:sz w:val="17"/>
              </w:rPr>
              <w:t xml:space="preserve"> (r2 "UHS of Delaware" vs r4 Binghamton disclaimer).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Sanctions risk; see Rule 7 above.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Open collection items</w:t>
            </w:r>
            <w:r>
              <w:rPr>
                <w:sz w:val="17"/>
              </w:rPr>
              <w:t xml:space="preserve"> (paternal-loan bank records — HB-01/FR-01; pharmacy records; board-exam fee ≤$2,500 documentation) upgrade ESTIMABLE lines before the number is spoken.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sz w:val="17"/>
              </w:rPr>
              <w:t>Each record turns ESTIMABLE into DOCUMENTED and ratchets the defensible mid upward.</w:t>
            </w:r>
          </w:p>
        </w:tc>
      </w:tr>
    </w:tbl>
    <w:p/>
    <w:p>
      <w:r>
        <w:rPr>
          <w:b/>
        </w:rPr>
        <w:t>Note on the client's "100 million with a base of 10" remark (00:40:05; FR-09):</w:t>
      </w:r>
      <w:r>
        <w:t xml:space="preserve"> unclear referent, made off-record; NOT treated as instruction or evidence. The $100M posture derives from the engagement directive; clarify the remark with the client.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21315E"/>
        </w:rPr>
        <w:t>5. Standing Caveats</w:t>
      </w:r>
    </w:p>
    <w:p>
      <w:pPr>
        <w:pStyle w:val="ListBullet"/>
      </w:pPr>
      <w:r>
        <w:rPr>
          <w:b/>
        </w:rPr>
        <w:t>No win guarantees.</w:t>
      </w:r>
      <w:r>
        <w:t xml:space="preserve"> Every Tier-2/Tier-3 figure is conditional on liability findings that verified adverse authority (</w:t>
      </w:r>
      <w:r>
        <w:rPr>
          <w:i/>
        </w:rPr>
        <w:t>Horowitz/Ewing</w:t>
      </w:r>
      <w:r>
        <w:t xml:space="preserve"> academic deference; </w:t>
      </w:r>
      <w:r>
        <w:rPr>
          <w:i/>
        </w:rPr>
        <w:t>Poliner</w:t>
      </w:r>
      <w:r>
        <w:t xml:space="preserve">/HCQIA — a ~$33M physician judgment reversed to zero; </w:t>
      </w:r>
      <w:r>
        <w:rPr>
          <w:i/>
        </w:rPr>
        <w:t>Tarpley</w:t>
      </w:r>
      <w:r>
        <w:t xml:space="preserve">; </w:t>
      </w:r>
      <w:r>
        <w:rPr>
          <w:i/>
        </w:rPr>
        <w:t>Rocanova</w:t>
      </w:r>
      <w:r>
        <w:t xml:space="preserve">; </w:t>
      </w:r>
      <w:r>
        <w:rPr>
          <w:i/>
        </w:rPr>
        <w:t>Payne/Turley</w:t>
      </w:r>
      <w:r>
        <w:t xml:space="preserve"> ratio compression) could reduce or eliminate.</w:t>
      </w:r>
    </w:p>
    <w:p>
      <w:pPr>
        <w:pStyle w:val="ListBullet"/>
      </w:pPr>
      <w:r>
        <w:rPr>
          <w:b/>
        </w:rPr>
        <w:t>Causation contest:</w:t>
      </w:r>
      <w:r>
        <w:t xml:space="preserve"> the defense will attribute the Florida loss to the arrest/prosecution as an independent cause; the instigation record (Guthrie-originated call, Nadeem texts, records handover) is what ties it back to defendants.</w:t>
      </w:r>
    </w:p>
    <w:p>
      <w:pPr>
        <w:pStyle w:val="ListBullet"/>
      </w:pPr>
      <w:r>
        <w:rPr>
          <w:b/>
        </w:rPr>
        <w:t>Single-recovery rule:</w:t>
      </w:r>
      <w:r>
        <w:t xml:space="preserve"> the same lost-income dollars cannot be recovered under multiple counts; multi-count structure widens liability paths, not the compensatory pot.</w:t>
      </w:r>
    </w:p>
    <w:p>
      <w:pPr>
        <w:pStyle w:val="ListBullet"/>
      </w:pPr>
      <w:r>
        <w:t>Figures labeled NEGOTIATION POSTURE never appear in any filing, expert report, or mediator submission as verdict expectations.</w:t>
      </w:r>
    </w:p>
    <w:p>
      <w:r>
        <w:rPr>
          <w:color w:val="C9D2E4"/>
        </w:rPr>
        <w:t>————————————————————————————————————————</w:t>
      </w:r>
    </w:p>
    <w:p>
      <w:r>
        <w:rPr>
          <w:i/>
        </w:rPr>
        <w:t>Sources: `../data/damages_model.json` (machine canon), `../data/facts_extraction.json`, `../data/action_items.json`, `../strategy/damages-architecture.md`, `../strategy/pressure-point-map.md`, `../strategy/MASTER_LEGAL_PLAN.md`. Timestamps cite the 2026-08-02 attorney-meeting canon.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