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1F1F"/>
        </w:rPr>
        <w:t>ATTORNEY WORK PRODUCT — PRIVILEGED &amp; CONFIDENTIAL</w:t>
      </w:r>
    </w:p>
    <w:p>
      <w:pPr>
        <w:pStyle w:val="Heading2"/>
      </w:pPr>
      <w:r>
        <w:rPr>
          <w:color w:val="21315E"/>
        </w:rPr>
        <w:t>MASTER LEGAL PLAN — Rahman v. UHSH et al., 3:26-cv-00197 (N.D.N.Y.)</w:t>
      </w:r>
    </w:p>
    <w:p>
      <w:r>
        <w:rPr>
          <w:i/>
        </w:rPr>
        <w:t>Synthesis of the full strategy package — 2 Aug 2026. For Dr. Rahman and counsel (Drazen) only. Not for filing, service, or disclosure. Nothing in this document guarantees any outcome; all merits language is probabilistic.</w:t>
      </w:r>
    </w:p>
    <w:p>
      <w:r>
        <w:rPr>
          <w:b/>
        </w:rPr>
        <w:t>Labeling rules (binding on every page):</w:t>
      </w:r>
      <w:r>
        <w:t xml:space="preserve"> every dollar figure carries </w:t>
      </w:r>
      <w:r>
        <w:rPr>
          <w:b/>
        </w:rPr>
        <w:t>DOCUMENTED</w:t>
      </w:r>
      <w:r>
        <w:t xml:space="preserve"> (record in hand) / </w:t>
      </w:r>
      <w:r>
        <w:rPr>
          <w:b/>
        </w:rPr>
        <w:t>ESTIMABLE</w:t>
      </w:r>
      <w:r>
        <w:t xml:space="preserve"> (identified records, computation pending) / </w:t>
      </w:r>
      <w:r>
        <w:rPr>
          <w:b/>
        </w:rPr>
        <w:t>ASSERTED</w:t>
      </w:r>
      <w:r>
        <w:t xml:space="preserve"> (client statement or posture only). Every case citation is VERIFIED on CourtListener (CL id given) per </w:t>
      </w:r>
      <w:r>
        <w:rPr>
          <w:rFonts w:ascii="Consolas" w:hAnsi="Consolas"/>
          <w:sz w:val="18"/>
        </w:rPr>
        <w:t>data/research/r1–r4</w:t>
      </w:r>
      <w:r>
        <w:t xml:space="preserve">; anything else is flagged </w:t>
      </w:r>
      <w:r>
        <w:rPr>
          <w:b/>
        </w:rPr>
        <w:t>[unverified — confirm with counsel]</w:t>
      </w:r>
      <w:r>
        <w:t xml:space="preserve">. The </w:t>
      </w:r>
      <w:r>
        <w:rPr>
          <w:b/>
        </w:rPr>
        <w:t>$100M anchor / $40M acceptance threshold</w:t>
      </w:r>
      <w:r>
        <w:t xml:space="preserve"> are </w:t>
      </w:r>
      <w:r>
        <w:rPr>
          <w:b/>
        </w:rPr>
        <w:t>NEGOTIATION POSTURE ONLY</w:t>
      </w:r>
      <w:r>
        <w:t xml:space="preserve"> (client directive) — never pleadable, Rule 11 / mediator-credibility caveat applies to every use, counsel approval required.</w:t>
      </w:r>
    </w:p>
    <w:p>
      <w:r>
        <w:rPr>
          <w:color w:val="C9D2E4"/>
        </w:rPr>
        <w:t>————————————————————————————————————————</w:t>
      </w:r>
    </w:p>
    <w:p>
      <w:pPr>
        <w:pStyle w:val="Heading2"/>
      </w:pPr>
      <w:r>
        <w:rPr>
          <w:color w:val="21315E"/>
        </w:rPr>
        <w:t>1. BLUF — Where the Case Stands</w:t>
      </w:r>
    </w:p>
    <w:p>
      <w:r>
        <w:rPr>
          <w:b/>
        </w:rPr>
        <w:t>One sentence:</w:t>
      </w:r>
      <w:r>
        <w:t xml:space="preserve"> a pled four-count federal case with an unusually clean factual spine (13 days, 24 hours, NOT GUILTY) whose biggest value — malicious prosecution, NYSHRL, FMLA — is </w:t>
      </w:r>
      <w:r>
        <w:rPr>
          <w:b/>
        </w:rPr>
        <w:t>not yet in the complaint</w:t>
      </w:r>
      <w:r>
        <w:t>, and whose cheapest, most-wanted relief (clean record, licensure path, USCIS-safe narrative) is the client's true first-order objective and the reason this case can settle by November.</w:t>
      </w:r>
    </w:p>
    <w:p>
      <w:r>
        <w:rPr>
          <w:b/>
        </w:rPr>
        <w:t>The two clocks:</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7"/>
              </w:rPr>
            </w:r>
            <w:r>
              <w:rPr>
                <w:b/>
                <w:sz w:val="17"/>
              </w:rPr>
              <w:t>Clock</w:t>
            </w:r>
          </w:p>
        </w:tc>
        <w:tc>
          <w:tcPr>
            <w:tcW w:type="dxa" w:w="3408"/>
          </w:tcPr>
          <w:p>
            <w:r>
              <w:rPr>
                <w:b/>
                <w:sz w:val="17"/>
              </w:rPr>
            </w:r>
            <w:r>
              <w:rPr>
                <w:b/>
                <w:sz w:val="17"/>
              </w:rPr>
              <w:t>Date</w:t>
            </w:r>
          </w:p>
        </w:tc>
        <w:tc>
          <w:tcPr>
            <w:tcW w:type="dxa" w:w="3408"/>
          </w:tcPr>
          <w:p>
            <w:r>
              <w:rPr>
                <w:b/>
                <w:sz w:val="17"/>
              </w:rPr>
            </w:r>
            <w:r>
              <w:rPr>
                <w:b/>
                <w:sz w:val="17"/>
              </w:rPr>
              <w:t>What dies if missed</w:t>
            </w:r>
          </w:p>
        </w:tc>
      </w:tr>
      <w:tr>
        <w:tc>
          <w:tcPr>
            <w:tcW w:type="dxa" w:w="3408"/>
          </w:tcPr>
          <w:p>
            <w:r>
              <w:rPr>
                <w:sz w:val="17"/>
              </w:rPr>
            </w:r>
            <w:r>
              <w:rPr>
                <w:b/>
                <w:sz w:val="17"/>
              </w:rPr>
              <w:t>MP state-tort rail (CPLR 215(3) [unverified — confirm with counsel], 1 yr from Sept 2025 acquittal)</w:t>
            </w:r>
          </w:p>
        </w:tc>
        <w:tc>
          <w:tcPr>
            <w:tcW w:type="dxa" w:w="3408"/>
          </w:tcPr>
          <w:p>
            <w:r>
              <w:rPr>
                <w:sz w:val="17"/>
              </w:rPr>
            </w:r>
            <w:r>
              <w:rPr>
                <w:b/>
                <w:sz w:val="17"/>
              </w:rPr>
              <w:t>~Sept 2026 — weeks away</w:t>
            </w:r>
          </w:p>
        </w:tc>
        <w:tc>
          <w:tcPr>
            <w:tcW w:type="dxa" w:w="3408"/>
          </w:tcPr>
          <w:p>
            <w:r>
              <w:rPr>
                <w:sz w:val="17"/>
              </w:rPr>
            </w:r>
            <w:r>
              <w:rPr>
                <w:sz w:val="17"/>
              </w:rPr>
              <w:t>The uncapped NY malicious-prosecution claim against the private defendants — the cleanest targets (no immunity, no notice-of-claim). Federal §1983 rail stays open to ~Sept 2028 (</w:t>
            </w:r>
            <w:r>
              <w:rPr>
                <w:i/>
                <w:sz w:val="17"/>
              </w:rPr>
              <w:t>Owens v. Okure</w:t>
            </w:r>
            <w:r>
              <w:rPr>
                <w:sz w:val="17"/>
              </w:rPr>
              <w:t xml:space="preserve">, CL 112166; </w:t>
            </w:r>
            <w:r>
              <w:rPr>
                <w:i/>
                <w:sz w:val="17"/>
              </w:rPr>
              <w:t>McDonough</w:t>
            </w:r>
            <w:r>
              <w:rPr>
                <w:sz w:val="17"/>
              </w:rPr>
              <w:t>, CL 4631414) but needs a harder joint-action showing. GML 50-e(5) late-notice option vs. public actors closes ~Dec 2026 — decide by Nov.</w:t>
            </w:r>
          </w:p>
        </w:tc>
      </w:tr>
      <w:tr>
        <w:tc>
          <w:tcPr>
            <w:tcW w:type="dxa" w:w="3408"/>
          </w:tcPr>
          <w:p>
            <w:r>
              <w:rPr>
                <w:sz w:val="17"/>
              </w:rPr>
            </w:r>
            <w:r>
              <w:rPr>
                <w:b/>
                <w:sz w:val="17"/>
              </w:rPr>
              <w:t>Court-ordered mediation</w:t>
            </w:r>
          </w:p>
        </w:tc>
        <w:tc>
          <w:tcPr>
            <w:tcW w:type="dxa" w:w="3408"/>
          </w:tcPr>
          <w:p>
            <w:r>
              <w:rPr>
                <w:sz w:val="17"/>
              </w:rPr>
            </w:r>
            <w:r>
              <w:rPr>
                <w:b/>
                <w:sz w:val="17"/>
              </w:rPr>
              <w:t>Nov 2026</w:t>
            </w:r>
          </w:p>
        </w:tc>
        <w:tc>
          <w:tcPr>
            <w:tcW w:type="dxa" w:w="3408"/>
          </w:tcPr>
          <w:p>
            <w:r>
              <w:rPr>
                <w:sz w:val="17"/>
              </w:rPr>
            </w:r>
            <w:r>
              <w:rPr>
                <w:sz w:val="17"/>
              </w:rPr>
              <w:t>Leverage. Drazen will not mediate without defendants' discovery responses; discovery and the amendment must land first.</w:t>
            </w:r>
          </w:p>
        </w:tc>
      </w:tr>
    </w:tbl>
    <w:p/>
    <w:p>
      <w:r>
        <w:rPr>
          <w:b/>
        </w:rPr>
        <w:t>The number architecture (one table):</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7"/>
              </w:rPr>
            </w:r>
            <w:r>
              <w:rPr>
                <w:b/>
                <w:sz w:val="17"/>
              </w:rPr>
              <w:t>Layer</w:t>
            </w:r>
          </w:p>
        </w:tc>
        <w:tc>
          <w:tcPr>
            <w:tcW w:type="dxa" w:w="3408"/>
          </w:tcPr>
          <w:p>
            <w:r>
              <w:rPr>
                <w:b/>
                <w:sz w:val="17"/>
              </w:rPr>
            </w:r>
            <w:r>
              <w:rPr>
                <w:b/>
                <w:sz w:val="17"/>
              </w:rPr>
              <w:t>Figure</w:t>
            </w:r>
          </w:p>
        </w:tc>
        <w:tc>
          <w:tcPr>
            <w:tcW w:type="dxa" w:w="3408"/>
          </w:tcPr>
          <w:p>
            <w:r>
              <w:rPr>
                <w:b/>
                <w:sz w:val="17"/>
              </w:rPr>
            </w:r>
            <w:r>
              <w:rPr>
                <w:b/>
                <w:sz w:val="17"/>
              </w:rPr>
              <w:t>Label</w:t>
            </w:r>
          </w:p>
        </w:tc>
      </w:tr>
      <w:tr>
        <w:tc>
          <w:tcPr>
            <w:tcW w:type="dxa" w:w="3408"/>
          </w:tcPr>
          <w:p>
            <w:r>
              <w:rPr>
                <w:sz w:val="17"/>
              </w:rPr>
            </w:r>
            <w:r>
              <w:rPr>
                <w:sz w:val="17"/>
              </w:rPr>
              <w:t>Tier 1 — documented core (floor/BATNA + all non-monetary must-haves)</w:t>
            </w:r>
          </w:p>
        </w:tc>
        <w:tc>
          <w:tcPr>
            <w:tcW w:type="dxa" w:w="3408"/>
          </w:tcPr>
          <w:p>
            <w:r>
              <w:rPr>
                <w:sz w:val="17"/>
              </w:rPr>
            </w:r>
            <w:r>
              <w:rPr>
                <w:b/>
                <w:sz w:val="17"/>
              </w:rPr>
              <w:t>$1.22M–$1.60M</w:t>
            </w:r>
          </w:p>
        </w:tc>
        <w:tc>
          <w:tcPr>
            <w:tcW w:type="dxa" w:w="3408"/>
          </w:tcPr>
          <w:p>
            <w:r>
              <w:rPr>
                <w:sz w:val="17"/>
              </w:rPr>
            </w:r>
            <w:r>
              <w:rPr>
                <w:sz w:val="17"/>
              </w:rPr>
              <w:t xml:space="preserve">DOCUMENTED/ESTIMABLE — largest line (Florida contract $1.05M–$1.12M) is </w:t>
            </w:r>
            <w:r>
              <w:rPr>
                <w:b/>
                <w:sz w:val="17"/>
              </w:rPr>
              <w:t>DOCUMENTED-PENDING/ASSERTED</w:t>
            </w:r>
            <w:r>
              <w:rPr>
                <w:sz w:val="17"/>
              </w:rPr>
              <w:t xml:space="preserve"> until the executed instrument is in counsel's hands (Flag 4)</w:t>
            </w:r>
          </w:p>
        </w:tc>
      </w:tr>
      <w:tr>
        <w:tc>
          <w:tcPr>
            <w:tcW w:type="dxa" w:w="3408"/>
          </w:tcPr>
          <w:p>
            <w:r>
              <w:rPr>
                <w:sz w:val="17"/>
              </w:rPr>
            </w:r>
            <w:r>
              <w:rPr>
                <w:sz w:val="17"/>
              </w:rPr>
              <w:t>Tier 2 — realistic trial range (where the mediator prices)</w:t>
            </w:r>
          </w:p>
        </w:tc>
        <w:tc>
          <w:tcPr>
            <w:tcW w:type="dxa" w:w="3408"/>
          </w:tcPr>
          <w:p>
            <w:r>
              <w:rPr>
                <w:sz w:val="17"/>
              </w:rPr>
            </w:r>
            <w:r>
              <w:rPr>
                <w:b/>
                <w:sz w:val="17"/>
              </w:rPr>
              <w:t>$4.34M–$16.57M</w:t>
            </w:r>
          </w:p>
        </w:tc>
        <w:tc>
          <w:tcPr>
            <w:tcW w:type="dxa" w:w="3408"/>
          </w:tcPr>
          <w:p>
            <w:r>
              <w:rPr>
                <w:sz w:val="17"/>
              </w:rPr>
            </w:r>
            <w:r>
              <w:rPr>
                <w:sz w:val="17"/>
              </w:rPr>
              <w:t xml:space="preserve">ESTIMABLE — canonical band, </w:t>
            </w:r>
            <w:r>
              <w:rPr>
                <w:rFonts w:ascii="Consolas" w:hAnsi="Consolas"/>
                <w:sz w:val="17"/>
              </w:rPr>
              <w:t>damages_model.json</w:t>
            </w:r>
            <w:r>
              <w:rPr>
                <w:sz w:val="17"/>
              </w:rPr>
              <w:t xml:space="preserve"> (compensatory $2.09M–$6.70M + punitive $2M–$8M conditional + fees $250K–$750K)</w:t>
            </w:r>
          </w:p>
        </w:tc>
      </w:tr>
      <w:tr>
        <w:tc>
          <w:tcPr>
            <w:tcW w:type="dxa" w:w="3408"/>
          </w:tcPr>
          <w:p>
            <w:r>
              <w:rPr>
                <w:sz w:val="17"/>
              </w:rPr>
            </w:r>
            <w:r>
              <w:rPr>
                <w:sz w:val="17"/>
              </w:rPr>
              <w:t>Model-implied settlement zone</w:t>
            </w:r>
          </w:p>
        </w:tc>
        <w:tc>
          <w:tcPr>
            <w:tcW w:type="dxa" w:w="3408"/>
          </w:tcPr>
          <w:p>
            <w:r>
              <w:rPr>
                <w:sz w:val="17"/>
              </w:rPr>
            </w:r>
            <w:r>
              <w:rPr>
                <w:b/>
                <w:sz w:val="17"/>
              </w:rPr>
              <w:t>$2M–$7M</w:t>
            </w:r>
            <w:r>
              <w:rPr>
                <w:sz w:val="17"/>
              </w:rPr>
              <w:t xml:space="preserve"> today; </w:t>
            </w:r>
            <w:r>
              <w:rPr>
                <w:b/>
                <w:sz w:val="17"/>
              </w:rPr>
              <w:t>$5M–$12M</w:t>
            </w:r>
            <w:r>
              <w:rPr>
                <w:sz w:val="17"/>
              </w:rPr>
              <w:t xml:space="preserve"> if discovery + amendments land — </w:t>
            </w:r>
            <w:r>
              <w:rPr>
                <w:b/>
                <w:sz w:val="17"/>
              </w:rPr>
              <w:t>plus full non-monetary package</w:t>
            </w:r>
          </w:p>
        </w:tc>
        <w:tc>
          <w:tcPr>
            <w:tcW w:type="dxa" w:w="3408"/>
          </w:tcPr>
          <w:p>
            <w:r>
              <w:rPr>
                <w:sz w:val="17"/>
              </w:rPr>
            </w:r>
            <w:r>
              <w:rPr>
                <w:sz w:val="17"/>
              </w:rPr>
              <w:t>ESTIMABLE — assumption-laden</w:t>
            </w:r>
          </w:p>
        </w:tc>
      </w:tr>
      <w:tr>
        <w:tc>
          <w:tcPr>
            <w:tcW w:type="dxa" w:w="3408"/>
          </w:tcPr>
          <w:p>
            <w:r>
              <w:rPr>
                <w:sz w:val="17"/>
              </w:rPr>
            </w:r>
            <w:r>
              <w:rPr>
                <w:sz w:val="17"/>
              </w:rPr>
              <w:t>Tier 3 — exposure-ceiling framing</w:t>
            </w:r>
          </w:p>
        </w:tc>
        <w:tc>
          <w:tcPr>
            <w:tcW w:type="dxa" w:w="3408"/>
          </w:tcPr>
          <w:p>
            <w:r>
              <w:rPr>
                <w:sz w:val="17"/>
              </w:rPr>
            </w:r>
            <w:r>
              <w:rPr>
                <w:b/>
                <w:sz w:val="17"/>
              </w:rPr>
              <w:t>~$100M</w:t>
            </w:r>
          </w:p>
        </w:tc>
        <w:tc>
          <w:tcPr>
            <w:tcW w:type="dxa" w:w="3408"/>
          </w:tcPr>
          <w:p>
            <w:r>
              <w:rPr>
                <w:sz w:val="17"/>
              </w:rPr>
            </w:r>
            <w:r>
              <w:rPr>
                <w:b/>
                <w:sz w:val="17"/>
              </w:rPr>
              <w:t>ASSERTED / NEGOTIATION POSTURE ONLY</w:t>
            </w:r>
            <w:r>
              <w:rPr>
                <w:sz w:val="17"/>
              </w:rPr>
              <w:t xml:space="preserve"> — runaway-jury scenario; Rule 11 / mediator-credibility caveat</w:t>
            </w:r>
          </w:p>
        </w:tc>
      </w:tr>
      <w:tr>
        <w:tc>
          <w:tcPr>
            <w:tcW w:type="dxa" w:w="3408"/>
          </w:tcPr>
          <w:p>
            <w:r>
              <w:rPr>
                <w:sz w:val="17"/>
              </w:rPr>
            </w:r>
            <w:r>
              <w:rPr>
                <w:sz w:val="17"/>
              </w:rPr>
              <w:t>Acceptance threshold</w:t>
            </w:r>
          </w:p>
        </w:tc>
        <w:tc>
          <w:tcPr>
            <w:tcW w:type="dxa" w:w="3408"/>
          </w:tcPr>
          <w:p>
            <w:r>
              <w:rPr>
                <w:sz w:val="17"/>
              </w:rPr>
            </w:r>
            <w:r>
              <w:rPr>
                <w:b/>
                <w:sz w:val="17"/>
              </w:rPr>
              <w:t>$40M</w:t>
            </w:r>
          </w:p>
        </w:tc>
        <w:tc>
          <w:tcPr>
            <w:tcW w:type="dxa" w:w="3408"/>
          </w:tcPr>
          <w:p>
            <w:r>
              <w:rPr>
                <w:sz w:val="17"/>
              </w:rPr>
            </w:r>
            <w:r>
              <w:rPr>
                <w:b/>
                <w:sz w:val="17"/>
              </w:rPr>
              <w:t>NEGOTIATION POSTURE</w:t>
            </w:r>
            <w:r>
              <w:rPr>
                <w:sz w:val="17"/>
              </w:rPr>
              <w:t xml:space="preserve"> (client directive) — ~2.4× the top of the defensible Tier 2 range; same caveat; counsel must own the gap with the client before mediation</w:t>
            </w:r>
          </w:p>
        </w:tc>
      </w:tr>
    </w:tbl>
    <w:p/>
    <w:p>
      <w:r>
        <w:rPr>
          <w:b/>
        </w:rPr>
        <w:t>Top 3 moves this month (August):</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7"/>
              </w:rPr>
            </w:r>
            <w:r>
              <w:rPr>
                <w:b/>
                <w:sz w:val="17"/>
              </w:rPr>
              <w:t>#</w:t>
            </w:r>
          </w:p>
        </w:tc>
        <w:tc>
          <w:tcPr>
            <w:tcW w:type="dxa" w:w="3408"/>
          </w:tcPr>
          <w:p>
            <w:r>
              <w:rPr>
                <w:b/>
                <w:sz w:val="17"/>
              </w:rPr>
            </w:r>
            <w:r>
              <w:rPr>
                <w:b/>
                <w:sz w:val="17"/>
              </w:rPr>
              <w:t>Move</w:t>
            </w:r>
          </w:p>
        </w:tc>
        <w:tc>
          <w:tcPr>
            <w:tcW w:type="dxa" w:w="3408"/>
          </w:tcPr>
          <w:p>
            <w:r>
              <w:rPr>
                <w:b/>
                <w:sz w:val="17"/>
              </w:rPr>
            </w:r>
            <w:r>
              <w:rPr>
                <w:b/>
                <w:sz w:val="17"/>
              </w:rPr>
              <w:t>Why now</w:t>
            </w:r>
          </w:p>
        </w:tc>
      </w:tr>
      <w:tr>
        <w:tc>
          <w:tcPr>
            <w:tcW w:type="dxa" w:w="3408"/>
          </w:tcPr>
          <w:p>
            <w:r>
              <w:rPr>
                <w:sz w:val="17"/>
              </w:rPr>
            </w:r>
            <w:r>
              <w:rPr>
                <w:sz w:val="17"/>
              </w:rPr>
              <w:t>1</w:t>
            </w:r>
          </w:p>
        </w:tc>
        <w:tc>
          <w:tcPr>
            <w:tcW w:type="dxa" w:w="3408"/>
          </w:tcPr>
          <w:p>
            <w:r>
              <w:rPr>
                <w:sz w:val="17"/>
              </w:rPr>
            </w:r>
            <w:r>
              <w:rPr>
                <w:b/>
                <w:sz w:val="17"/>
              </w:rPr>
              <w:t>Confirm exact acquittal date + charging instrument (information vs. indictment) + NDNY amendment deadline; file the omnibus amendment</w:t>
            </w:r>
            <w:r>
              <w:rPr>
                <w:sz w:val="17"/>
              </w:rPr>
              <w:t xml:space="preserve"> (NY malicious prosecution, §1983 MP, NYSHRL + §296(6), FMLA-willful, Rehab Act)</w:t>
            </w:r>
          </w:p>
        </w:tc>
        <w:tc>
          <w:tcPr>
            <w:tcW w:type="dxa" w:w="3408"/>
          </w:tcPr>
          <w:p>
            <w:r>
              <w:rPr>
                <w:sz w:val="17"/>
              </w:rPr>
            </w:r>
            <w:r>
              <w:rPr>
                <w:sz w:val="17"/>
              </w:rPr>
              <w:t>The ~Sept 2026 rail and the unconfirmed scheduling-order deadline are the two highest-leverage unknowns; the amendment unlocks the entire uncapped damages architecture</w:t>
            </w:r>
          </w:p>
        </w:tc>
      </w:tr>
      <w:tr>
        <w:tc>
          <w:tcPr>
            <w:tcW w:type="dxa" w:w="3408"/>
          </w:tcPr>
          <w:p>
            <w:r>
              <w:rPr>
                <w:sz w:val="17"/>
              </w:rPr>
            </w:r>
            <w:r>
              <w:rPr>
                <w:sz w:val="17"/>
              </w:rPr>
              <w:t>2</w:t>
            </w:r>
          </w:p>
        </w:tc>
        <w:tc>
          <w:tcPr>
            <w:tcW w:type="dxa" w:w="3408"/>
          </w:tcPr>
          <w:p>
            <w:r>
              <w:rPr>
                <w:sz w:val="17"/>
              </w:rPr>
            </w:r>
            <w:r>
              <w:rPr>
                <w:b/>
                <w:sz w:val="17"/>
              </w:rPr>
              <w:t>Serve discovery + preservation letters / third-party subpoenas now</w:t>
            </w:r>
            <w:r>
              <w:rPr>
                <w:sz w:val="17"/>
              </w:rPr>
              <w:t xml:space="preserve"> — academic record first (Drazen's demand #1), then ANSCO CCTV, Nadeem phone/texts, Guthrie call-and-poster file, DA file/subpoena copy</w:t>
            </w:r>
          </w:p>
        </w:tc>
        <w:tc>
          <w:tcPr>
            <w:tcW w:type="dxa" w:w="3408"/>
          </w:tcPr>
          <w:p>
            <w:r>
              <w:rPr>
                <w:sz w:val="17"/>
              </w:rPr>
            </w:r>
            <w:r>
              <w:rPr>
                <w:sz w:val="17"/>
              </w:rPr>
              <w:t>Mediation is only worth attending with productions in hand; the three evidence keystones (CCTV, texts, DA file) drive the probable-cause fight</w:t>
            </w:r>
          </w:p>
        </w:tc>
      </w:tr>
      <w:tr>
        <w:tc>
          <w:tcPr>
            <w:tcW w:type="dxa" w:w="3408"/>
          </w:tcPr>
          <w:p>
            <w:r>
              <w:rPr>
                <w:sz w:val="17"/>
              </w:rPr>
            </w:r>
            <w:r>
              <w:rPr>
                <w:sz w:val="17"/>
              </w:rPr>
              <w:t>3</w:t>
            </w:r>
          </w:p>
        </w:tc>
        <w:tc>
          <w:tcPr>
            <w:tcW w:type="dxa" w:w="3408"/>
          </w:tcPr>
          <w:p>
            <w:r>
              <w:rPr>
                <w:sz w:val="17"/>
              </w:rPr>
            </w:r>
            <w:r>
              <w:rPr>
                <w:b/>
                <w:sz w:val="17"/>
              </w:rPr>
              <w:t>Resolve the Florida-contract execution contradiction and paper the damages model</w:t>
            </w:r>
            <w:r>
              <w:rPr>
                <w:sz w:val="17"/>
              </w:rPr>
              <w:t xml:space="preserve"> (executed instrument + client's criminal-trial testimony; bank wires, pharmacy records, economist, psych corroboration)</w:t>
            </w:r>
          </w:p>
        </w:tc>
        <w:tc>
          <w:tcPr>
            <w:tcW w:type="dxa" w:w="3408"/>
          </w:tcPr>
          <w:p>
            <w:r>
              <w:rPr>
                <w:sz w:val="17"/>
              </w:rPr>
            </w:r>
            <w:r>
              <w:rPr>
                <w:sz w:val="17"/>
              </w:rPr>
              <w:t>Until resolved, the biggest compensatory line and the "13 days" narrative are DOCUMENTED-PENDING/ASSERTED and cannot be used externally; each record upgrade ratchets the defensible mid upward</w:t>
            </w:r>
          </w:p>
        </w:tc>
      </w:tr>
    </w:tbl>
    <w:p/>
    <w:p>
      <w:r>
        <w:rPr>
          <w:color w:val="C9D2E4"/>
        </w:rPr>
        <w:t>————————————————————————————————————————</w:t>
      </w:r>
    </w:p>
    <w:p>
      <w:pPr>
        <w:pStyle w:val="Heading2"/>
      </w:pPr>
      <w:r>
        <w:rPr>
          <w:color w:val="21315E"/>
        </w:rPr>
        <w:t xml:space="preserve">2. The Legal Story (cold open — verbatim from </w:t>
      </w:r>
      <w:r>
        <w:rPr>
          <w:rFonts w:ascii="Consolas" w:hAnsi="Consolas"/>
          <w:color w:val="21315E"/>
          <w:sz w:val="18"/>
        </w:rPr>
        <w:t>legal-story.md</w:t>
      </w:r>
      <w:r>
        <w:rPr>
          <w:color w:val="21315E"/>
        </w:rPr>
        <w:t>)</w:t>
      </w:r>
    </w:p>
    <w:p>
      <w:pPr>
        <w:pStyle w:val="IntenseQuote"/>
      </w:pPr>
      <w:r>
        <w:t>He came to this country to be a doctor, and he became a good one — good enough that when his own hospital tried to put him on probation, the current head of medical education wrote that it was "very inhumane for you to put this kid on probation... he's a good doctor" (00:26:23). He is also a cardiac patient: Brugada syndrome, an implanted defibrillator that is supposed to be checked every four months (00:32:39).</w:t>
      </w:r>
    </w:p>
    <w:p>
      <w:pPr>
        <w:pStyle w:val="IntenseQuote"/>
      </w:pPr>
    </w:p>
    <w:p>
      <w:pPr>
        <w:pStyle w:val="IntenseQuote"/>
      </w:pPr>
      <w:r>
        <w:t xml:space="preserve">On </w:t>
      </w:r>
      <w:r>
        <w:rPr>
          <w:b/>
        </w:rPr>
        <w:t>April 1</w:t>
      </w:r>
      <w:r>
        <w:t xml:space="preserve">, by his account, he signed a three-year Florida attending contract — </w:t>
      </w:r>
      <w:r>
        <w:rPr>
          <w:b/>
        </w:rPr>
        <w:t>$350,000 salary plus $70,000 bonus</w:t>
      </w:r>
      <w:r>
        <w:t xml:space="preserve"> (DOCUMENTED-PENDING / ASSERTED — executed contract not yet in counsel's possession; see OPEN FACTUAL FLAG 2) (00:13:03). </w:t>
      </w:r>
      <w:r>
        <w:rPr>
          <w:b/>
        </w:rPr>
        <w:t>Thirteen days later, on April 14</w:t>
      </w:r>
      <w:r>
        <w:t xml:space="preserve">, UHS placed him on probation </w:t>
      </w:r>
      <w:r>
        <w:rPr>
          <w:b/>
        </w:rPr>
        <w:t>without telling him</w:t>
      </w:r>
      <w:r>
        <w:t xml:space="preserve"> (00:14:21) — he and his treating physician learned of it only afterward ("He didn't know I was on probation. I didn't know I was on probation," 00:26:23) — on paperwork he alleges carries </w:t>
      </w:r>
      <w:r>
        <w:rPr>
          <w:b/>
        </w:rPr>
        <w:t>a forged signature</w:t>
      </w:r>
      <w:r>
        <w:t xml:space="preserve"> UHS itself possesses (00:56:56). That same day he invoked FMLA (00:14:21, 00:43:40). And on that same </w:t>
      </w:r>
      <w:r>
        <w:rPr>
          <w:b/>
        </w:rPr>
        <w:t>April 14</w:t>
      </w:r>
      <w:r>
        <w:t xml:space="preserve"> — the canon's date for the arrest-day events (00:42:37; see OPEN FACTUAL FLAG 3) — on the day he was scheduled to fly down for the Florida interview (00:14:21), he was arrested: police were waiting at his car as he went to get his laptop </w:t>
      </w:r>
      <w:r>
        <w:rPr>
          <w:b/>
        </w:rPr>
        <w:t>to write his FMLA document</w:t>
      </w:r>
      <w:r>
        <w:t xml:space="preserve"> (00:14:21, 00:55:54). In May, a Vermont offer was "taken away" (00:13:03). The call to police came from Guthrie, not from the complainant (00:40:05). His photograph went up "all across the hospital — if you see this person please call the police" (00:42:37); the poster spread inside UHS until a nurse messaged him, "is this you?" (01:08:55).</w:t>
      </w:r>
    </w:p>
    <w:p>
      <w:pPr>
        <w:pStyle w:val="IntenseQuote"/>
      </w:pPr>
    </w:p>
    <w:p>
      <w:pPr>
        <w:pStyle w:val="IntenseQuote"/>
      </w:pPr>
      <w:r>
        <w:t xml:space="preserve">Then the institutions told on themselves. </w:t>
      </w:r>
      <w:r>
        <w:rPr>
          <w:b/>
        </w:rPr>
        <w:t>Within roughly 24 hours</w:t>
      </w:r>
      <w:r>
        <w:t xml:space="preserve"> the administrative leave was lifted, every internal investigation at both hospitals was dropped, and UHS asked him to come back to work (00:43:40). Though its own rules made an arrest on probation immediately fireable, UHS — on a decision made by its corporate legal team, not the program (00:47:06, 00:50:15) — kept him, and graduated him (00:45:36). "You knew I was not guilty before anybody else did" (00:54:36). Yet UHS then handed the DA his academic records and cut off his email (00:45:36, 00:51:14), and the prosecution ran on for more than a year. He refused a diversion deal because USCIS "go like, well, if you were not guilty why you take the course" (01:03:33). In </w:t>
      </w:r>
      <w:r>
        <w:rPr>
          <w:b/>
        </w:rPr>
        <w:t>September 2025 a jury found him NOT GUILTY</w:t>
      </w:r>
      <w:r>
        <w:t xml:space="preserve"> — favorable termination confirmed by counsel (01:02:46).</w:t>
      </w:r>
    </w:p>
    <w:p>
      <w:pPr>
        <w:pStyle w:val="IntenseQuote"/>
      </w:pPr>
    </w:p>
    <w:p>
      <w:pPr>
        <w:pStyle w:val="IntenseQuote"/>
      </w:pPr>
      <w:r>
        <w:t xml:space="preserve">The acquittal did not give him his life back. The licensing questionnaire asks "have you ever been arrested — not charged, not acquitted, just arrested" (01:01:30). Three immigration attorneys say the arrest record endangers his status despite acquittal (01:02:46). He still cannot pick up his medical license (00:33:46). He has not practiced medicine for three years (01:03:33). His family has spent close to </w:t>
      </w:r>
      <w:r>
        <w:rPr>
          <w:b/>
        </w:rPr>
        <w:t>$1,000,000</w:t>
      </w:r>
      <w:r>
        <w:t xml:space="preserve"> in documentable living expenses (ESTIMABLE — bank records, 00:32:39), his father wiring ~</w:t>
      </w:r>
      <w:r>
        <w:rPr>
          <w:b/>
        </w:rPr>
        <w:t>$300,000/year</w:t>
      </w:r>
      <w:r>
        <w:t xml:space="preserve"> structured as loans (ESTIMABLE — bank statements, 00:28:43), while he went without a </w:t>
      </w:r>
      <w:r>
        <w:rPr>
          <w:b/>
        </w:rPr>
        <w:t>$4,000-a-bottle</w:t>
      </w:r>
      <w:r>
        <w:t xml:space="preserve"> essential medication (ASSERTED, 00:27:22) and his defibrillator went three years unchecked (00:32:39).</w:t>
      </w:r>
    </w:p>
    <w:p>
      <w:pPr>
        <w:pStyle w:val="IntenseQuote"/>
      </w:pPr>
    </w:p>
    <w:p>
      <w:pPr>
        <w:pStyle w:val="IntenseQuote"/>
      </w:pPr>
      <w:r>
        <w:t xml:space="preserve">This lawsuit is the only instrument that can repair the record, reopen the licensure path, and give USCIS a truthful narrative. The ask is not vengeance. It is accountability, record repair, and making sure this cannot happen to the next resident. </w:t>
      </w:r>
      <w:r>
        <w:rPr>
          <w:b/>
        </w:rPr>
        <w:t>We are on the right side of this conversation — the goal is accountability and sustainable change, not punishment.</w:t>
      </w:r>
    </w:p>
    <w:p>
      <w:r>
        <w:rPr>
          <w:i/>
        </w:rPr>
        <w:t>Full theory, audience variants (mediator / defense counsel / jury), and open factual flags: `strategy/legal-story.md`.</w:t>
      </w:r>
    </w:p>
    <w:p>
      <w:r>
        <w:rPr>
          <w:color w:val="C9D2E4"/>
        </w:rPr>
        <w:t>————————————————————————————————————————</w:t>
      </w:r>
    </w:p>
    <w:p>
      <w:pPr>
        <w:pStyle w:val="Heading2"/>
      </w:pPr>
      <w:r>
        <w:rPr>
          <w:color w:val="21315E"/>
        </w:rPr>
        <w:t xml:space="preserve">3. Claims &amp; Probability (from </w:t>
      </w:r>
      <w:r>
        <w:rPr>
          <w:rFonts w:ascii="Consolas" w:hAnsi="Consolas"/>
          <w:color w:val="21315E"/>
          <w:sz w:val="18"/>
        </w:rPr>
        <w:t>win-probability.md</w:t>
      </w:r>
      <w:r>
        <w:rPr>
          <w:color w:val="21315E"/>
        </w:rPr>
        <w:t xml:space="preserve"> — probabilistic estimates, never guarantees)</w:t>
      </w:r>
    </w:p>
    <w:tbl>
      <w:tblPr>
        <w:tblStyle w:val="LightGrid-Accent1"/>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rPr>
                <w:b/>
                <w:sz w:val="17"/>
              </w:rPr>
            </w:r>
            <w:r>
              <w:rPr>
                <w:b/>
                <w:sz w:val="17"/>
              </w:rPr>
              <w:t>#</w:t>
            </w:r>
          </w:p>
        </w:tc>
        <w:tc>
          <w:tcPr>
            <w:tcW w:type="dxa" w:w="1136"/>
          </w:tcPr>
          <w:p>
            <w:r>
              <w:rPr>
                <w:b/>
                <w:sz w:val="17"/>
              </w:rPr>
            </w:r>
            <w:r>
              <w:rPr>
                <w:b/>
                <w:sz w:val="17"/>
              </w:rPr>
              <w:t>Claim</w:t>
            </w:r>
          </w:p>
        </w:tc>
        <w:tc>
          <w:tcPr>
            <w:tcW w:type="dxa" w:w="1136"/>
          </w:tcPr>
          <w:p>
            <w:r>
              <w:rPr>
                <w:b/>
                <w:sz w:val="17"/>
              </w:rPr>
            </w:r>
            <w:r>
              <w:rPr>
                <w:b/>
                <w:sz w:val="17"/>
              </w:rPr>
              <w:t>Status</w:t>
            </w:r>
          </w:p>
        </w:tc>
        <w:tc>
          <w:tcPr>
            <w:tcW w:type="dxa" w:w="1136"/>
          </w:tcPr>
          <w:p>
            <w:r>
              <w:rPr>
                <w:b/>
                <w:sz w:val="17"/>
              </w:rPr>
            </w:r>
            <w:r>
              <w:rPr>
                <w:b/>
                <w:sz w:val="17"/>
              </w:rPr>
              <w:t>P(survive dispositive)</w:t>
            </w:r>
          </w:p>
        </w:tc>
        <w:tc>
          <w:tcPr>
            <w:tcW w:type="dxa" w:w="1136"/>
          </w:tcPr>
          <w:p>
            <w:r>
              <w:rPr>
                <w:b/>
                <w:sz w:val="17"/>
              </w:rPr>
            </w:r>
            <w:r>
              <w:rPr>
                <w:b/>
                <w:sz w:val="17"/>
              </w:rPr>
              <w:t>P(prevail \</w:t>
            </w:r>
          </w:p>
        </w:tc>
        <w:tc>
          <w:tcPr>
            <w:tcW w:type="dxa" w:w="1136"/>
          </w:tcPr>
          <w:p>
            <w:r>
              <w:rPr>
                <w:b/>
                <w:sz w:val="17"/>
              </w:rPr>
            </w:r>
            <w:r>
              <w:rPr>
                <w:b/>
                <w:sz w:val="17"/>
              </w:rPr>
              <w:t>survive)</w:t>
            </w:r>
          </w:p>
        </w:tc>
        <w:tc>
          <w:tcPr>
            <w:tcW w:type="dxa" w:w="1136"/>
          </w:tcPr>
          <w:p>
            <w:r>
              <w:rPr>
                <w:b/>
                <w:sz w:val="17"/>
              </w:rPr>
            </w:r>
            <w:r>
              <w:rPr>
                <w:b/>
                <w:sz w:val="17"/>
              </w:rPr>
              <w:t>Damages weight</w:t>
            </w:r>
          </w:p>
        </w:tc>
        <w:tc>
          <w:tcPr>
            <w:tcW w:type="dxa" w:w="1136"/>
          </w:tcPr>
          <w:p>
            <w:r>
              <w:rPr>
                <w:b/>
                <w:sz w:val="17"/>
              </w:rPr>
            </w:r>
            <w:r>
              <w:rPr>
                <w:b/>
                <w:sz w:val="17"/>
              </w:rPr>
              <w:t>Fees</w:t>
            </w:r>
          </w:p>
        </w:tc>
        <w:tc>
          <w:tcPr>
            <w:tcW w:type="dxa" w:w="1136"/>
          </w:tcPr>
          <w:p>
            <w:r>
              <w:rPr>
                <w:b/>
                <w:sz w:val="17"/>
              </w:rPr>
            </w:r>
            <w:r>
              <w:rPr>
                <w:b/>
                <w:sz w:val="17"/>
              </w:rPr>
              <w:t>Grade</w:t>
            </w:r>
          </w:p>
        </w:tc>
      </w:tr>
      <w:tr>
        <w:tc>
          <w:tcPr>
            <w:tcW w:type="dxa" w:w="1136"/>
          </w:tcPr>
          <w:p>
            <w:r>
              <w:rPr>
                <w:sz w:val="17"/>
              </w:rPr>
            </w:r>
            <w:r>
              <w:rPr>
                <w:sz w:val="17"/>
              </w:rPr>
              <w:t>1</w:t>
            </w:r>
          </w:p>
        </w:tc>
        <w:tc>
          <w:tcPr>
            <w:tcW w:type="dxa" w:w="1136"/>
          </w:tcPr>
          <w:p>
            <w:r>
              <w:rPr>
                <w:sz w:val="17"/>
              </w:rPr>
            </w:r>
            <w:r>
              <w:rPr>
                <w:sz w:val="17"/>
              </w:rPr>
              <w:t>Title VI (national origin, intentional)</w:t>
            </w:r>
          </w:p>
        </w:tc>
        <w:tc>
          <w:tcPr>
            <w:tcW w:type="dxa" w:w="1136"/>
          </w:tcPr>
          <w:p>
            <w:r>
              <w:rPr>
                <w:sz w:val="17"/>
              </w:rPr>
            </w:r>
            <w:r>
              <w:rPr>
                <w:sz w:val="17"/>
              </w:rPr>
              <w:t>Pled</w:t>
            </w:r>
          </w:p>
        </w:tc>
        <w:tc>
          <w:tcPr>
            <w:tcW w:type="dxa" w:w="1136"/>
          </w:tcPr>
          <w:p>
            <w:r>
              <w:rPr>
                <w:sz w:val="17"/>
              </w:rPr>
            </w:r>
            <w:r>
              <w:rPr>
                <w:sz w:val="17"/>
              </w:rPr>
              <w:t>50–65%</w:t>
            </w:r>
          </w:p>
        </w:tc>
        <w:tc>
          <w:tcPr>
            <w:tcW w:type="dxa" w:w="1136"/>
          </w:tcPr>
          <w:p>
            <w:r>
              <w:rPr>
                <w:sz w:val="17"/>
              </w:rPr>
            </w:r>
            <w:r>
              <w:rPr>
                <w:sz w:val="17"/>
              </w:rPr>
              <w:t>30–45%</w:t>
            </w:r>
          </w:p>
        </w:tc>
        <w:tc>
          <w:tcPr>
            <w:tcW w:type="dxa" w:w="1136"/>
          </w:tcPr>
          <w:p>
            <w:r>
              <w:rPr>
                <w:sz w:val="17"/>
              </w:rPr>
            </w:r>
            <w:r>
              <w:rPr>
                <w:sz w:val="17"/>
              </w:rPr>
              <w:t>Economic only (</w:t>
            </w:r>
            <w:r>
              <w:rPr>
                <w:i/>
                <w:sz w:val="17"/>
              </w:rPr>
              <w:t>Cummings</w:t>
            </w:r>
            <w:r>
              <w:rPr>
                <w:sz w:val="17"/>
              </w:rPr>
              <w:t xml:space="preserve"> CL 6463720 / </w:t>
            </w:r>
            <w:r>
              <w:rPr>
                <w:i/>
                <w:sz w:val="17"/>
              </w:rPr>
              <w:t>Barnes</w:t>
            </w:r>
            <w:r>
              <w:rPr>
                <w:sz w:val="17"/>
              </w:rPr>
              <w:t xml:space="preserve"> CL 121152)</w:t>
            </w:r>
          </w:p>
        </w:tc>
        <w:tc>
          <w:tcPr>
            <w:tcW w:type="dxa" w:w="1136"/>
          </w:tcPr>
          <w:p>
            <w:r>
              <w:rPr>
                <w:sz w:val="17"/>
              </w:rPr>
            </w:r>
            <w:r>
              <w:rPr>
                <w:sz w:val="17"/>
              </w:rPr>
              <w:t>YES §1988(b)*</w:t>
            </w:r>
          </w:p>
        </w:tc>
        <w:tc>
          <w:tcPr>
            <w:tcW w:type="dxa" w:w="1136"/>
          </w:tcPr>
          <w:p>
            <w:r>
              <w:rPr>
                <w:sz w:val="17"/>
              </w:rPr>
            </w:r>
            <w:r>
              <w:rPr>
                <w:sz w:val="17"/>
              </w:rPr>
              <w:t>B</w:t>
            </w:r>
          </w:p>
        </w:tc>
        <w:tc>
          <w:tcPr>
            <w:tcW w:type="dxa" w:w="1136"/>
          </w:tcPr>
          <w:p>
            <w:r>
              <w:rPr>
                <w:sz w:val="17"/>
              </w:rPr>
            </w:r>
          </w:p>
        </w:tc>
      </w:tr>
      <w:tr>
        <w:tc>
          <w:tcPr>
            <w:tcW w:type="dxa" w:w="1136"/>
          </w:tcPr>
          <w:p>
            <w:r>
              <w:rPr>
                <w:sz w:val="17"/>
              </w:rPr>
            </w:r>
            <w:r>
              <w:rPr>
                <w:sz w:val="17"/>
              </w:rPr>
              <w:t>2</w:t>
            </w:r>
          </w:p>
        </w:tc>
        <w:tc>
          <w:tcPr>
            <w:tcW w:type="dxa" w:w="1136"/>
          </w:tcPr>
          <w:p>
            <w:r>
              <w:rPr>
                <w:sz w:val="17"/>
              </w:rPr>
            </w:r>
            <w:r>
              <w:rPr>
                <w:sz w:val="17"/>
              </w:rPr>
              <w:t>Tortious interference (FL contract; VT offer)</w:t>
            </w:r>
          </w:p>
        </w:tc>
        <w:tc>
          <w:tcPr>
            <w:tcW w:type="dxa" w:w="1136"/>
          </w:tcPr>
          <w:p>
            <w:r>
              <w:rPr>
                <w:sz w:val="17"/>
              </w:rPr>
            </w:r>
            <w:r>
              <w:rPr>
                <w:sz w:val="17"/>
              </w:rPr>
              <w:t>Pled</w:t>
            </w:r>
          </w:p>
        </w:tc>
        <w:tc>
          <w:tcPr>
            <w:tcW w:type="dxa" w:w="1136"/>
          </w:tcPr>
          <w:p>
            <w:r>
              <w:rPr>
                <w:sz w:val="17"/>
              </w:rPr>
            </w:r>
            <w:r>
              <w:rPr>
                <w:sz w:val="17"/>
              </w:rPr>
              <w:t>55–70%</w:t>
            </w:r>
          </w:p>
        </w:tc>
        <w:tc>
          <w:tcPr>
            <w:tcW w:type="dxa" w:w="1136"/>
          </w:tcPr>
          <w:p>
            <w:r>
              <w:rPr>
                <w:sz w:val="17"/>
              </w:rPr>
            </w:r>
            <w:r>
              <w:rPr>
                <w:sz w:val="17"/>
              </w:rPr>
              <w:t>35–50%</w:t>
            </w:r>
          </w:p>
        </w:tc>
        <w:tc>
          <w:tcPr>
            <w:tcW w:type="dxa" w:w="1136"/>
          </w:tcPr>
          <w:p>
            <w:r>
              <w:rPr>
                <w:sz w:val="17"/>
              </w:rPr>
            </w:r>
            <w:r>
              <w:rPr>
                <w:sz w:val="17"/>
              </w:rPr>
              <w:t>Largest compensatory + punitive vehicle</w:t>
            </w:r>
          </w:p>
        </w:tc>
        <w:tc>
          <w:tcPr>
            <w:tcW w:type="dxa" w:w="1136"/>
          </w:tcPr>
          <w:p>
            <w:r>
              <w:rPr>
                <w:sz w:val="17"/>
              </w:rPr>
            </w:r>
            <w:r>
              <w:rPr>
                <w:sz w:val="17"/>
              </w:rPr>
              <w:t>No</w:t>
            </w:r>
          </w:p>
        </w:tc>
        <w:tc>
          <w:tcPr>
            <w:tcW w:type="dxa" w:w="1136"/>
          </w:tcPr>
          <w:p>
            <w:r>
              <w:rPr>
                <w:sz w:val="17"/>
              </w:rPr>
            </w:r>
            <w:r>
              <w:rPr>
                <w:b/>
                <w:sz w:val="17"/>
              </w:rPr>
              <w:t>A−</w:t>
            </w:r>
          </w:p>
        </w:tc>
        <w:tc>
          <w:tcPr>
            <w:tcW w:type="dxa" w:w="1136"/>
          </w:tcPr>
          <w:p>
            <w:r>
              <w:rPr>
                <w:sz w:val="17"/>
              </w:rPr>
            </w:r>
          </w:p>
        </w:tc>
      </w:tr>
      <w:tr>
        <w:tc>
          <w:tcPr>
            <w:tcW w:type="dxa" w:w="1136"/>
          </w:tcPr>
          <w:p>
            <w:r>
              <w:rPr>
                <w:sz w:val="17"/>
              </w:rPr>
            </w:r>
            <w:r>
              <w:rPr>
                <w:sz w:val="17"/>
              </w:rPr>
              <w:t>3</w:t>
            </w:r>
          </w:p>
        </w:tc>
        <w:tc>
          <w:tcPr>
            <w:tcW w:type="dxa" w:w="1136"/>
          </w:tcPr>
          <w:p>
            <w:r>
              <w:rPr>
                <w:sz w:val="17"/>
              </w:rPr>
            </w:r>
            <w:r>
              <w:rPr>
                <w:sz w:val="17"/>
              </w:rPr>
              <w:t>Breach of contract (residency/GME policies)</w:t>
            </w:r>
          </w:p>
        </w:tc>
        <w:tc>
          <w:tcPr>
            <w:tcW w:type="dxa" w:w="1136"/>
          </w:tcPr>
          <w:p>
            <w:r>
              <w:rPr>
                <w:sz w:val="17"/>
              </w:rPr>
            </w:r>
            <w:r>
              <w:rPr>
                <w:sz w:val="17"/>
              </w:rPr>
              <w:t>Pled</w:t>
            </w:r>
          </w:p>
        </w:tc>
        <w:tc>
          <w:tcPr>
            <w:tcW w:type="dxa" w:w="1136"/>
          </w:tcPr>
          <w:p>
            <w:r>
              <w:rPr>
                <w:sz w:val="17"/>
              </w:rPr>
            </w:r>
            <w:r>
              <w:rPr>
                <w:sz w:val="17"/>
              </w:rPr>
              <w:t>60–75%</w:t>
            </w:r>
          </w:p>
        </w:tc>
        <w:tc>
          <w:tcPr>
            <w:tcW w:type="dxa" w:w="1136"/>
          </w:tcPr>
          <w:p>
            <w:r>
              <w:rPr>
                <w:sz w:val="17"/>
              </w:rPr>
            </w:r>
            <w:r>
              <w:rPr>
                <w:sz w:val="17"/>
              </w:rPr>
              <w:t>40–55%</w:t>
            </w:r>
          </w:p>
        </w:tc>
        <w:tc>
          <w:tcPr>
            <w:tcW w:type="dxa" w:w="1136"/>
          </w:tcPr>
          <w:p>
            <w:r>
              <w:rPr>
                <w:sz w:val="17"/>
              </w:rPr>
            </w:r>
            <w:r>
              <w:rPr>
                <w:sz w:val="17"/>
              </w:rPr>
              <w:t>Modest; records hook</w:t>
            </w:r>
          </w:p>
        </w:tc>
        <w:tc>
          <w:tcPr>
            <w:tcW w:type="dxa" w:w="1136"/>
          </w:tcPr>
          <w:p>
            <w:r>
              <w:rPr>
                <w:sz w:val="17"/>
              </w:rPr>
            </w:r>
            <w:r>
              <w:rPr>
                <w:sz w:val="17"/>
              </w:rPr>
              <w:t>No</w:t>
            </w:r>
          </w:p>
        </w:tc>
        <w:tc>
          <w:tcPr>
            <w:tcW w:type="dxa" w:w="1136"/>
          </w:tcPr>
          <w:p>
            <w:r>
              <w:rPr>
                <w:sz w:val="17"/>
              </w:rPr>
            </w:r>
            <w:r>
              <w:rPr>
                <w:sz w:val="17"/>
              </w:rPr>
              <w:t>B−</w:t>
            </w:r>
          </w:p>
        </w:tc>
        <w:tc>
          <w:tcPr>
            <w:tcW w:type="dxa" w:w="1136"/>
          </w:tcPr>
          <w:p>
            <w:r>
              <w:rPr>
                <w:sz w:val="17"/>
              </w:rPr>
            </w:r>
          </w:p>
        </w:tc>
      </w:tr>
      <w:tr>
        <w:tc>
          <w:tcPr>
            <w:tcW w:type="dxa" w:w="1136"/>
          </w:tcPr>
          <w:p>
            <w:r>
              <w:rPr>
                <w:sz w:val="17"/>
              </w:rPr>
            </w:r>
            <w:r>
              <w:rPr>
                <w:sz w:val="17"/>
              </w:rPr>
              <w:t>4</w:t>
            </w:r>
          </w:p>
        </w:tc>
        <w:tc>
          <w:tcPr>
            <w:tcW w:type="dxa" w:w="1136"/>
          </w:tcPr>
          <w:p>
            <w:r>
              <w:rPr>
                <w:sz w:val="17"/>
              </w:rPr>
            </w:r>
            <w:r>
              <w:rPr>
                <w:sz w:val="17"/>
              </w:rPr>
              <w:t>Injunctive/declaratory — record correction</w:t>
            </w:r>
          </w:p>
        </w:tc>
        <w:tc>
          <w:tcPr>
            <w:tcW w:type="dxa" w:w="1136"/>
          </w:tcPr>
          <w:p>
            <w:r>
              <w:rPr>
                <w:sz w:val="17"/>
              </w:rPr>
            </w:r>
            <w:r>
              <w:rPr>
                <w:sz w:val="17"/>
              </w:rPr>
              <w:t>Pled</w:t>
            </w:r>
          </w:p>
        </w:tc>
        <w:tc>
          <w:tcPr>
            <w:tcW w:type="dxa" w:w="1136"/>
          </w:tcPr>
          <w:p>
            <w:r>
              <w:rPr>
                <w:sz w:val="17"/>
              </w:rPr>
            </w:r>
            <w:r>
              <w:rPr>
                <w:sz w:val="17"/>
              </w:rPr>
              <w:t>65–80%</w:t>
            </w:r>
          </w:p>
        </w:tc>
        <w:tc>
          <w:tcPr>
            <w:tcW w:type="dxa" w:w="1136"/>
          </w:tcPr>
          <w:p>
            <w:r>
              <w:rPr>
                <w:sz w:val="17"/>
              </w:rPr>
            </w:r>
            <w:r>
              <w:rPr>
                <w:sz w:val="17"/>
              </w:rPr>
              <w:t>55–75% (meaningful relief)</w:t>
            </w:r>
          </w:p>
        </w:tc>
        <w:tc>
          <w:tcPr>
            <w:tcW w:type="dxa" w:w="1136"/>
          </w:tcPr>
          <w:p>
            <w:r>
              <w:rPr>
                <w:sz w:val="17"/>
              </w:rPr>
            </w:r>
            <w:r>
              <w:rPr>
                <w:sz w:val="17"/>
              </w:rPr>
              <w:t xml:space="preserve">Non-monetary — </w:t>
            </w:r>
            <w:r>
              <w:rPr>
                <w:b/>
                <w:sz w:val="17"/>
              </w:rPr>
              <w:t>client's #1 objective</w:t>
            </w:r>
          </w:p>
        </w:tc>
        <w:tc>
          <w:tcPr>
            <w:tcW w:type="dxa" w:w="1136"/>
          </w:tcPr>
          <w:p>
            <w:r>
              <w:rPr>
                <w:sz w:val="17"/>
              </w:rPr>
            </w:r>
            <w:r>
              <w:rPr>
                <w:sz w:val="17"/>
              </w:rPr>
              <w:t>Via Title VI</w:t>
            </w:r>
          </w:p>
        </w:tc>
        <w:tc>
          <w:tcPr>
            <w:tcW w:type="dxa" w:w="1136"/>
          </w:tcPr>
          <w:p>
            <w:r>
              <w:rPr>
                <w:sz w:val="17"/>
              </w:rPr>
            </w:r>
            <w:r>
              <w:rPr>
                <w:b/>
                <w:sz w:val="17"/>
              </w:rPr>
              <w:t>A</w:t>
            </w:r>
          </w:p>
        </w:tc>
        <w:tc>
          <w:tcPr>
            <w:tcW w:type="dxa" w:w="1136"/>
          </w:tcPr>
          <w:p>
            <w:r>
              <w:rPr>
                <w:sz w:val="17"/>
              </w:rPr>
            </w:r>
          </w:p>
        </w:tc>
      </w:tr>
      <w:tr>
        <w:tc>
          <w:tcPr>
            <w:tcW w:type="dxa" w:w="1136"/>
          </w:tcPr>
          <w:p>
            <w:r>
              <w:rPr>
                <w:sz w:val="17"/>
              </w:rPr>
            </w:r>
            <w:r>
              <w:rPr>
                <w:sz w:val="17"/>
              </w:rPr>
              <w:t>5</w:t>
            </w:r>
          </w:p>
        </w:tc>
        <w:tc>
          <w:tcPr>
            <w:tcW w:type="dxa" w:w="1136"/>
          </w:tcPr>
          <w:p>
            <w:r>
              <w:rPr>
                <w:sz w:val="17"/>
              </w:rPr>
            </w:r>
            <w:r>
              <w:rPr>
                <w:sz w:val="17"/>
              </w:rPr>
              <w:t>FMLA interference/retaliation</w:t>
            </w:r>
          </w:p>
        </w:tc>
        <w:tc>
          <w:tcPr>
            <w:tcW w:type="dxa" w:w="1136"/>
          </w:tcPr>
          <w:p>
            <w:r>
              <w:rPr>
                <w:sz w:val="17"/>
              </w:rPr>
            </w:r>
            <w:r>
              <w:rPr>
                <w:sz w:val="17"/>
              </w:rPr>
              <w:t>Amend</w:t>
            </w:r>
          </w:p>
        </w:tc>
        <w:tc>
          <w:tcPr>
            <w:tcW w:type="dxa" w:w="1136"/>
          </w:tcPr>
          <w:p>
            <w:r>
              <w:rPr>
                <w:sz w:val="17"/>
              </w:rPr>
            </w:r>
            <w:r>
              <w:rPr>
                <w:sz w:val="17"/>
              </w:rPr>
              <w:t xml:space="preserve">55–70% </w:t>
            </w:r>
            <w:r>
              <w:rPr>
                <w:i/>
                <w:sz w:val="17"/>
              </w:rPr>
              <w:t>(if timely)</w:t>
            </w:r>
          </w:p>
        </w:tc>
        <w:tc>
          <w:tcPr>
            <w:tcW w:type="dxa" w:w="1136"/>
          </w:tcPr>
          <w:p>
            <w:r>
              <w:rPr>
                <w:sz w:val="17"/>
              </w:rPr>
            </w:r>
            <w:r>
              <w:rPr>
                <w:sz w:val="17"/>
              </w:rPr>
              <w:t>45–60%</w:t>
            </w:r>
          </w:p>
        </w:tc>
        <w:tc>
          <w:tcPr>
            <w:tcW w:type="dxa" w:w="1136"/>
          </w:tcPr>
          <w:p>
            <w:r>
              <w:rPr>
                <w:sz w:val="17"/>
              </w:rPr>
            </w:r>
            <w:r>
              <w:rPr>
                <w:sz w:val="17"/>
              </w:rPr>
              <w:t>Economic ×2 liquidated</w:t>
            </w:r>
          </w:p>
        </w:tc>
        <w:tc>
          <w:tcPr>
            <w:tcW w:type="dxa" w:w="1136"/>
          </w:tcPr>
          <w:p>
            <w:r>
              <w:rPr>
                <w:sz w:val="17"/>
              </w:rPr>
            </w:r>
            <w:r>
              <w:rPr>
                <w:sz w:val="17"/>
              </w:rPr>
              <w:t>YES — mandatory*</w:t>
            </w:r>
          </w:p>
        </w:tc>
        <w:tc>
          <w:tcPr>
            <w:tcW w:type="dxa" w:w="1136"/>
          </w:tcPr>
          <w:p>
            <w:r>
              <w:rPr>
                <w:sz w:val="17"/>
              </w:rPr>
            </w:r>
            <w:r>
              <w:rPr>
                <w:b/>
                <w:sz w:val="17"/>
              </w:rPr>
              <w:t>A−</w:t>
            </w:r>
            <w:r>
              <w:rPr>
                <w:sz w:val="17"/>
              </w:rPr>
              <w:t xml:space="preserve"> (timeliness-gated)</w:t>
            </w:r>
          </w:p>
        </w:tc>
        <w:tc>
          <w:tcPr>
            <w:tcW w:type="dxa" w:w="1136"/>
          </w:tcPr>
          <w:p>
            <w:r>
              <w:rPr>
                <w:sz w:val="17"/>
              </w:rPr>
            </w:r>
          </w:p>
        </w:tc>
      </w:tr>
      <w:tr>
        <w:tc>
          <w:tcPr>
            <w:tcW w:type="dxa" w:w="1136"/>
          </w:tcPr>
          <w:p>
            <w:r>
              <w:rPr>
                <w:sz w:val="17"/>
              </w:rPr>
            </w:r>
            <w:r>
              <w:rPr>
                <w:sz w:val="17"/>
              </w:rPr>
              <w:t>6</w:t>
            </w:r>
          </w:p>
        </w:tc>
        <w:tc>
          <w:tcPr>
            <w:tcW w:type="dxa" w:w="1136"/>
          </w:tcPr>
          <w:p>
            <w:r>
              <w:rPr>
                <w:sz w:val="17"/>
              </w:rPr>
            </w:r>
            <w:r>
              <w:rPr>
                <w:sz w:val="17"/>
              </w:rPr>
              <w:t>NYSHRL (nat'l origin + disability) ± Rehab Act</w:t>
            </w:r>
          </w:p>
        </w:tc>
        <w:tc>
          <w:tcPr>
            <w:tcW w:type="dxa" w:w="1136"/>
          </w:tcPr>
          <w:p>
            <w:r>
              <w:rPr>
                <w:sz w:val="17"/>
              </w:rPr>
            </w:r>
            <w:r>
              <w:rPr>
                <w:sz w:val="17"/>
              </w:rPr>
              <w:t>Amend</w:t>
            </w:r>
          </w:p>
        </w:tc>
        <w:tc>
          <w:tcPr>
            <w:tcW w:type="dxa" w:w="1136"/>
          </w:tcPr>
          <w:p>
            <w:r>
              <w:rPr>
                <w:sz w:val="17"/>
              </w:rPr>
            </w:r>
            <w:r>
              <w:rPr>
                <w:sz w:val="17"/>
              </w:rPr>
              <w:t>55–70%</w:t>
            </w:r>
          </w:p>
        </w:tc>
        <w:tc>
          <w:tcPr>
            <w:tcW w:type="dxa" w:w="1136"/>
          </w:tcPr>
          <w:p>
            <w:r>
              <w:rPr>
                <w:sz w:val="17"/>
              </w:rPr>
            </w:r>
            <w:r>
              <w:rPr>
                <w:sz w:val="17"/>
              </w:rPr>
              <w:t>40–55%</w:t>
            </w:r>
          </w:p>
        </w:tc>
        <w:tc>
          <w:tcPr>
            <w:tcW w:type="dxa" w:w="1136"/>
          </w:tcPr>
          <w:p>
            <w:r>
              <w:rPr>
                <w:sz w:val="17"/>
              </w:rPr>
            </w:r>
            <w:r>
              <w:rPr>
                <w:b/>
                <w:sz w:val="17"/>
              </w:rPr>
              <w:t>Uncapped distress + punitives</w:t>
            </w:r>
            <w:r>
              <w:rPr>
                <w:sz w:val="17"/>
              </w:rPr>
              <w:t xml:space="preserve"> (</w:t>
            </w:r>
            <w:r>
              <w:rPr>
                <w:i/>
                <w:sz w:val="17"/>
              </w:rPr>
              <w:t>Chauca</w:t>
            </w:r>
            <w:r>
              <w:rPr>
                <w:sz w:val="17"/>
              </w:rPr>
              <w:t xml:space="preserve"> CL 7170278)</w:t>
            </w:r>
          </w:p>
        </w:tc>
        <w:tc>
          <w:tcPr>
            <w:tcW w:type="dxa" w:w="1136"/>
          </w:tcPr>
          <w:p>
            <w:r>
              <w:rPr>
                <w:sz w:val="17"/>
              </w:rPr>
            </w:r>
            <w:r>
              <w:rPr>
                <w:sz w:val="17"/>
              </w:rPr>
              <w:t>YES — asymmetric*</w:t>
            </w:r>
          </w:p>
        </w:tc>
        <w:tc>
          <w:tcPr>
            <w:tcW w:type="dxa" w:w="1136"/>
          </w:tcPr>
          <w:p>
            <w:r>
              <w:rPr>
                <w:sz w:val="17"/>
              </w:rPr>
            </w:r>
            <w:r>
              <w:rPr>
                <w:b/>
                <w:sz w:val="17"/>
              </w:rPr>
              <w:t>A−</w:t>
            </w:r>
          </w:p>
        </w:tc>
        <w:tc>
          <w:tcPr>
            <w:tcW w:type="dxa" w:w="1136"/>
          </w:tcPr>
          <w:p>
            <w:r>
              <w:rPr>
                <w:sz w:val="17"/>
              </w:rPr>
            </w:r>
          </w:p>
        </w:tc>
      </w:tr>
      <w:tr>
        <w:tc>
          <w:tcPr>
            <w:tcW w:type="dxa" w:w="1136"/>
          </w:tcPr>
          <w:p>
            <w:r>
              <w:rPr>
                <w:sz w:val="17"/>
              </w:rPr>
            </w:r>
            <w:r>
              <w:rPr>
                <w:sz w:val="17"/>
              </w:rPr>
              <w:t>7</w:t>
            </w:r>
          </w:p>
        </w:tc>
        <w:tc>
          <w:tcPr>
            <w:tcW w:type="dxa" w:w="1136"/>
          </w:tcPr>
          <w:p>
            <w:r>
              <w:rPr>
                <w:sz w:val="17"/>
              </w:rPr>
            </w:r>
            <w:r>
              <w:rPr>
                <w:sz w:val="17"/>
              </w:rPr>
              <w:t>Malicious prosecution — NY tort rail</w:t>
            </w:r>
          </w:p>
        </w:tc>
        <w:tc>
          <w:tcPr>
            <w:tcW w:type="dxa" w:w="1136"/>
          </w:tcPr>
          <w:p>
            <w:r>
              <w:rPr>
                <w:sz w:val="17"/>
              </w:rPr>
            </w:r>
            <w:r>
              <w:rPr>
                <w:b/>
                <w:sz w:val="17"/>
              </w:rPr>
              <w:t>Amend by ~Sept 2026</w:t>
            </w:r>
          </w:p>
        </w:tc>
        <w:tc>
          <w:tcPr>
            <w:tcW w:type="dxa" w:w="1136"/>
          </w:tcPr>
          <w:p>
            <w:r>
              <w:rPr>
                <w:sz w:val="17"/>
              </w:rPr>
            </w:r>
            <w:r>
              <w:rPr>
                <w:sz w:val="17"/>
              </w:rPr>
              <w:t>45–60%</w:t>
            </w:r>
          </w:p>
        </w:tc>
        <w:tc>
          <w:tcPr>
            <w:tcW w:type="dxa" w:w="1136"/>
          </w:tcPr>
          <w:p>
            <w:r>
              <w:rPr>
                <w:sz w:val="17"/>
              </w:rPr>
            </w:r>
            <w:r>
              <w:rPr>
                <w:sz w:val="17"/>
              </w:rPr>
              <w:t>30–45%</w:t>
            </w:r>
          </w:p>
        </w:tc>
        <w:tc>
          <w:tcPr>
            <w:tcW w:type="dxa" w:w="1136"/>
          </w:tcPr>
          <w:p>
            <w:r>
              <w:rPr>
                <w:sz w:val="17"/>
              </w:rPr>
            </w:r>
            <w:r>
              <w:rPr>
                <w:sz w:val="17"/>
              </w:rPr>
              <w:t>Distress + special damages + punitives</w:t>
            </w:r>
          </w:p>
        </w:tc>
        <w:tc>
          <w:tcPr>
            <w:tcW w:type="dxa" w:w="1136"/>
          </w:tcPr>
          <w:p>
            <w:r>
              <w:rPr>
                <w:sz w:val="17"/>
              </w:rPr>
            </w:r>
            <w:r>
              <w:rPr>
                <w:sz w:val="17"/>
              </w:rPr>
              <w:t>No</w:t>
            </w:r>
          </w:p>
        </w:tc>
        <w:tc>
          <w:tcPr>
            <w:tcW w:type="dxa" w:w="1136"/>
          </w:tcPr>
          <w:p>
            <w:r>
              <w:rPr>
                <w:sz w:val="17"/>
              </w:rPr>
            </w:r>
            <w:r>
              <w:rPr>
                <w:sz w:val="17"/>
              </w:rPr>
              <w:t>B+ (deadline-critical)</w:t>
            </w:r>
          </w:p>
        </w:tc>
        <w:tc>
          <w:tcPr>
            <w:tcW w:type="dxa" w:w="1136"/>
          </w:tcPr>
          <w:p>
            <w:r>
              <w:rPr>
                <w:sz w:val="17"/>
              </w:rPr>
            </w:r>
          </w:p>
        </w:tc>
      </w:tr>
      <w:tr>
        <w:tc>
          <w:tcPr>
            <w:tcW w:type="dxa" w:w="1136"/>
          </w:tcPr>
          <w:p>
            <w:r>
              <w:rPr>
                <w:sz w:val="17"/>
              </w:rPr>
            </w:r>
            <w:r>
              <w:rPr>
                <w:sz w:val="17"/>
              </w:rPr>
              <w:t>8</w:t>
            </w:r>
          </w:p>
        </w:tc>
        <w:tc>
          <w:tcPr>
            <w:tcW w:type="dxa" w:w="1136"/>
          </w:tcPr>
          <w:p>
            <w:r>
              <w:rPr>
                <w:sz w:val="17"/>
              </w:rPr>
            </w:r>
            <w:r>
              <w:rPr>
                <w:sz w:val="17"/>
              </w:rPr>
              <w:t>Malicious prosecution — §1983 rail</w:t>
            </w:r>
          </w:p>
        </w:tc>
        <w:tc>
          <w:tcPr>
            <w:tcW w:type="dxa" w:w="1136"/>
          </w:tcPr>
          <w:p>
            <w:r>
              <w:rPr>
                <w:sz w:val="17"/>
              </w:rPr>
            </w:r>
            <w:r>
              <w:rPr>
                <w:sz w:val="17"/>
              </w:rPr>
              <w:t>Amend</w:t>
            </w:r>
          </w:p>
        </w:tc>
        <w:tc>
          <w:tcPr>
            <w:tcW w:type="dxa" w:w="1136"/>
          </w:tcPr>
          <w:p>
            <w:r>
              <w:rPr>
                <w:sz w:val="17"/>
              </w:rPr>
            </w:r>
            <w:r>
              <w:rPr>
                <w:sz w:val="17"/>
              </w:rPr>
              <w:t>35–50%</w:t>
            </w:r>
          </w:p>
        </w:tc>
        <w:tc>
          <w:tcPr>
            <w:tcW w:type="dxa" w:w="1136"/>
          </w:tcPr>
          <w:p>
            <w:r>
              <w:rPr>
                <w:sz w:val="17"/>
              </w:rPr>
            </w:r>
            <w:r>
              <w:rPr>
                <w:sz w:val="17"/>
              </w:rPr>
              <w:t>25–40%</w:t>
            </w:r>
          </w:p>
        </w:tc>
        <w:tc>
          <w:tcPr>
            <w:tcW w:type="dxa" w:w="1136"/>
          </w:tcPr>
          <w:p>
            <w:r>
              <w:rPr>
                <w:sz w:val="17"/>
              </w:rPr>
            </w:r>
            <w:r>
              <w:rPr>
                <w:sz w:val="17"/>
              </w:rPr>
              <w:t>Constitutional-tort damages</w:t>
            </w:r>
          </w:p>
        </w:tc>
        <w:tc>
          <w:tcPr>
            <w:tcW w:type="dxa" w:w="1136"/>
          </w:tcPr>
          <w:p>
            <w:r>
              <w:rPr>
                <w:sz w:val="17"/>
              </w:rPr>
            </w:r>
            <w:r>
              <w:rPr>
                <w:sz w:val="17"/>
              </w:rPr>
              <w:t>YES §1988(b)*</w:t>
            </w:r>
          </w:p>
        </w:tc>
        <w:tc>
          <w:tcPr>
            <w:tcW w:type="dxa" w:w="1136"/>
          </w:tcPr>
          <w:p>
            <w:r>
              <w:rPr>
                <w:sz w:val="17"/>
              </w:rPr>
            </w:r>
            <w:r>
              <w:rPr>
                <w:sz w:val="17"/>
              </w:rPr>
              <w:t>B−</w:t>
            </w:r>
          </w:p>
        </w:tc>
        <w:tc>
          <w:tcPr>
            <w:tcW w:type="dxa" w:w="1136"/>
          </w:tcPr>
          <w:p>
            <w:r>
              <w:rPr>
                <w:sz w:val="17"/>
              </w:rPr>
            </w:r>
          </w:p>
        </w:tc>
      </w:tr>
    </w:tbl>
    <w:p/>
    <w:p>
      <w:r>
        <w:rPr>
          <w:i/>
        </w:rPr>
        <w:t>\</w:t>
      </w:r>
      <w:r>
        <w:t>Fee statutes are official-source text, [unverified — confirm with counsel].*</w:t>
      </w:r>
    </w:p>
    <w:p>
      <w:r>
        <w:rPr>
          <w:b/>
        </w:rPr>
        <w:t>Composite:</w:t>
      </w:r>
      <w:r>
        <w:t xml:space="preserve"> P(at least one significant claim survives to trial-ready posture) ≈ </w:t>
      </w:r>
      <w:r>
        <w:rPr>
          <w:b/>
        </w:rPr>
        <w:t>80–90%</w:t>
      </w:r>
      <w:r>
        <w:t xml:space="preserve"> — independent legal theories on one strong factual spine. That composite plus monthly fee-shifting accrual is what prices the November mediation. </w:t>
      </w:r>
      <w:r>
        <w:rPr>
          <w:b/>
        </w:rPr>
        <w:t>Known fault line moving several bands at once:</w:t>
      </w:r>
      <w:r>
        <w:t xml:space="preserve"> the unresolved </w:t>
      </w:r>
      <w:r>
        <w:rPr>
          <w:b/>
        </w:rPr>
        <w:t>2022-vs-2024 operative-year discrepancy</w:t>
      </w:r>
      <w:r>
        <w:t xml:space="preserve"> (flips FMLA/NYSHRL timeliness) — Update Trigger #1.</w:t>
      </w:r>
    </w:p>
    <w:p>
      <w:r>
        <w:rPr>
          <w:color w:val="C9D2E4"/>
        </w:rPr>
        <w:t>————————————————————————————————————————</w:t>
      </w:r>
    </w:p>
    <w:p>
      <w:pPr>
        <w:pStyle w:val="Heading2"/>
      </w:pPr>
      <w:r>
        <w:rPr>
          <w:color w:val="21315E"/>
        </w:rPr>
        <w:t xml:space="preserve">4. Damages Ladder (from </w:t>
      </w:r>
      <w:r>
        <w:rPr>
          <w:rFonts w:ascii="Consolas" w:hAnsi="Consolas"/>
          <w:color w:val="21315E"/>
          <w:sz w:val="18"/>
        </w:rPr>
        <w:t>damages-architecture.md</w:t>
      </w:r>
      <w:r>
        <w:rPr>
          <w:color w:val="21315E"/>
        </w:rPr>
        <w:t xml:space="preserve">; machine canon </w:t>
      </w:r>
      <w:r>
        <w:rPr>
          <w:rFonts w:ascii="Consolas" w:hAnsi="Consolas"/>
          <w:color w:val="21315E"/>
          <w:sz w:val="18"/>
        </w:rPr>
        <w:t>damages_model.json</w:t>
      </w:r>
      <w:r>
        <w:rPr>
          <w:color w:val="21315E"/>
        </w:rPr>
        <w:t>)</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Tier</w:t>
            </w:r>
          </w:p>
        </w:tc>
        <w:tc>
          <w:tcPr>
            <w:tcW w:type="dxa" w:w="2556"/>
          </w:tcPr>
          <w:p>
            <w:r>
              <w:rPr>
                <w:b/>
                <w:sz w:val="17"/>
              </w:rPr>
            </w:r>
            <w:r>
              <w:rPr>
                <w:b/>
                <w:sz w:val="17"/>
              </w:rPr>
              <w:t>Range</w:t>
            </w:r>
          </w:p>
        </w:tc>
        <w:tc>
          <w:tcPr>
            <w:tcW w:type="dxa" w:w="2556"/>
          </w:tcPr>
          <w:p>
            <w:r>
              <w:rPr>
                <w:b/>
                <w:sz w:val="17"/>
              </w:rPr>
            </w:r>
            <w:r>
              <w:rPr>
                <w:b/>
                <w:sz w:val="17"/>
              </w:rPr>
              <w:t>Character</w:t>
            </w:r>
          </w:p>
        </w:tc>
        <w:tc>
          <w:tcPr>
            <w:tcW w:type="dxa" w:w="2556"/>
          </w:tcPr>
          <w:p>
            <w:r>
              <w:rPr>
                <w:b/>
                <w:sz w:val="17"/>
              </w:rPr>
            </w:r>
            <w:r>
              <w:rPr>
                <w:b/>
                <w:sz w:val="17"/>
              </w:rPr>
              <w:t>Key components (label)</w:t>
            </w:r>
          </w:p>
        </w:tc>
      </w:tr>
      <w:tr>
        <w:tc>
          <w:tcPr>
            <w:tcW w:type="dxa" w:w="2556"/>
          </w:tcPr>
          <w:p>
            <w:r>
              <w:rPr>
                <w:sz w:val="17"/>
              </w:rPr>
            </w:r>
            <w:r>
              <w:rPr>
                <w:b/>
                <w:sz w:val="17"/>
              </w:rPr>
              <w:t>1 — Documented core</w:t>
            </w:r>
          </w:p>
        </w:tc>
        <w:tc>
          <w:tcPr>
            <w:tcW w:type="dxa" w:w="2556"/>
          </w:tcPr>
          <w:p>
            <w:r>
              <w:rPr>
                <w:sz w:val="17"/>
              </w:rPr>
            </w:r>
            <w:r>
              <w:rPr>
                <w:b/>
                <w:sz w:val="17"/>
              </w:rPr>
              <w:t>$1.22M–$1.60M</w:t>
            </w:r>
          </w:p>
        </w:tc>
        <w:tc>
          <w:tcPr>
            <w:tcW w:type="dxa" w:w="2556"/>
          </w:tcPr>
          <w:p>
            <w:r>
              <w:rPr>
                <w:sz w:val="17"/>
              </w:rPr>
            </w:r>
            <w:r>
              <w:rPr>
                <w:sz w:val="17"/>
              </w:rPr>
              <w:t>Floor / BATNA (with non-monetary must-haves)</w:t>
            </w:r>
          </w:p>
        </w:tc>
        <w:tc>
          <w:tcPr>
            <w:tcW w:type="dxa" w:w="2556"/>
          </w:tcPr>
          <w:p>
            <w:r>
              <w:rPr>
                <w:sz w:val="17"/>
              </w:rPr>
            </w:r>
            <w:r>
              <w:rPr>
                <w:sz w:val="17"/>
              </w:rPr>
              <w:t>FL contract $1.05M–$1.12M (</w:t>
            </w:r>
            <w:r>
              <w:rPr>
                <w:b/>
                <w:sz w:val="17"/>
              </w:rPr>
              <w:t>DOCUMENTED-PENDING/ASSERTED</w:t>
            </w:r>
            <w:r>
              <w:rPr>
                <w:sz w:val="17"/>
              </w:rPr>
              <w:t xml:space="preserve"> — Flag 4); medical bills $40K + Cornell $13K + car $44K + civil legal $35K (</w:t>
            </w:r>
            <w:r>
              <w:rPr>
                <w:b/>
                <w:sz w:val="17"/>
              </w:rPr>
              <w:t>DOCUMENTED</w:t>
            </w:r>
            <w:r>
              <w:rPr>
                <w:sz w:val="17"/>
              </w:rPr>
              <w:t>); travel $40K, meds ≤$180K, ICD-gap ≤$50K, mother's salary ≤$71K, board fee ≤$2.5K (</w:t>
            </w:r>
            <w:r>
              <w:rPr>
                <w:b/>
                <w:sz w:val="17"/>
              </w:rPr>
              <w:t>ESTIMABLE</w:t>
            </w:r>
            <w:r>
              <w:rPr>
                <w:sz w:val="17"/>
              </w:rPr>
              <w:t>)</w:t>
            </w:r>
          </w:p>
        </w:tc>
      </w:tr>
      <w:tr>
        <w:tc>
          <w:tcPr>
            <w:tcW w:type="dxa" w:w="2556"/>
          </w:tcPr>
          <w:p>
            <w:r>
              <w:rPr>
                <w:sz w:val="17"/>
              </w:rPr>
            </w:r>
            <w:r>
              <w:rPr>
                <w:b/>
                <w:sz w:val="17"/>
              </w:rPr>
              <w:t>2 — Realistic trial range</w:t>
            </w:r>
          </w:p>
        </w:tc>
        <w:tc>
          <w:tcPr>
            <w:tcW w:type="dxa" w:w="2556"/>
          </w:tcPr>
          <w:p>
            <w:r>
              <w:rPr>
                <w:sz w:val="17"/>
              </w:rPr>
            </w:r>
            <w:r>
              <w:rPr>
                <w:b/>
                <w:sz w:val="17"/>
              </w:rPr>
              <w:t>$4.34M–$16.57M</w:t>
            </w:r>
          </w:p>
        </w:tc>
        <w:tc>
          <w:tcPr>
            <w:tcW w:type="dxa" w:w="2556"/>
          </w:tcPr>
          <w:p>
            <w:r>
              <w:rPr>
                <w:sz w:val="17"/>
              </w:rPr>
            </w:r>
            <w:r>
              <w:rPr>
                <w:sz w:val="17"/>
              </w:rPr>
              <w:t>Where the mediator prices; verified-law arithmetic</w:t>
            </w:r>
          </w:p>
        </w:tc>
        <w:tc>
          <w:tcPr>
            <w:tcW w:type="dxa" w:w="2556"/>
          </w:tcPr>
          <w:p>
            <w:r>
              <w:rPr>
                <w:sz w:val="17"/>
              </w:rPr>
            </w:r>
            <w:r>
              <w:rPr>
                <w:sz w:val="17"/>
              </w:rPr>
              <w:t xml:space="preserve">Back pay $1.12M–$1.47M (ESTIMABLE); front pay $700K–$3.5M (ESTIMABLE — </w:t>
            </w:r>
            <w:r>
              <w:rPr>
                <w:b/>
                <w:sz w:val="17"/>
              </w:rPr>
              <w:t>expert required</w:t>
            </w:r>
            <w:r>
              <w:rPr>
                <w:sz w:val="17"/>
              </w:rPr>
              <w:t xml:space="preserve">, </w:t>
            </w:r>
            <w:r>
              <w:rPr>
                <w:i/>
                <w:sz w:val="17"/>
              </w:rPr>
              <w:t>Tarpley</w:t>
            </w:r>
            <w:r>
              <w:rPr>
                <w:sz w:val="17"/>
              </w:rPr>
              <w:t xml:space="preserve"> CL 4680173 zeroes undocumented claims); consequentials $172K–$475.5K (MIXED); distress $100K–$1.25M </w:t>
            </w:r>
            <w:r>
              <w:rPr>
                <w:b/>
                <w:sz w:val="17"/>
              </w:rPr>
              <w:t>NYSHRL/NY-torts only</w:t>
            </w:r>
            <w:r>
              <w:rPr>
                <w:sz w:val="17"/>
              </w:rPr>
              <w:t xml:space="preserve"> (ESTIMABLE — psych corroboration required); FMLA doubling $0–$1.12M (ESTIMABLE — conditional); punitives $2M–$8M at ~1:1–2:1 (</w:t>
            </w:r>
            <w:r>
              <w:rPr>
                <w:i/>
                <w:sz w:val="17"/>
              </w:rPr>
              <w:t>State Farm</w:t>
            </w:r>
            <w:r>
              <w:rPr>
                <w:sz w:val="17"/>
              </w:rPr>
              <w:t xml:space="preserve"> CL 127910; </w:t>
            </w:r>
            <w:r>
              <w:rPr>
                <w:i/>
                <w:sz w:val="17"/>
              </w:rPr>
              <w:t>Turley</w:t>
            </w:r>
            <w:r>
              <w:rPr>
                <w:sz w:val="17"/>
              </w:rPr>
              <w:t xml:space="preserve"> CL 8442054) (ESTIMABLE — conditional; disclose the punitive-base assumption); fees $250K–$750K (ESTIMABLE)</w:t>
            </w:r>
          </w:p>
        </w:tc>
      </w:tr>
      <w:tr>
        <w:tc>
          <w:tcPr>
            <w:tcW w:type="dxa" w:w="2556"/>
          </w:tcPr>
          <w:p>
            <w:r>
              <w:rPr>
                <w:sz w:val="17"/>
              </w:rPr>
            </w:r>
            <w:r>
              <w:rPr>
                <w:b/>
                <w:sz w:val="17"/>
              </w:rPr>
              <w:t>3 — Exposure ceiling</w:t>
            </w:r>
          </w:p>
        </w:tc>
        <w:tc>
          <w:tcPr>
            <w:tcW w:type="dxa" w:w="2556"/>
          </w:tcPr>
          <w:p>
            <w:r>
              <w:rPr>
                <w:sz w:val="17"/>
              </w:rPr>
            </w:r>
            <w:r>
              <w:rPr>
                <w:b/>
                <w:sz w:val="17"/>
              </w:rPr>
              <w:t>~$100M</w:t>
            </w:r>
          </w:p>
        </w:tc>
        <w:tc>
          <w:tcPr>
            <w:tcW w:type="dxa" w:w="2556"/>
          </w:tcPr>
          <w:p>
            <w:r>
              <w:rPr>
                <w:sz w:val="17"/>
              </w:rPr>
            </w:r>
            <w:r>
              <w:rPr>
                <w:b/>
                <w:sz w:val="17"/>
              </w:rPr>
              <w:t>ASSERTED / NEGOTIATION POSTURE</w:t>
            </w:r>
            <w:r>
              <w:rPr>
                <w:sz w:val="17"/>
              </w:rPr>
              <w:t xml:space="preserve"> — runaway-jury construction; all seven listed assumptions must break plaintiff's way; never a valuation</w:t>
            </w:r>
          </w:p>
        </w:tc>
        <w:tc>
          <w:tcPr>
            <w:tcW w:type="dxa" w:w="2556"/>
          </w:tcPr>
          <w:p>
            <w:r>
              <w:rPr>
                <w:sz w:val="17"/>
              </w:rPr>
            </w:r>
            <w:r>
              <w:rPr>
                <w:sz w:val="17"/>
              </w:rPr>
              <w:t>Lifetime earnings $10M (ASSERTED) + distress $2M (ASSERTED) + consequentials $0.5M → $12.5M × 7:1 (</w:t>
            </w:r>
            <w:r>
              <w:rPr>
                <w:i/>
                <w:sz w:val="17"/>
              </w:rPr>
              <w:t>Zhang</w:t>
            </w:r>
            <w:r>
              <w:rPr>
                <w:sz w:val="17"/>
              </w:rPr>
              <w:t xml:space="preserve"> CL 783131 — 9th Cir., persuasive only) + fees</w:t>
            </w:r>
          </w:p>
        </w:tc>
      </w:tr>
    </w:tbl>
    <w:p/>
    <w:p>
      <w:r>
        <w:rPr>
          <w:b/>
        </w:rPr>
        <w:t>Anti-double-count rule:</w:t>
      </w:r>
      <w:r>
        <w:t xml:space="preserve"> the ~$1M living expenses and ~$300K/yr paternal loans ($223.8K already DOCUMENTED via 38 hash-chained wires) are the </w:t>
      </w:r>
      <w:r>
        <w:rPr>
          <w:i/>
        </w:rPr>
        <w:t>same dollars</w:t>
      </w:r>
      <w:r>
        <w:t xml:space="preserve"> as the lost-income gap — corroboration, never addition. </w:t>
      </w:r>
      <w:r>
        <w:rPr>
          <w:b/>
        </w:rPr>
        <w:t>Remedies channeling:</w:t>
      </w:r>
      <w:r>
        <w:t xml:space="preserve"> no distress or punitives under Title VI/FMLA (</w:t>
      </w:r>
      <w:r>
        <w:rPr>
          <w:i/>
        </w:rPr>
        <w:t>Cummings</w:t>
      </w:r>
      <w:r>
        <w:t>/</w:t>
      </w:r>
      <w:r>
        <w:rPr>
          <w:i/>
        </w:rPr>
        <w:t>Barnes</w:t>
      </w:r>
      <w:r>
        <w:t xml:space="preserve">); route both through NYSHRL + NY torts. </w:t>
      </w:r>
      <w:r>
        <w:rPr>
          <w:b/>
        </w:rPr>
        <w:t>Non-monetary must-haves (non-negotiable at any price):</w:t>
      </w:r>
      <w:r>
        <w:t xml:space="preserve"> record correction/expungement; board-safe verification letters; USCIS-usable stipulation; neutral-reference protocol; institutional-change component.</w:t>
      </w:r>
    </w:p>
    <w:p>
      <w:r>
        <w:rPr>
          <w:color w:val="C9D2E4"/>
        </w:rPr>
        <w:t>————————————————————————————————————————</w:t>
      </w:r>
    </w:p>
    <w:p>
      <w:pPr>
        <w:pStyle w:val="Heading2"/>
      </w:pPr>
      <w:r>
        <w:rPr>
          <w:color w:val="21315E"/>
        </w:rPr>
        <w:t xml:space="preserve">5. Pressure Points — One Row per Defendant (from </w:t>
      </w:r>
      <w:r>
        <w:rPr>
          <w:rFonts w:ascii="Consolas" w:hAnsi="Consolas"/>
          <w:color w:val="21315E"/>
          <w:sz w:val="18"/>
        </w:rPr>
        <w:t>pressure-point-map.md</w:t>
      </w:r>
      <w:r>
        <w:rPr>
          <w:color w:val="21315E"/>
        </w:rPr>
        <w:t>)</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rPr>
                <w:b/>
                <w:sz w:val="17"/>
              </w:rPr>
            </w:r>
            <w:r>
              <w:rPr>
                <w:b/>
                <w:sz w:val="17"/>
              </w:rPr>
              <w:t>Defendant</w:t>
            </w:r>
          </w:p>
        </w:tc>
        <w:tc>
          <w:tcPr>
            <w:tcW w:type="dxa" w:w="2045"/>
          </w:tcPr>
          <w:p>
            <w:r>
              <w:rPr>
                <w:b/>
                <w:sz w:val="17"/>
              </w:rPr>
            </w:r>
            <w:r>
              <w:rPr>
                <w:b/>
                <w:sz w:val="17"/>
              </w:rPr>
              <w:t>Biggest fear</w:t>
            </w:r>
          </w:p>
        </w:tc>
        <w:tc>
          <w:tcPr>
            <w:tcW w:type="dxa" w:w="2045"/>
          </w:tcPr>
          <w:p>
            <w:r>
              <w:rPr>
                <w:b/>
                <w:sz w:val="17"/>
              </w:rPr>
            </w:r>
            <w:r>
              <w:rPr>
                <w:b/>
                <w:sz w:val="17"/>
              </w:rPr>
              <w:t>Sharpest contradiction</w:t>
            </w:r>
          </w:p>
        </w:tc>
        <w:tc>
          <w:tcPr>
            <w:tcW w:type="dxa" w:w="2045"/>
          </w:tcPr>
          <w:p>
            <w:r>
              <w:rPr>
                <w:b/>
                <w:sz w:val="17"/>
              </w:rPr>
            </w:r>
            <w:r>
              <w:rPr>
                <w:b/>
                <w:sz w:val="17"/>
              </w:rPr>
              <w:t>Key instrument</w:t>
            </w:r>
          </w:p>
        </w:tc>
        <w:tc>
          <w:tcPr>
            <w:tcW w:type="dxa" w:w="2045"/>
          </w:tcPr>
          <w:p>
            <w:r>
              <w:rPr>
                <w:b/>
                <w:sz w:val="17"/>
              </w:rPr>
            </w:r>
            <w:r>
              <w:rPr>
                <w:b/>
                <w:sz w:val="17"/>
              </w:rPr>
              <w:t>Pressure</w:t>
            </w:r>
          </w:p>
        </w:tc>
      </w:tr>
      <w:tr>
        <w:tc>
          <w:tcPr>
            <w:tcW w:type="dxa" w:w="2045"/>
          </w:tcPr>
          <w:p>
            <w:r>
              <w:rPr>
                <w:sz w:val="17"/>
              </w:rPr>
            </w:r>
            <w:r>
              <w:rPr>
                <w:b/>
                <w:sz w:val="17"/>
              </w:rPr>
              <w:t>UHSH</w:t>
            </w:r>
            <w:r>
              <w:rPr>
                <w:sz w:val="17"/>
              </w:rPr>
              <w:t xml:space="preserve"> (Binghamton 501(c)(3), EIN 16-1165049 — </w:t>
            </w:r>
            <w:r>
              <w:rPr>
                <w:b/>
                <w:sz w:val="17"/>
              </w:rPr>
              <w:t>not</w:t>
            </w:r>
            <w:r>
              <w:rPr>
                <w:sz w:val="17"/>
              </w:rPr>
              <w:t xml:space="preserve"> Universal Health Services, </w:t>
            </w:r>
            <w:r>
              <w:rPr>
                <w:b/>
                <w:sz w:val="17"/>
              </w:rPr>
              <w:t>not</w:t>
            </w:r>
            <w:r>
              <w:rPr>
                <w:sz w:val="17"/>
              </w:rPr>
              <w:t xml:space="preserve"> UnitedHealth Group)</w:t>
            </w:r>
          </w:p>
        </w:tc>
        <w:tc>
          <w:tcPr>
            <w:tcW w:type="dxa" w:w="2045"/>
          </w:tcPr>
          <w:p>
            <w:r>
              <w:rPr>
                <w:sz w:val="17"/>
              </w:rPr>
            </w:r>
            <w:r>
              <w:rPr>
                <w:sz w:val="17"/>
              </w:rPr>
              <w:t>Corporate-legal fingerprints on the April 14 leave + 24-hr reversal; pattern/Title VI regulatory echo; spoliation (never-produced ANSCO CCTV); fee clock</w:t>
            </w:r>
          </w:p>
        </w:tc>
        <w:tc>
          <w:tcPr>
            <w:tcW w:type="dxa" w:w="2045"/>
          </w:tcPr>
          <w:p>
            <w:r>
              <w:rPr>
                <w:sz w:val="17"/>
              </w:rPr>
            </w:r>
            <w:r>
              <w:rPr>
                <w:b/>
                <w:sz w:val="17"/>
              </w:rPr>
              <w:t>AF 6 vs. AF 8</w:t>
            </w:r>
            <w:r>
              <w:rPr>
                <w:sz w:val="17"/>
              </w:rPr>
              <w:t xml:space="preserve">: "legitimate business decisions" </w:t>
            </w:r>
            <w:r>
              <w:rPr>
                <w:i/>
                <w:sz w:val="17"/>
              </w:rPr>
              <w:t>and</w:t>
            </w:r>
            <w:r>
              <w:rPr>
                <w:sz w:val="17"/>
              </w:rPr>
              <w:t xml:space="preserve"> "outside scope, not authorized" — both cannot be true of the same acts</w:t>
            </w:r>
          </w:p>
        </w:tc>
        <w:tc>
          <w:tcPr>
            <w:tcW w:type="dxa" w:w="2045"/>
          </w:tcPr>
          <w:p>
            <w:r>
              <w:rPr>
                <w:sz w:val="17"/>
              </w:rPr>
            </w:r>
            <w:r>
              <w:rPr>
                <w:sz w:val="17"/>
              </w:rPr>
              <w:t>Contention interrogatories + 30(b)(6); complete academic record vs. DA-produced set; UHS–Guthrie legal-team communications</w:t>
            </w:r>
          </w:p>
        </w:tc>
        <w:tc>
          <w:tcPr>
            <w:tcW w:type="dxa" w:w="2045"/>
          </w:tcPr>
          <w:p>
            <w:r>
              <w:rPr>
                <w:sz w:val="17"/>
              </w:rPr>
            </w:r>
            <w:r>
              <w:rPr>
                <w:b/>
                <w:sz w:val="17"/>
              </w:rPr>
              <w:t>9/10</w:t>
            </w:r>
          </w:p>
        </w:tc>
      </w:tr>
      <w:tr>
        <w:tc>
          <w:tcPr>
            <w:tcW w:type="dxa" w:w="2045"/>
          </w:tcPr>
          <w:p>
            <w:r>
              <w:rPr>
                <w:sz w:val="17"/>
              </w:rPr>
            </w:r>
            <w:r>
              <w:rPr>
                <w:b/>
                <w:sz w:val="17"/>
              </w:rPr>
              <w:t>Dr. Ahmed</w:t>
            </w:r>
            <w:r>
              <w:rPr>
                <w:sz w:val="17"/>
              </w:rPr>
              <w:t xml:space="preserve"> (separate counsel — Hancock Estabrook)</w:t>
            </w:r>
          </w:p>
        </w:tc>
        <w:tc>
          <w:tcPr>
            <w:tcW w:type="dxa" w:w="2045"/>
          </w:tcPr>
          <w:p>
            <w:r>
              <w:rPr>
                <w:sz w:val="17"/>
              </w:rPr>
            </w:r>
            <w:r>
              <w:rPr>
                <w:sz w:val="17"/>
              </w:rPr>
              <w:t>Fired over the client's HR complaint (ASSERTED — personnel file demanded); AF 8 pre-abandonment; uninsurable personal punitive exposure</w:t>
            </w:r>
          </w:p>
        </w:tc>
        <w:tc>
          <w:tcPr>
            <w:tcW w:type="dxa" w:w="2045"/>
          </w:tcPr>
          <w:p>
            <w:r>
              <w:rPr>
                <w:sz w:val="17"/>
              </w:rPr>
            </w:r>
            <w:r>
              <w:rPr>
                <w:sz w:val="17"/>
              </w:rPr>
              <w:t>Denies "authority over Plaintiff" — falsifiable by rotation schedules (DOCUMENTED), evaluations he signed, the zero-patients week</w:t>
            </w:r>
          </w:p>
        </w:tc>
        <w:tc>
          <w:tcPr>
            <w:tcW w:type="dxa" w:w="2045"/>
          </w:tcPr>
          <w:p>
            <w:r>
              <w:rPr>
                <w:sz w:val="17"/>
              </w:rPr>
            </w:r>
            <w:r>
              <w:rPr>
                <w:sz w:val="17"/>
              </w:rPr>
              <w:t>Divergence play: ask UHSH about his authority, ask him about program decisions</w:t>
            </w:r>
          </w:p>
        </w:tc>
        <w:tc>
          <w:tcPr>
            <w:tcW w:type="dxa" w:w="2045"/>
          </w:tcPr>
          <w:p>
            <w:r>
              <w:rPr>
                <w:sz w:val="17"/>
              </w:rPr>
            </w:r>
            <w:r>
              <w:rPr>
                <w:b/>
                <w:sz w:val="17"/>
              </w:rPr>
              <w:t>7/10</w:t>
            </w:r>
            <w:r>
              <w:rPr>
                <w:sz w:val="17"/>
              </w:rPr>
              <w:t xml:space="preserve"> — most likely early separate peace</w:t>
            </w:r>
          </w:p>
        </w:tc>
      </w:tr>
      <w:tr>
        <w:tc>
          <w:tcPr>
            <w:tcW w:type="dxa" w:w="2045"/>
          </w:tcPr>
          <w:p>
            <w:r>
              <w:rPr>
                <w:sz w:val="17"/>
              </w:rPr>
            </w:r>
            <w:r>
              <w:rPr>
                <w:b/>
                <w:sz w:val="17"/>
              </w:rPr>
              <w:t>Dr. Nadeem</w:t>
            </w:r>
          </w:p>
        </w:tc>
        <w:tc>
          <w:tcPr>
            <w:tcW w:type="dxa" w:w="2045"/>
          </w:tcPr>
          <w:p>
            <w:r>
              <w:rPr>
                <w:sz w:val="17"/>
              </w:rPr>
            </w:r>
            <w:r>
              <w:rPr>
                <w:b/>
                <w:sz w:val="17"/>
              </w:rPr>
              <w:t>His phone</w:t>
            </w:r>
            <w:r>
              <w:rPr>
                <w:sz w:val="17"/>
              </w:rPr>
              <w:t xml:space="preserve"> — constant texts with complainant and her brother; keystone of the instigation theory (</w:t>
            </w:r>
            <w:r>
              <w:rPr>
                <w:i/>
                <w:sz w:val="17"/>
              </w:rPr>
              <w:t>Broughton</w:t>
            </w:r>
            <w:r>
              <w:rPr>
                <w:sz w:val="17"/>
              </w:rPr>
              <w:t xml:space="preserve"> CL 5681499; </w:t>
            </w:r>
            <w:r>
              <w:rPr>
                <w:i/>
                <w:sz w:val="17"/>
              </w:rPr>
              <w:t>Rothstein</w:t>
            </w:r>
            <w:r>
              <w:rPr>
                <w:sz w:val="17"/>
              </w:rPr>
              <w:t xml:space="preserve"> CL 786706)</w:t>
            </w:r>
          </w:p>
        </w:tc>
        <w:tc>
          <w:tcPr>
            <w:tcW w:type="dxa" w:w="2045"/>
          </w:tcPr>
          <w:p>
            <w:r>
              <w:rPr>
                <w:sz w:val="17"/>
              </w:rPr>
            </w:r>
            <w:r>
              <w:rPr>
                <w:sz w:val="17"/>
              </w:rPr>
              <w:t>The criminal theory required UHS-internal knowledge (probation status) the complainant shouldn't have had — the only mapped channel is him</w:t>
            </w:r>
          </w:p>
        </w:tc>
        <w:tc>
          <w:tcPr>
            <w:tcW w:type="dxa" w:w="2045"/>
          </w:tcPr>
          <w:p>
            <w:r>
              <w:rPr>
                <w:sz w:val="17"/>
              </w:rPr>
            </w:r>
            <w:r>
              <w:rPr>
                <w:sz w:val="17"/>
              </w:rPr>
              <w:t>Carrier subpoena + personal spoliation letter now; depose last, net closed</w:t>
            </w:r>
          </w:p>
        </w:tc>
        <w:tc>
          <w:tcPr>
            <w:tcW w:type="dxa" w:w="2045"/>
          </w:tcPr>
          <w:p>
            <w:r>
              <w:rPr>
                <w:sz w:val="17"/>
              </w:rPr>
            </w:r>
            <w:r>
              <w:rPr>
                <w:b/>
                <w:sz w:val="17"/>
              </w:rPr>
              <w:t>7/10</w:t>
            </w:r>
            <w:r>
              <w:rPr>
                <w:sz w:val="17"/>
              </w:rPr>
              <w:t xml:space="preserve"> — settles for cooperation if texts are as described</w:t>
            </w:r>
          </w:p>
        </w:tc>
      </w:tr>
      <w:tr>
        <w:tc>
          <w:tcPr>
            <w:tcW w:type="dxa" w:w="2045"/>
          </w:tcPr>
          <w:p>
            <w:r>
              <w:rPr>
                <w:sz w:val="17"/>
              </w:rPr>
            </w:r>
            <w:r>
              <w:rPr>
                <w:b/>
                <w:sz w:val="17"/>
              </w:rPr>
              <w:t>Dr. Rehman</w:t>
            </w:r>
          </w:p>
        </w:tc>
        <w:tc>
          <w:tcPr>
            <w:tcW w:type="dxa" w:w="2045"/>
          </w:tcPr>
          <w:p>
            <w:r>
              <w:rPr>
                <w:sz w:val="17"/>
              </w:rPr>
            </w:r>
            <w:r>
              <w:rPr>
                <w:sz w:val="17"/>
              </w:rPr>
              <w:t>His own UHS-wide COI step-down email; dual role (GME head + client's electrophysiologist); alleged chart manipulation → OPMC/licensure exposure beyond this suit</w:t>
            </w:r>
          </w:p>
        </w:tc>
        <w:tc>
          <w:tcPr>
            <w:tcW w:type="dxa" w:w="2045"/>
          </w:tcPr>
          <w:p>
            <w:r>
              <w:rPr>
                <w:sz w:val="17"/>
              </w:rPr>
            </w:r>
            <w:r>
              <w:rPr>
                <w:sz w:val="17"/>
              </w:rPr>
              <w:t>Wrote the conflict-of-interest standard he's accused of breaking</w:t>
            </w:r>
          </w:p>
        </w:tc>
        <w:tc>
          <w:tcPr>
            <w:tcW w:type="dxa" w:w="2045"/>
          </w:tcPr>
          <w:p>
            <w:r>
              <w:rPr>
                <w:sz w:val="17"/>
              </w:rPr>
            </w:r>
            <w:r>
              <w:rPr>
                <w:sz w:val="17"/>
              </w:rPr>
              <w:t xml:space="preserve">EHR </w:t>
            </w:r>
            <w:r>
              <w:rPr>
                <w:b/>
                <w:sz w:val="17"/>
              </w:rPr>
              <w:t>audit trail/metadata</w:t>
            </w:r>
            <w:r>
              <w:rPr>
                <w:sz w:val="17"/>
              </w:rPr>
              <w:t xml:space="preserve"> demand; lock mother/DA-witness accounts before his deposition</w:t>
            </w:r>
          </w:p>
        </w:tc>
        <w:tc>
          <w:tcPr>
            <w:tcW w:type="dxa" w:w="2045"/>
          </w:tcPr>
          <w:p>
            <w:r>
              <w:rPr>
                <w:sz w:val="17"/>
              </w:rPr>
            </w:r>
            <w:r>
              <w:rPr>
                <w:b/>
                <w:sz w:val="17"/>
              </w:rPr>
              <w:t>8/10</w:t>
            </w:r>
            <w:r>
              <w:rPr>
                <w:sz w:val="17"/>
              </w:rPr>
              <w:t xml:space="preserve"> — most motivated for global peace pre-deposition</w:t>
            </w:r>
          </w:p>
        </w:tc>
      </w:tr>
      <w:tr>
        <w:tc>
          <w:tcPr>
            <w:tcW w:type="dxa" w:w="2045"/>
          </w:tcPr>
          <w:p>
            <w:r>
              <w:rPr>
                <w:sz w:val="17"/>
              </w:rPr>
            </w:r>
            <w:r>
              <w:rPr>
                <w:b/>
                <w:sz w:val="17"/>
              </w:rPr>
              <w:t>Dr. Ali</w:t>
            </w:r>
          </w:p>
        </w:tc>
        <w:tc>
          <w:tcPr>
            <w:tcW w:type="dxa" w:w="2045"/>
          </w:tcPr>
          <w:p>
            <w:r>
              <w:rPr>
                <w:sz w:val="17"/>
              </w:rPr>
            </w:r>
            <w:r>
              <w:rPr>
                <w:b/>
                <w:sz w:val="17"/>
              </w:rPr>
              <w:t>The probation document</w:t>
            </w:r>
            <w:r>
              <w:rPr>
                <w:sz w:val="17"/>
              </w:rPr>
              <w:t xml:space="preserve"> — unilateral signature (DOCUMENTED), alleged forgery (ASSERTED — handwriting/ESI exam pending; DA's "43 of the forgery" doc corroborates the issue was live)</w:t>
            </w:r>
          </w:p>
        </w:tc>
        <w:tc>
          <w:tcPr>
            <w:tcW w:type="dxa" w:w="2045"/>
          </w:tcPr>
          <w:p>
            <w:r>
              <w:rPr>
                <w:sz w:val="17"/>
              </w:rPr>
            </w:r>
            <w:r>
              <w:rPr>
                <w:sz w:val="17"/>
              </w:rPr>
              <w:t>Cannot be messenger (his account) + legitimate decision-maker (AF 6) + unauthorized actor (AF 8) at once; "I guess a fiancée is considered family" concedes the FMLA predicate</w:t>
            </w:r>
          </w:p>
        </w:tc>
        <w:tc>
          <w:tcPr>
            <w:tcW w:type="dxa" w:w="2045"/>
          </w:tcPr>
          <w:p>
            <w:r>
              <w:rPr>
                <w:sz w:val="17"/>
              </w:rPr>
            </w:r>
            <w:r>
              <w:rPr>
                <w:sz w:val="17"/>
              </w:rPr>
              <w:t>Native-metadata RFP for every draft; forensic signature exam; deposition pairing the slip with the FMLA file</w:t>
            </w:r>
          </w:p>
        </w:tc>
        <w:tc>
          <w:tcPr>
            <w:tcW w:type="dxa" w:w="2045"/>
          </w:tcPr>
          <w:p>
            <w:r>
              <w:rPr>
                <w:sz w:val="17"/>
              </w:rPr>
            </w:r>
            <w:r>
              <w:rPr>
                <w:b/>
                <w:sz w:val="17"/>
              </w:rPr>
              <w:t>8/10</w:t>
            </w:r>
            <w:r>
              <w:rPr>
                <w:sz w:val="17"/>
              </w:rPr>
              <w:t xml:space="preserve"> — binary forgery risk; watch for counsel substitution</w:t>
            </w:r>
          </w:p>
        </w:tc>
      </w:tr>
      <w:tr>
        <w:tc>
          <w:tcPr>
            <w:tcW w:type="dxa" w:w="2045"/>
          </w:tcPr>
          <w:p>
            <w:r>
              <w:rPr>
                <w:sz w:val="17"/>
              </w:rPr>
            </w:r>
            <w:r>
              <w:rPr>
                <w:i/>
                <w:sz w:val="17"/>
              </w:rPr>
              <w:t>Guthrie (non-party)</w:t>
            </w:r>
          </w:p>
        </w:tc>
        <w:tc>
          <w:tcPr>
            <w:tcW w:type="dxa" w:w="2045"/>
          </w:tcPr>
          <w:p>
            <w:r>
              <w:rPr>
                <w:sz w:val="17"/>
              </w:rPr>
            </w:r>
            <w:r>
              <w:rPr>
                <w:sz w:val="17"/>
              </w:rPr>
              <w:t>Witness → co-conspirator drift: their call to police, their posters, their employee-complainant, their 24-hr stop</w:t>
            </w:r>
          </w:p>
        </w:tc>
        <w:tc>
          <w:tcPr>
            <w:tcW w:type="dxa" w:w="2045"/>
          </w:tcPr>
          <w:p>
            <w:r>
              <w:rPr>
                <w:sz w:val="17"/>
              </w:rPr>
            </w:r>
            <w:r>
              <w:rPr>
                <w:sz w:val="17"/>
              </w:rPr>
              <w:t>—</w:t>
            </w:r>
          </w:p>
        </w:tc>
        <w:tc>
          <w:tcPr>
            <w:tcW w:type="dxa" w:w="2045"/>
          </w:tcPr>
          <w:p>
            <w:r>
              <w:rPr>
                <w:sz w:val="17"/>
              </w:rPr>
            </w:r>
            <w:r>
              <w:rPr>
                <w:sz w:val="17"/>
              </w:rPr>
              <w:t xml:space="preserve">Preservation letter </w:t>
            </w:r>
            <w:r>
              <w:rPr>
                <w:b/>
                <w:sz w:val="17"/>
              </w:rPr>
              <w:t>now</w:t>
            </w:r>
            <w:r>
              <w:rPr>
                <w:sz w:val="17"/>
              </w:rPr>
              <w:t>; Rule 45 (call record, poster approval chain, CCTV/security logs)</w:t>
            </w:r>
          </w:p>
        </w:tc>
        <w:tc>
          <w:tcPr>
            <w:tcW w:type="dxa" w:w="2045"/>
          </w:tcPr>
          <w:p>
            <w:r>
              <w:rPr>
                <w:sz w:val="17"/>
              </w:rPr>
            </w:r>
            <w:r>
              <w:rPr>
                <w:sz w:val="17"/>
              </w:rPr>
              <w:t>7/10 (as leverage)</w:t>
            </w:r>
          </w:p>
        </w:tc>
      </w:tr>
      <w:tr>
        <w:tc>
          <w:tcPr>
            <w:tcW w:type="dxa" w:w="2045"/>
          </w:tcPr>
          <w:p>
            <w:r>
              <w:rPr>
                <w:sz w:val="17"/>
              </w:rPr>
            </w:r>
            <w:r>
              <w:rPr>
                <w:i/>
                <w:sz w:val="17"/>
              </w:rPr>
              <w:t>Broome DA (non-party)</w:t>
            </w:r>
          </w:p>
        </w:tc>
        <w:tc>
          <w:tcPr>
            <w:tcW w:type="dxa" w:w="2045"/>
          </w:tcPr>
          <w:p>
            <w:r>
              <w:rPr>
                <w:sz w:val="17"/>
              </w:rPr>
            </w:r>
            <w:r>
              <w:rPr>
                <w:sz w:val="17"/>
              </w:rPr>
              <w:t>None — prosecutors immune (</w:t>
            </w:r>
            <w:r>
              <w:rPr>
                <w:i/>
                <w:sz w:val="17"/>
              </w:rPr>
              <w:t>Imbler</w:t>
            </w:r>
            <w:r>
              <w:rPr>
                <w:sz w:val="17"/>
              </w:rPr>
              <w:t xml:space="preserve"> CL 109387). </w:t>
            </w:r>
            <w:r>
              <w:rPr>
                <w:b/>
                <w:sz w:val="17"/>
              </w:rPr>
              <w:t>Records source, not target.</w:t>
            </w:r>
          </w:p>
        </w:tc>
        <w:tc>
          <w:tcPr>
            <w:tcW w:type="dxa" w:w="2045"/>
          </w:tcPr>
          <w:p>
            <w:r>
              <w:rPr>
                <w:sz w:val="17"/>
              </w:rPr>
            </w:r>
            <w:r>
              <w:rPr>
                <w:sz w:val="17"/>
              </w:rPr>
              <w:t>The office "knew otherwise" about the probation while the defense denied it existed</w:t>
            </w:r>
          </w:p>
        </w:tc>
        <w:tc>
          <w:tcPr>
            <w:tcW w:type="dxa" w:w="2045"/>
          </w:tcPr>
          <w:p>
            <w:r>
              <w:rPr>
                <w:sz w:val="17"/>
              </w:rPr>
            </w:r>
            <w:r>
              <w:rPr>
                <w:sz w:val="17"/>
              </w:rPr>
              <w:t>FOIL post-acquittal; grand-jury application if needed [unverified — confirm with counsel]; by-the-book only</w:t>
            </w:r>
          </w:p>
        </w:tc>
        <w:tc>
          <w:tcPr>
            <w:tcW w:type="dxa" w:w="2045"/>
          </w:tcPr>
          <w:p>
            <w:r>
              <w:rPr>
                <w:sz w:val="17"/>
              </w:rPr>
            </w:r>
            <w:r>
              <w:rPr>
                <w:sz w:val="17"/>
              </w:rPr>
              <w:t>5/10, derivative</w:t>
            </w:r>
          </w:p>
        </w:tc>
      </w:tr>
    </w:tbl>
    <w:p/>
    <w:p>
      <w:r>
        <w:rPr>
          <w:color w:val="C9D2E4"/>
        </w:rPr>
        <w:t>————————————————————————————————————————</w:t>
      </w:r>
    </w:p>
    <w:p>
      <w:pPr>
        <w:pStyle w:val="Heading2"/>
      </w:pPr>
      <w:r>
        <w:rPr>
          <w:color w:val="21315E"/>
        </w:rPr>
        <w:t xml:space="preserve">6. Obstacle → Counter (top 10 of 27 — full matrix in </w:t>
      </w:r>
      <w:r>
        <w:rPr>
          <w:rFonts w:ascii="Consolas" w:hAnsi="Consolas"/>
          <w:color w:val="21315E"/>
          <w:sz w:val="18"/>
        </w:rPr>
        <w:t>obstacle-counter-matrix.md</w:t>
      </w:r>
      <w:r>
        <w:rPr>
          <w:color w:val="21315E"/>
        </w:rPr>
        <w:t>)</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w:t>
            </w:r>
          </w:p>
        </w:tc>
        <w:tc>
          <w:tcPr>
            <w:tcW w:type="dxa" w:w="2556"/>
          </w:tcPr>
          <w:p>
            <w:r>
              <w:rPr>
                <w:b/>
                <w:sz w:val="17"/>
              </w:rPr>
            </w:r>
            <w:r>
              <w:rPr>
                <w:b/>
                <w:sz w:val="17"/>
              </w:rPr>
              <w:t>Obstacle</w:t>
            </w:r>
          </w:p>
        </w:tc>
        <w:tc>
          <w:tcPr>
            <w:tcW w:type="dxa" w:w="2556"/>
          </w:tcPr>
          <w:p>
            <w:r>
              <w:rPr>
                <w:b/>
                <w:sz w:val="17"/>
              </w:rPr>
            </w:r>
            <w:r>
              <w:rPr>
                <w:b/>
                <w:sz w:val="17"/>
              </w:rPr>
              <w:t>Best counter</w:t>
            </w:r>
          </w:p>
        </w:tc>
        <w:tc>
          <w:tcPr>
            <w:tcW w:type="dxa" w:w="2556"/>
          </w:tcPr>
          <w:p>
            <w:r>
              <w:rPr>
                <w:b/>
                <w:sz w:val="17"/>
              </w:rPr>
            </w:r>
            <w:r>
              <w:rPr>
                <w:b/>
                <w:sz w:val="17"/>
              </w:rPr>
              <w:t>Risk</w:t>
            </w:r>
          </w:p>
        </w:tc>
      </w:tr>
      <w:tr>
        <w:tc>
          <w:tcPr>
            <w:tcW w:type="dxa" w:w="2556"/>
          </w:tcPr>
          <w:p>
            <w:r>
              <w:rPr>
                <w:sz w:val="17"/>
              </w:rPr>
            </w:r>
            <w:r>
              <w:rPr>
                <w:sz w:val="17"/>
              </w:rPr>
              <w:t>O-1</w:t>
            </w:r>
          </w:p>
        </w:tc>
        <w:tc>
          <w:tcPr>
            <w:tcW w:type="dxa" w:w="2556"/>
          </w:tcPr>
          <w:p>
            <w:r>
              <w:rPr>
                <w:sz w:val="17"/>
              </w:rPr>
            </w:r>
            <w:r>
              <w:rPr>
                <w:b/>
                <w:sz w:val="17"/>
              </w:rPr>
              <w:t>MP state SoL ~Sept 2026</w:t>
            </w:r>
            <w:r>
              <w:rPr>
                <w:sz w:val="17"/>
              </w:rPr>
              <w:t xml:space="preserve"> — count not in complaint</w:t>
            </w:r>
          </w:p>
        </w:tc>
        <w:tc>
          <w:tcPr>
            <w:tcW w:type="dxa" w:w="2556"/>
          </w:tcPr>
          <w:p>
            <w:r>
              <w:rPr>
                <w:sz w:val="17"/>
              </w:rPr>
            </w:r>
            <w:r>
              <w:rPr>
                <w:sz w:val="17"/>
              </w:rPr>
              <w:t xml:space="preserve">File the amendment </w:t>
            </w:r>
            <w:r>
              <w:rPr>
                <w:b/>
                <w:sz w:val="17"/>
              </w:rPr>
              <w:t>now</w:t>
            </w:r>
            <w:r>
              <w:rPr>
                <w:sz w:val="17"/>
              </w:rPr>
              <w:t>, calendared off the confirmed acquittal date; fallback: protective state-court action. Never rely on relation-back</w:t>
            </w:r>
          </w:p>
        </w:tc>
        <w:tc>
          <w:tcPr>
            <w:tcW w:type="dxa" w:w="2556"/>
          </w:tcPr>
          <w:p>
            <w:r>
              <w:rPr>
                <w:sz w:val="17"/>
              </w:rPr>
            </w:r>
            <w:r>
              <w:rPr>
                <w:b/>
                <w:sz w:val="17"/>
              </w:rPr>
              <w:t>H</w:t>
            </w:r>
            <w:r>
              <w:rPr>
                <w:sz w:val="17"/>
              </w:rPr>
              <w:t xml:space="preserve"> until filed</w:t>
            </w:r>
          </w:p>
        </w:tc>
      </w:tr>
      <w:tr>
        <w:tc>
          <w:tcPr>
            <w:tcW w:type="dxa" w:w="2556"/>
          </w:tcPr>
          <w:p>
            <w:r>
              <w:rPr>
                <w:sz w:val="17"/>
              </w:rPr>
            </w:r>
            <w:r>
              <w:rPr>
                <w:sz w:val="17"/>
              </w:rPr>
              <w:t>O-21</w:t>
            </w:r>
          </w:p>
        </w:tc>
        <w:tc>
          <w:tcPr>
            <w:tcW w:type="dxa" w:w="2556"/>
          </w:tcPr>
          <w:p>
            <w:r>
              <w:rPr>
                <w:sz w:val="17"/>
              </w:rPr>
            </w:r>
            <w:r>
              <w:rPr>
                <w:b/>
                <w:sz w:val="17"/>
              </w:rPr>
              <w:t>Amendment-deadline unknown</w:t>
            </w:r>
            <w:r>
              <w:rPr>
                <w:sz w:val="17"/>
              </w:rPr>
              <w:t xml:space="preserve"> — NYSHRL/FMLA/MP all unpled</w:t>
            </w:r>
          </w:p>
        </w:tc>
        <w:tc>
          <w:tcPr>
            <w:tcW w:type="dxa" w:w="2556"/>
          </w:tcPr>
          <w:p>
            <w:r>
              <w:rPr>
                <w:sz w:val="17"/>
              </w:rPr>
            </w:r>
            <w:r>
              <w:rPr>
                <w:sz w:val="17"/>
              </w:rPr>
              <w:t>Confirm the NDNY scheduling-order deadline immediately; one omnibus amendment before ~Sept 2026</w:t>
            </w:r>
          </w:p>
        </w:tc>
        <w:tc>
          <w:tcPr>
            <w:tcW w:type="dxa" w:w="2556"/>
          </w:tcPr>
          <w:p>
            <w:r>
              <w:rPr>
                <w:sz w:val="17"/>
              </w:rPr>
            </w:r>
            <w:r>
              <w:rPr>
                <w:b/>
                <w:sz w:val="17"/>
              </w:rPr>
              <w:t>H</w:t>
            </w:r>
            <w:r>
              <w:rPr>
                <w:sz w:val="17"/>
              </w:rPr>
              <w:t xml:space="preserve"> until confirmed</w:t>
            </w:r>
          </w:p>
        </w:tc>
      </w:tr>
      <w:tr>
        <w:tc>
          <w:tcPr>
            <w:tcW w:type="dxa" w:w="2556"/>
          </w:tcPr>
          <w:p>
            <w:r>
              <w:rPr>
                <w:sz w:val="17"/>
              </w:rPr>
            </w:r>
            <w:r>
              <w:rPr>
                <w:sz w:val="17"/>
              </w:rPr>
              <w:t>O-6</w:t>
            </w:r>
          </w:p>
        </w:tc>
        <w:tc>
          <w:tcPr>
            <w:tcW w:type="dxa" w:w="2556"/>
          </w:tcPr>
          <w:p>
            <w:r>
              <w:rPr>
                <w:sz w:val="17"/>
              </w:rPr>
            </w:r>
            <w:r>
              <w:rPr>
                <w:b/>
                <w:sz w:val="17"/>
              </w:rPr>
              <w:t>Acquittal ≠ no probable cause</w:t>
            </w:r>
            <w:r>
              <w:rPr>
                <w:sz w:val="17"/>
              </w:rPr>
              <w:t xml:space="preserve"> (</w:t>
            </w:r>
            <w:r>
              <w:rPr>
                <w:i/>
                <w:sz w:val="17"/>
              </w:rPr>
              <w:t>Rothstein</w:t>
            </w:r>
            <w:r>
              <w:rPr>
                <w:sz w:val="17"/>
              </w:rPr>
              <w:t xml:space="preserve"> CL 786706)</w:t>
            </w:r>
          </w:p>
        </w:tc>
        <w:tc>
          <w:tcPr>
            <w:tcW w:type="dxa" w:w="2556"/>
          </w:tcPr>
          <w:p>
            <w:r>
              <w:rPr>
                <w:sz w:val="17"/>
              </w:rPr>
            </w:r>
            <w:r>
              <w:rPr>
                <w:sz w:val="17"/>
              </w:rPr>
              <w:t xml:space="preserve">Build from initiation-time facts: 24-hr reversal + falsifiable "lied about a job offer" theory — </w:t>
            </w:r>
            <w:r>
              <w:rPr>
                <w:b/>
                <w:sz w:val="17"/>
              </w:rPr>
              <w:t>but do not deploy the contract counter until the 00:13:03 vs. 00:14:21 execution contradiction is resolved</w:t>
            </w:r>
          </w:p>
        </w:tc>
        <w:tc>
          <w:tcPr>
            <w:tcW w:type="dxa" w:w="2556"/>
          </w:tcPr>
          <w:p>
            <w:r>
              <w:rPr>
                <w:sz w:val="17"/>
              </w:rPr>
            </w:r>
            <w:r>
              <w:rPr>
                <w:b/>
                <w:sz w:val="17"/>
              </w:rPr>
              <w:t>M</w:t>
            </w:r>
            <w:r>
              <w:rPr>
                <w:sz w:val="17"/>
              </w:rPr>
              <w:t xml:space="preserve"> — the battleground</w:t>
            </w:r>
          </w:p>
        </w:tc>
      </w:tr>
      <w:tr>
        <w:tc>
          <w:tcPr>
            <w:tcW w:type="dxa" w:w="2556"/>
          </w:tcPr>
          <w:p>
            <w:r>
              <w:rPr>
                <w:sz w:val="17"/>
              </w:rPr>
            </w:r>
            <w:r>
              <w:rPr>
                <w:sz w:val="17"/>
              </w:rPr>
              <w:t>O-7</w:t>
            </w:r>
          </w:p>
        </w:tc>
        <w:tc>
          <w:tcPr>
            <w:tcW w:type="dxa" w:w="2556"/>
          </w:tcPr>
          <w:p>
            <w:r>
              <w:rPr>
                <w:sz w:val="17"/>
              </w:rPr>
            </w:r>
            <w:r>
              <w:rPr>
                <w:sz w:val="17"/>
              </w:rPr>
              <w:t>DA's independent judgment / witness immunity breaks causation</w:t>
            </w:r>
          </w:p>
        </w:tc>
        <w:tc>
          <w:tcPr>
            <w:tcW w:type="dxa" w:w="2556"/>
          </w:tcPr>
          <w:p>
            <w:r>
              <w:rPr>
                <w:sz w:val="17"/>
              </w:rPr>
            </w:r>
            <w:r>
              <w:rPr>
                <w:sz w:val="17"/>
              </w:rPr>
              <w:t xml:space="preserve">Show continuing reliance on defendant-supplied false/incomplete material (probation file, withheld CCTV, Rehman→Nadeem hand-off; </w:t>
            </w:r>
            <w:r>
              <w:rPr>
                <w:i/>
                <w:sz w:val="17"/>
              </w:rPr>
              <w:t>Present v. Avon</w:t>
            </w:r>
            <w:r>
              <w:rPr>
                <w:sz w:val="17"/>
              </w:rPr>
              <w:t xml:space="preserve"> CL 6162502)</w:t>
            </w:r>
          </w:p>
        </w:tc>
        <w:tc>
          <w:tcPr>
            <w:tcW w:type="dxa" w:w="2556"/>
          </w:tcPr>
          <w:p>
            <w:r>
              <w:rPr>
                <w:sz w:val="17"/>
              </w:rPr>
            </w:r>
            <w:r>
              <w:rPr>
                <w:b/>
                <w:sz w:val="17"/>
              </w:rPr>
              <w:t>M–H</w:t>
            </w:r>
          </w:p>
        </w:tc>
      </w:tr>
      <w:tr>
        <w:tc>
          <w:tcPr>
            <w:tcW w:type="dxa" w:w="2556"/>
          </w:tcPr>
          <w:p>
            <w:r>
              <w:rPr>
                <w:sz w:val="17"/>
              </w:rPr>
            </w:r>
            <w:r>
              <w:rPr>
                <w:sz w:val="17"/>
              </w:rPr>
              <w:t>O-5</w:t>
            </w:r>
          </w:p>
        </w:tc>
        <w:tc>
          <w:tcPr>
            <w:tcW w:type="dxa" w:w="2556"/>
          </w:tcPr>
          <w:p>
            <w:r>
              <w:rPr>
                <w:sz w:val="17"/>
              </w:rPr>
            </w:r>
            <w:r>
              <w:rPr>
                <w:i/>
                <w:sz w:val="17"/>
              </w:rPr>
              <w:t>Colon</w:t>
            </w:r>
            <w:r>
              <w:rPr>
                <w:sz w:val="17"/>
              </w:rPr>
              <w:t xml:space="preserve"> presumption if indicted (CL 5686686)</w:t>
            </w:r>
          </w:p>
        </w:tc>
        <w:tc>
          <w:tcPr>
            <w:tcW w:type="dxa" w:w="2556"/>
          </w:tcPr>
          <w:p>
            <w:r>
              <w:rPr>
                <w:sz w:val="17"/>
              </w:rPr>
            </w:r>
            <w:r>
              <w:rPr>
                <w:b/>
                <w:sz w:val="17"/>
              </w:rPr>
              <w:t>Confirm the charging instrument first</w:t>
            </w:r>
            <w:r>
              <w:rPr>
                <w:sz w:val="17"/>
              </w:rPr>
              <w:t>; if indicted, rebut with the suppression/falsity record; CPL 190.25(4) motion [unverified]</w:t>
            </w:r>
          </w:p>
        </w:tc>
        <w:tc>
          <w:tcPr>
            <w:tcW w:type="dxa" w:w="2556"/>
          </w:tcPr>
          <w:p>
            <w:r>
              <w:rPr>
                <w:sz w:val="17"/>
              </w:rPr>
            </w:r>
            <w:r>
              <w:rPr>
                <w:sz w:val="17"/>
              </w:rPr>
              <w:t>M–H / L</w:t>
            </w:r>
          </w:p>
        </w:tc>
      </w:tr>
      <w:tr>
        <w:tc>
          <w:tcPr>
            <w:tcW w:type="dxa" w:w="2556"/>
          </w:tcPr>
          <w:p>
            <w:r>
              <w:rPr>
                <w:sz w:val="17"/>
              </w:rPr>
            </w:r>
            <w:r>
              <w:rPr>
                <w:sz w:val="17"/>
              </w:rPr>
              <w:t>O-13</w:t>
            </w:r>
          </w:p>
        </w:tc>
        <w:tc>
          <w:tcPr>
            <w:tcW w:type="dxa" w:w="2556"/>
          </w:tcPr>
          <w:p>
            <w:r>
              <w:rPr>
                <w:sz w:val="17"/>
              </w:rPr>
            </w:r>
            <w:r>
              <w:rPr>
                <w:b/>
                <w:sz w:val="17"/>
              </w:rPr>
              <w:t>Academic deference</w:t>
            </w:r>
            <w:r>
              <w:rPr>
                <w:sz w:val="17"/>
              </w:rPr>
              <w:t xml:space="preserve"> (</w:t>
            </w:r>
            <w:r>
              <w:rPr>
                <w:i/>
                <w:sz w:val="17"/>
              </w:rPr>
              <w:t>Horowitz</w:t>
            </w:r>
            <w:r>
              <w:rPr>
                <w:sz w:val="17"/>
              </w:rPr>
              <w:t xml:space="preserve"> CL 109809 — 435 U.S. 78, fix the 438 miscite; </w:t>
            </w:r>
            <w:r>
              <w:rPr>
                <w:i/>
                <w:sz w:val="17"/>
              </w:rPr>
              <w:t>Ewing</w:t>
            </w:r>
            <w:r>
              <w:rPr>
                <w:sz w:val="17"/>
              </w:rPr>
              <w:t xml:space="preserve"> CL 111549)</w:t>
            </w:r>
          </w:p>
        </w:tc>
        <w:tc>
          <w:tcPr>
            <w:tcW w:type="dxa" w:w="2556"/>
          </w:tcPr>
          <w:p>
            <w:r>
              <w:rPr>
                <w:sz w:val="17"/>
              </w:rPr>
            </w:r>
            <w:r>
              <w:rPr>
                <w:sz w:val="17"/>
              </w:rPr>
              <w:t xml:space="preserve">Win the </w:t>
            </w:r>
            <w:r>
              <w:rPr>
                <w:i/>
                <w:sz w:val="17"/>
              </w:rPr>
              <w:t>characterization</w:t>
            </w:r>
            <w:r>
              <w:rPr>
                <w:sz w:val="17"/>
              </w:rPr>
              <w:t xml:space="preserve">: secret, unilateral, allegedly forged probation is not academic judgment; piercing routes </w:t>
            </w:r>
            <w:r>
              <w:rPr>
                <w:i/>
                <w:sz w:val="17"/>
              </w:rPr>
              <w:t>Doe v. NYU</w:t>
            </w:r>
            <w:r>
              <w:rPr>
                <w:sz w:val="17"/>
              </w:rPr>
              <w:t xml:space="preserve"> CL 398023, </w:t>
            </w:r>
            <w:r>
              <w:rPr>
                <w:i/>
                <w:sz w:val="17"/>
              </w:rPr>
              <w:t>Branum</w:t>
            </w:r>
            <w:r>
              <w:rPr>
                <w:sz w:val="17"/>
              </w:rPr>
              <w:t xml:space="preserve"> CL 557202, </w:t>
            </w:r>
            <w:r>
              <w:rPr>
                <w:i/>
                <w:sz w:val="17"/>
              </w:rPr>
              <w:t>Ezekwo</w:t>
            </w:r>
            <w:r>
              <w:rPr>
                <w:sz w:val="17"/>
              </w:rPr>
              <w:t xml:space="preserve"> CL 566006</w:t>
            </w:r>
          </w:p>
        </w:tc>
        <w:tc>
          <w:tcPr>
            <w:tcW w:type="dxa" w:w="2556"/>
          </w:tcPr>
          <w:p>
            <w:r>
              <w:rPr>
                <w:sz w:val="17"/>
              </w:rPr>
            </w:r>
            <w:r>
              <w:rPr>
                <w:b/>
                <w:sz w:val="17"/>
              </w:rPr>
              <w:t>M</w:t>
            </w:r>
          </w:p>
        </w:tc>
      </w:tr>
      <w:tr>
        <w:tc>
          <w:tcPr>
            <w:tcW w:type="dxa" w:w="2556"/>
          </w:tcPr>
          <w:p>
            <w:r>
              <w:rPr>
                <w:sz w:val="17"/>
              </w:rPr>
            </w:r>
            <w:r>
              <w:rPr>
                <w:sz w:val="17"/>
              </w:rPr>
              <w:t>O-14</w:t>
            </w:r>
          </w:p>
        </w:tc>
        <w:tc>
          <w:tcPr>
            <w:tcW w:type="dxa" w:w="2556"/>
          </w:tcPr>
          <w:p>
            <w:r>
              <w:rPr>
                <w:sz w:val="17"/>
              </w:rPr>
            </w:r>
            <w:r>
              <w:rPr>
                <w:b/>
                <w:sz w:val="17"/>
              </w:rPr>
              <w:t>HCQIA/peer-review immunity</w:t>
            </w:r>
            <w:r>
              <w:rPr>
                <w:sz w:val="17"/>
              </w:rPr>
              <w:t xml:space="preserve"> — </w:t>
            </w:r>
            <w:r>
              <w:rPr>
                <w:i/>
                <w:sz w:val="17"/>
              </w:rPr>
              <w:t>Poliner</w:t>
            </w:r>
            <w:r>
              <w:rPr>
                <w:sz w:val="17"/>
              </w:rPr>
              <w:t xml:space="preserve"> (CL 62897) reversed ~$33M to zero</w:t>
            </w:r>
          </w:p>
        </w:tc>
        <w:tc>
          <w:tcPr>
            <w:tcW w:type="dxa" w:w="2556"/>
          </w:tcPr>
          <w:p>
            <w:r>
              <w:rPr>
                <w:sz w:val="17"/>
              </w:rPr>
            </w:r>
            <w:r>
              <w:rPr>
                <w:sz w:val="17"/>
              </w:rPr>
              <w:t>Sham-process facts (24-hr reversal); whipsaw with O-13: academic or peer review — force them to pick one</w:t>
            </w:r>
          </w:p>
        </w:tc>
        <w:tc>
          <w:tcPr>
            <w:tcW w:type="dxa" w:w="2556"/>
          </w:tcPr>
          <w:p>
            <w:r>
              <w:rPr>
                <w:sz w:val="17"/>
              </w:rPr>
            </w:r>
            <w:r>
              <w:rPr>
                <w:b/>
                <w:sz w:val="17"/>
              </w:rPr>
              <w:t>M</w:t>
            </w:r>
          </w:p>
        </w:tc>
      </w:tr>
      <w:tr>
        <w:tc>
          <w:tcPr>
            <w:tcW w:type="dxa" w:w="2556"/>
          </w:tcPr>
          <w:p>
            <w:r>
              <w:rPr>
                <w:sz w:val="17"/>
              </w:rPr>
            </w:r>
            <w:r>
              <w:rPr>
                <w:sz w:val="17"/>
              </w:rPr>
              <w:t>O-10</w:t>
            </w:r>
          </w:p>
        </w:tc>
        <w:tc>
          <w:tcPr>
            <w:tcW w:type="dxa" w:w="2556"/>
          </w:tcPr>
          <w:p>
            <w:r>
              <w:rPr>
                <w:sz w:val="17"/>
              </w:rPr>
            </w:r>
            <w:r>
              <w:rPr>
                <w:b/>
                <w:sz w:val="17"/>
              </w:rPr>
              <w:t>*Cummings* bar</w:t>
            </w:r>
            <w:r>
              <w:rPr>
                <w:sz w:val="17"/>
              </w:rPr>
              <w:t xml:space="preserve"> — no distress/punitives under Title VI</w:t>
            </w:r>
          </w:p>
        </w:tc>
        <w:tc>
          <w:tcPr>
            <w:tcW w:type="dxa" w:w="2556"/>
          </w:tcPr>
          <w:p>
            <w:r>
              <w:rPr>
                <w:sz w:val="17"/>
              </w:rPr>
            </w:r>
            <w:r>
              <w:rPr>
                <w:sz w:val="17"/>
              </w:rPr>
              <w:t>Re-architect, not retell: Title VI carries economic + equitable + fees; route distress/punitives through NYSHRL (</w:t>
            </w:r>
            <w:r>
              <w:rPr>
                <w:i/>
                <w:sz w:val="17"/>
              </w:rPr>
              <w:t>Chauca</w:t>
            </w:r>
            <w:r>
              <w:rPr>
                <w:sz w:val="17"/>
              </w:rPr>
              <w:t xml:space="preserve"> CL 7170278) + NY torts (</w:t>
            </w:r>
            <w:r>
              <w:rPr>
                <w:i/>
                <w:sz w:val="17"/>
              </w:rPr>
              <w:t>Ross</w:t>
            </w:r>
            <w:r>
              <w:rPr>
                <w:sz w:val="17"/>
              </w:rPr>
              <w:t xml:space="preserve"> CL 2032322)</w:t>
            </w:r>
          </w:p>
        </w:tc>
        <w:tc>
          <w:tcPr>
            <w:tcW w:type="dxa" w:w="2556"/>
          </w:tcPr>
          <w:p>
            <w:r>
              <w:rPr>
                <w:sz w:val="17"/>
              </w:rPr>
            </w:r>
            <w:r>
              <w:rPr>
                <w:sz w:val="17"/>
              </w:rPr>
              <w:t>L once amended</w:t>
            </w:r>
          </w:p>
        </w:tc>
      </w:tr>
      <w:tr>
        <w:tc>
          <w:tcPr>
            <w:tcW w:type="dxa" w:w="2556"/>
          </w:tcPr>
          <w:p>
            <w:r>
              <w:rPr>
                <w:sz w:val="17"/>
              </w:rPr>
            </w:r>
            <w:r>
              <w:rPr>
                <w:sz w:val="17"/>
              </w:rPr>
              <w:t>O-22</w:t>
            </w:r>
          </w:p>
        </w:tc>
        <w:tc>
          <w:tcPr>
            <w:tcW w:type="dxa" w:w="2556"/>
          </w:tcPr>
          <w:p>
            <w:r>
              <w:rPr>
                <w:sz w:val="17"/>
              </w:rPr>
            </w:r>
            <w:r>
              <w:rPr>
                <w:b/>
                <w:sz w:val="17"/>
              </w:rPr>
              <w:t>Ratio compression</w:t>
            </w:r>
            <w:r>
              <w:rPr>
                <w:sz w:val="17"/>
              </w:rPr>
              <w:t xml:space="preserve"> (</w:t>
            </w:r>
            <w:r>
              <w:rPr>
                <w:i/>
                <w:sz w:val="17"/>
              </w:rPr>
              <w:t>State Farm</w:t>
            </w:r>
            <w:r>
              <w:rPr>
                <w:sz w:val="17"/>
              </w:rPr>
              <w:t xml:space="preserve"> CL 127910; </w:t>
            </w:r>
            <w:r>
              <w:rPr>
                <w:i/>
                <w:sz w:val="17"/>
              </w:rPr>
              <w:t>Turley</w:t>
            </w:r>
            <w:r>
              <w:rPr>
                <w:sz w:val="17"/>
              </w:rPr>
              <w:t xml:space="preserve"> ~2:1 CL 8442054; </w:t>
            </w:r>
            <w:r>
              <w:rPr>
                <w:i/>
                <w:sz w:val="17"/>
              </w:rPr>
              <w:t>Payne</w:t>
            </w:r>
            <w:r>
              <w:rPr>
                <w:sz w:val="17"/>
              </w:rPr>
              <w:t xml:space="preserve"> CL 820691)</w:t>
            </w:r>
          </w:p>
        </w:tc>
        <w:tc>
          <w:tcPr>
            <w:tcW w:type="dxa" w:w="2556"/>
          </w:tcPr>
          <w:p>
            <w:r>
              <w:rPr>
                <w:sz w:val="17"/>
              </w:rPr>
            </w:r>
            <w:r>
              <w:rPr>
                <w:sz w:val="17"/>
              </w:rPr>
              <w:t>Grow the compensatory base, not the multiplier; stack non-compressibles (FMLA doubling, three fee statutes, uninsurable individual exposure)</w:t>
            </w:r>
          </w:p>
        </w:tc>
        <w:tc>
          <w:tcPr>
            <w:tcW w:type="dxa" w:w="2556"/>
          </w:tcPr>
          <w:p>
            <w:r>
              <w:rPr>
                <w:sz w:val="17"/>
              </w:rPr>
            </w:r>
            <w:r>
              <w:rPr>
                <w:b/>
                <w:sz w:val="17"/>
              </w:rPr>
              <w:t>M</w:t>
            </w:r>
          </w:p>
        </w:tc>
      </w:tr>
      <w:tr>
        <w:tc>
          <w:tcPr>
            <w:tcW w:type="dxa" w:w="2556"/>
          </w:tcPr>
          <w:p>
            <w:r>
              <w:rPr>
                <w:sz w:val="17"/>
              </w:rPr>
            </w:r>
            <w:r>
              <w:rPr>
                <w:sz w:val="17"/>
              </w:rPr>
              <w:t>O-27</w:t>
            </w:r>
          </w:p>
        </w:tc>
        <w:tc>
          <w:tcPr>
            <w:tcW w:type="dxa" w:w="2556"/>
          </w:tcPr>
          <w:p>
            <w:r>
              <w:rPr>
                <w:sz w:val="17"/>
              </w:rPr>
            </w:r>
            <w:r>
              <w:rPr>
                <w:b/>
                <w:sz w:val="17"/>
              </w:rPr>
              <w:t>The $100M anchor itself</w:t>
            </w:r>
            <w:r>
              <w:rPr>
                <w:sz w:val="17"/>
              </w:rPr>
              <w:t xml:space="preserve"> — Rule 11 / mediator-credibility risk</w:t>
            </w:r>
          </w:p>
        </w:tc>
        <w:tc>
          <w:tcPr>
            <w:tcW w:type="dxa" w:w="2556"/>
          </w:tcPr>
          <w:p>
            <w:r>
              <w:rPr>
                <w:sz w:val="17"/>
              </w:rPr>
            </w:r>
            <w:r>
              <w:rPr>
                <w:sz w:val="17"/>
              </w:rPr>
              <w:t xml:space="preserve">Anchor with architecture, not a naked number; posture figure used once, by counsel, as aspiration-vs-acceptance framing, immediately tied back to components; </w:t>
            </w:r>
            <w:r>
              <w:rPr>
                <w:b/>
                <w:sz w:val="17"/>
              </w:rPr>
              <w:t>lead with the non-monetary demand set</w:t>
            </w:r>
          </w:p>
        </w:tc>
        <w:tc>
          <w:tcPr>
            <w:tcW w:type="dxa" w:w="2556"/>
          </w:tcPr>
          <w:p>
            <w:r>
              <w:rPr>
                <w:sz w:val="17"/>
              </w:rPr>
            </w:r>
            <w:r>
              <w:rPr>
                <w:b/>
                <w:sz w:val="17"/>
              </w:rPr>
              <w:t>M</w:t>
            </w:r>
            <w:r>
              <w:rPr>
                <w:sz w:val="17"/>
              </w:rPr>
              <w:t xml:space="preserve"> — discipline in the room</w:t>
            </w:r>
          </w:p>
        </w:tc>
      </w:tr>
    </w:tbl>
    <w:p/>
    <w:p>
      <w:r>
        <w:rPr>
          <w:color w:val="C9D2E4"/>
        </w:rPr>
        <w:t>————————————————————————————————————————</w:t>
      </w:r>
    </w:p>
    <w:p>
      <w:pPr>
        <w:pStyle w:val="Heading2"/>
      </w:pPr>
      <w:r>
        <w:rPr>
          <w:color w:val="21315E"/>
        </w:rPr>
        <w:t>7. Mediation Game Plan</w:t>
      </w:r>
    </w:p>
    <w:p>
      <w:r>
        <w:rPr>
          <w:b/>
        </w:rPr>
        <w:t>See `mediation/mediation-execution-plan.md` for the full execution plan.</w:t>
      </w:r>
      <w:r>
        <w:t xml:space="preserve"> The two governing principles, fixed here:</w:t>
      </w:r>
    </w:p>
    <w:p>
      <w:pPr>
        <w:pStyle w:val="ListNumber"/>
      </w:pPr>
      <w:r>
        <w:rPr>
          <w:b/>
        </w:rPr>
        <w:t>Discovery before mediation.</w:t>
      </w:r>
      <w:r>
        <w:t xml:space="preserve"> Drazen will not mediate without defendants' discovery responses (00:05:23); backward-plan every demand from the November 2026 deadline. Arrive with productions, the spoliation record, and the amendment granted — the leverage index moves ~6.5/10 → ~8/10 if the academic record, CCTV, and texts land first.</w:t>
      </w:r>
    </w:p>
    <w:p>
      <w:pPr>
        <w:pStyle w:val="ListNumber"/>
      </w:pPr>
      <w:r>
        <w:rPr>
          <w:b/>
        </w:rPr>
        <w:t>Non-monetary demands are cheap wins — lead with them.</w:t>
      </w:r>
      <w:r>
        <w:t xml:space="preserve"> Record correction, board-safe verification letters, the USCIS stipulation, and reform terms cost defendants little, serve the client's true first-order objective, prove the theme (</w:t>
      </w:r>
      <w:r>
        <w:rPr>
          <w:i/>
        </w:rPr>
        <w:t>accountability and sustainable change, not punishment</w:t>
      </w:r>
      <w:r>
        <w:t xml:space="preserve">), and are treated as </w:t>
      </w:r>
      <w:r>
        <w:rPr>
          <w:b/>
        </w:rPr>
        <w:t>equivalent to the first several million dollars</w:t>
      </w:r>
      <w:r>
        <w:t xml:space="preserve"> in any trade-off. Money then prices the remainder rather than defining the negotiation. Open with Tier 1 receipts; argue in Tier 2; deploy Tier 3 once, in caucus, as the carrier's tail risk — never as our valuation.</w:t>
      </w:r>
    </w:p>
    <w:p>
      <w:r>
        <w:rPr>
          <w:color w:val="C9D2E4"/>
        </w:rPr>
        <w:t>————————————————————————————————————————</w:t>
      </w:r>
    </w:p>
    <w:p>
      <w:pPr>
        <w:pStyle w:val="Heading2"/>
      </w:pPr>
      <w:r>
        <w:rPr>
          <w:color w:val="21315E"/>
        </w:rPr>
        <w:t>8. The 16 Action Items — With Pacing</w:t>
      </w:r>
    </w:p>
    <w:p>
      <w:r>
        <w:rPr>
          <w:b/>
        </w:rPr>
        <w:t>Pacing rules (from `pacing_digest.md`; March state was a 12% recovery crash — Aug 2 shows improvement):</w:t>
      </w:r>
      <w:r>
        <w:t xml:space="preserve"> SoL-critical inputs go first regardless of load but batched into single sittings; </w:t>
      </w:r>
      <w:r>
        <w:rPr>
          <w:b/>
        </w:rPr>
        <w:t>max 2 substantive tasks/week for Faraaz</w:t>
      </w:r>
      <w:r>
        <w:t xml:space="preserve">; retrieval tasks batched into one low-effort block; emotionally heavy tasks (re-reading academic records, bad-faith evidence) never stacked in the same week, each followed by a light week; Haseeb carries the information-collection channel; </w:t>
      </w:r>
      <w:r>
        <w:rPr>
          <w:b/>
        </w:rPr>
        <w:t>cardiac device check scheduling is itself an action item — health before litigation.</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ID</w:t>
            </w:r>
          </w:p>
        </w:tc>
        <w:tc>
          <w:tcPr>
            <w:tcW w:type="dxa" w:w="2556"/>
          </w:tcPr>
          <w:p>
            <w:r>
              <w:rPr>
                <w:b/>
                <w:sz w:val="17"/>
              </w:rPr>
            </w:r>
            <w:r>
              <w:rPr>
                <w:b/>
                <w:sz w:val="17"/>
              </w:rPr>
              <w:t>Item (owner)</w:t>
            </w:r>
          </w:p>
        </w:tc>
        <w:tc>
          <w:tcPr>
            <w:tcW w:type="dxa" w:w="2556"/>
          </w:tcPr>
          <w:p>
            <w:r>
              <w:rPr>
                <w:b/>
                <w:sz w:val="17"/>
              </w:rPr>
            </w:r>
            <w:r>
              <w:rPr>
                <w:b/>
                <w:sz w:val="17"/>
              </w:rPr>
              <w:t>Load</w:t>
            </w:r>
          </w:p>
        </w:tc>
        <w:tc>
          <w:tcPr>
            <w:tcW w:type="dxa" w:w="2556"/>
          </w:tcPr>
          <w:p>
            <w:r>
              <w:rPr>
                <w:b/>
                <w:sz w:val="17"/>
              </w:rPr>
            </w:r>
            <w:r>
              <w:rPr>
                <w:b/>
                <w:sz w:val="17"/>
              </w:rPr>
              <w:t>Pacing slot</w:t>
            </w:r>
          </w:p>
        </w:tc>
      </w:tr>
      <w:tr>
        <w:tc>
          <w:tcPr>
            <w:tcW w:type="dxa" w:w="2556"/>
          </w:tcPr>
          <w:p>
            <w:r>
              <w:rPr>
                <w:sz w:val="17"/>
              </w:rPr>
            </w:r>
            <w:r>
              <w:rPr>
                <w:sz w:val="17"/>
              </w:rPr>
              <w:t>DZ-01</w:t>
            </w:r>
          </w:p>
        </w:tc>
        <w:tc>
          <w:tcPr>
            <w:tcW w:type="dxa" w:w="2556"/>
          </w:tcPr>
          <w:p>
            <w:r>
              <w:rPr>
                <w:sz w:val="17"/>
              </w:rPr>
            </w:r>
            <w:r>
              <w:rPr>
                <w:sz w:val="17"/>
              </w:rPr>
              <w:t>Finish and serve discovery demands — academic record first, ~14 consolidated demands (Drazen)</w:t>
            </w:r>
          </w:p>
        </w:tc>
        <w:tc>
          <w:tcPr>
            <w:tcW w:type="dxa" w:w="2556"/>
          </w:tcPr>
          <w:p>
            <w:r>
              <w:rPr>
                <w:sz w:val="17"/>
              </w:rPr>
            </w:r>
            <w:r>
              <w:rPr>
                <w:sz w:val="17"/>
              </w:rPr>
              <w:t>Counsel</w:t>
            </w:r>
          </w:p>
        </w:tc>
        <w:tc>
          <w:tcPr>
            <w:tcW w:type="dxa" w:w="2556"/>
          </w:tcPr>
          <w:p>
            <w:r>
              <w:rPr>
                <w:sz w:val="17"/>
              </w:rPr>
            </w:r>
            <w:r>
              <w:rPr>
                <w:sz w:val="17"/>
              </w:rPr>
              <w:t>Now — feeds everything</w:t>
            </w:r>
          </w:p>
        </w:tc>
      </w:tr>
      <w:tr>
        <w:tc>
          <w:tcPr>
            <w:tcW w:type="dxa" w:w="2556"/>
          </w:tcPr>
          <w:p>
            <w:r>
              <w:rPr>
                <w:sz w:val="17"/>
              </w:rPr>
            </w:r>
            <w:r>
              <w:rPr>
                <w:sz w:val="17"/>
              </w:rPr>
              <w:t>DZ-02</w:t>
            </w:r>
          </w:p>
        </w:tc>
        <w:tc>
          <w:tcPr>
            <w:tcW w:type="dxa" w:w="2556"/>
          </w:tcPr>
          <w:p>
            <w:r>
              <w:rPr>
                <w:sz w:val="17"/>
              </w:rPr>
            </w:r>
            <w:r>
              <w:rPr>
                <w:sz w:val="17"/>
              </w:rPr>
              <w:t>Evaluate MP viability/timeliness vs. police/ancillary actors (Drazen — skeptical but reviewing)</w:t>
            </w:r>
          </w:p>
        </w:tc>
        <w:tc>
          <w:tcPr>
            <w:tcW w:type="dxa" w:w="2556"/>
          </w:tcPr>
          <w:p>
            <w:r>
              <w:rPr>
                <w:sz w:val="17"/>
              </w:rPr>
            </w:r>
            <w:r>
              <w:rPr>
                <w:sz w:val="17"/>
              </w:rPr>
              <w:t>Counsel</w:t>
            </w:r>
          </w:p>
        </w:tc>
        <w:tc>
          <w:tcPr>
            <w:tcW w:type="dxa" w:w="2556"/>
          </w:tcPr>
          <w:p>
            <w:r>
              <w:rPr>
                <w:sz w:val="17"/>
              </w:rPr>
            </w:r>
            <w:r>
              <w:rPr>
                <w:sz w:val="17"/>
              </w:rPr>
              <w:t>Now — SoL-critical</w:t>
            </w:r>
          </w:p>
        </w:tc>
      </w:tr>
      <w:tr>
        <w:tc>
          <w:tcPr>
            <w:tcW w:type="dxa" w:w="2556"/>
          </w:tcPr>
          <w:p>
            <w:r>
              <w:rPr>
                <w:sz w:val="17"/>
              </w:rPr>
            </w:r>
            <w:r>
              <w:rPr>
                <w:sz w:val="17"/>
              </w:rPr>
              <w:t>DZ-03</w:t>
            </w:r>
          </w:p>
        </w:tc>
        <w:tc>
          <w:tcPr>
            <w:tcW w:type="dxa" w:w="2556"/>
          </w:tcPr>
          <w:p>
            <w:r>
              <w:rPr>
                <w:sz w:val="17"/>
              </w:rPr>
            </w:r>
            <w:r>
              <w:rPr>
                <w:sz w:val="17"/>
              </w:rPr>
              <w:t>Sequence mediation after discovery responses; complete by Nov 2026 (Drazen)</w:t>
            </w:r>
          </w:p>
        </w:tc>
        <w:tc>
          <w:tcPr>
            <w:tcW w:type="dxa" w:w="2556"/>
          </w:tcPr>
          <w:p>
            <w:r>
              <w:rPr>
                <w:sz w:val="17"/>
              </w:rPr>
            </w:r>
            <w:r>
              <w:rPr>
                <w:sz w:val="17"/>
              </w:rPr>
              <w:t>Counsel</w:t>
            </w:r>
          </w:p>
        </w:tc>
        <w:tc>
          <w:tcPr>
            <w:tcW w:type="dxa" w:w="2556"/>
          </w:tcPr>
          <w:p>
            <w:r>
              <w:rPr>
                <w:sz w:val="17"/>
              </w:rPr>
            </w:r>
            <w:r>
              <w:rPr>
                <w:sz w:val="17"/>
              </w:rPr>
              <w:t>Standing</w:t>
            </w:r>
          </w:p>
        </w:tc>
      </w:tr>
      <w:tr>
        <w:tc>
          <w:tcPr>
            <w:tcW w:type="dxa" w:w="2556"/>
          </w:tcPr>
          <w:p>
            <w:r>
              <w:rPr>
                <w:sz w:val="17"/>
              </w:rPr>
            </w:r>
            <w:r>
              <w:rPr>
                <w:sz w:val="17"/>
              </w:rPr>
              <w:t>DZ-04</w:t>
            </w:r>
          </w:p>
        </w:tc>
        <w:tc>
          <w:tcPr>
            <w:tcW w:type="dxa" w:w="2556"/>
          </w:tcPr>
          <w:p>
            <w:r>
              <w:rPr>
                <w:sz w:val="17"/>
              </w:rPr>
            </w:r>
            <w:r>
              <w:rPr>
                <w:sz w:val="17"/>
              </w:rPr>
              <w:t>Follow-up family call (Drazen)</w:t>
            </w:r>
          </w:p>
        </w:tc>
        <w:tc>
          <w:tcPr>
            <w:tcW w:type="dxa" w:w="2556"/>
          </w:tcPr>
          <w:p>
            <w:r>
              <w:rPr>
                <w:sz w:val="17"/>
              </w:rPr>
            </w:r>
            <w:r>
              <w:rPr>
                <w:sz w:val="17"/>
              </w:rPr>
              <w:t>Light</w:t>
            </w:r>
          </w:p>
        </w:tc>
        <w:tc>
          <w:tcPr>
            <w:tcW w:type="dxa" w:w="2556"/>
          </w:tcPr>
          <w:p>
            <w:r>
              <w:rPr>
                <w:sz w:val="17"/>
              </w:rPr>
            </w:r>
            <w:r>
              <w:rPr>
                <w:sz w:val="17"/>
              </w:rPr>
              <w:t>Soon</w:t>
            </w:r>
          </w:p>
        </w:tc>
      </w:tr>
      <w:tr>
        <w:tc>
          <w:tcPr>
            <w:tcW w:type="dxa" w:w="2556"/>
          </w:tcPr>
          <w:p>
            <w:r>
              <w:rPr>
                <w:sz w:val="17"/>
              </w:rPr>
            </w:r>
            <w:r>
              <w:rPr>
                <w:sz w:val="17"/>
              </w:rPr>
              <w:t>SH-01</w:t>
            </w:r>
          </w:p>
        </w:tc>
        <w:tc>
          <w:tcPr>
            <w:tcW w:type="dxa" w:w="2556"/>
          </w:tcPr>
          <w:p>
            <w:r>
              <w:rPr>
                <w:sz w:val="17"/>
              </w:rPr>
            </w:r>
            <w:r>
              <w:rPr>
                <w:sz w:val="17"/>
              </w:rPr>
              <w:t>Names of the two complaint-filing doctors + two fired Indian physicians (Faraaz + mother)</w:t>
            </w:r>
          </w:p>
        </w:tc>
        <w:tc>
          <w:tcPr>
            <w:tcW w:type="dxa" w:w="2556"/>
          </w:tcPr>
          <w:p>
            <w:r>
              <w:rPr>
                <w:sz w:val="17"/>
              </w:rPr>
            </w:r>
            <w:r>
              <w:rPr>
                <w:sz w:val="17"/>
              </w:rPr>
              <w:t>Light</w:t>
            </w:r>
          </w:p>
        </w:tc>
        <w:tc>
          <w:tcPr>
            <w:tcW w:type="dxa" w:w="2556"/>
          </w:tcPr>
          <w:p>
            <w:r>
              <w:rPr>
                <w:sz w:val="17"/>
              </w:rPr>
            </w:r>
            <w:r>
              <w:rPr>
                <w:b/>
                <w:sz w:val="17"/>
              </w:rPr>
              <w:t>Week 1</w:t>
            </w:r>
            <w:r>
              <w:rPr>
                <w:sz w:val="17"/>
              </w:rPr>
              <w:t xml:space="preserve"> — SoL-relevant, batch with FR-04</w:t>
            </w:r>
          </w:p>
        </w:tc>
      </w:tr>
      <w:tr>
        <w:tc>
          <w:tcPr>
            <w:tcW w:type="dxa" w:w="2556"/>
          </w:tcPr>
          <w:p>
            <w:r>
              <w:rPr>
                <w:sz w:val="17"/>
              </w:rPr>
            </w:r>
            <w:r>
              <w:rPr>
                <w:sz w:val="17"/>
              </w:rPr>
              <w:t>FR-04</w:t>
            </w:r>
          </w:p>
        </w:tc>
        <w:tc>
          <w:tcPr>
            <w:tcW w:type="dxa" w:w="2556"/>
          </w:tcPr>
          <w:p>
            <w:r>
              <w:rPr>
                <w:sz w:val="17"/>
              </w:rPr>
            </w:r>
            <w:r>
              <w:rPr>
                <w:sz w:val="17"/>
              </w:rPr>
              <w:t>List of 2021/2022 official complaints against Dr. Ahmed (Faraaz)</w:t>
            </w:r>
          </w:p>
        </w:tc>
        <w:tc>
          <w:tcPr>
            <w:tcW w:type="dxa" w:w="2556"/>
          </w:tcPr>
          <w:p>
            <w:r>
              <w:rPr>
                <w:sz w:val="17"/>
              </w:rPr>
            </w:r>
            <w:r>
              <w:rPr>
                <w:sz w:val="17"/>
              </w:rPr>
              <w:t>Light-retrieval</w:t>
            </w:r>
          </w:p>
        </w:tc>
        <w:tc>
          <w:tcPr>
            <w:tcW w:type="dxa" w:w="2556"/>
          </w:tcPr>
          <w:p>
            <w:r>
              <w:rPr>
                <w:sz w:val="17"/>
              </w:rPr>
            </w:r>
            <w:r>
              <w:rPr>
                <w:sz w:val="17"/>
              </w:rPr>
              <w:t>Week 1 batch</w:t>
            </w:r>
          </w:p>
        </w:tc>
      </w:tr>
      <w:tr>
        <w:tc>
          <w:tcPr>
            <w:tcW w:type="dxa" w:w="2556"/>
          </w:tcPr>
          <w:p>
            <w:r>
              <w:rPr>
                <w:sz w:val="17"/>
              </w:rPr>
            </w:r>
            <w:r>
              <w:rPr>
                <w:sz w:val="17"/>
              </w:rPr>
              <w:t>FR-05</w:t>
            </w:r>
          </w:p>
        </w:tc>
        <w:tc>
          <w:tcPr>
            <w:tcW w:type="dxa" w:w="2556"/>
          </w:tcPr>
          <w:p>
            <w:r>
              <w:rPr>
                <w:sz w:val="17"/>
              </w:rPr>
            </w:r>
            <w:r>
              <w:rPr>
                <w:sz w:val="17"/>
              </w:rPr>
              <w:t>Print senior resident's "don't complain" iMessages (Faraaz)</w:t>
            </w:r>
          </w:p>
        </w:tc>
        <w:tc>
          <w:tcPr>
            <w:tcW w:type="dxa" w:w="2556"/>
          </w:tcPr>
          <w:p>
            <w:r>
              <w:rPr>
                <w:sz w:val="17"/>
              </w:rPr>
            </w:r>
            <w:r>
              <w:rPr>
                <w:sz w:val="17"/>
              </w:rPr>
              <w:t>Light-retrieval</w:t>
            </w:r>
          </w:p>
        </w:tc>
        <w:tc>
          <w:tcPr>
            <w:tcW w:type="dxa" w:w="2556"/>
          </w:tcPr>
          <w:p>
            <w:r>
              <w:rPr>
                <w:sz w:val="17"/>
              </w:rPr>
            </w:r>
            <w:r>
              <w:rPr>
                <w:sz w:val="17"/>
              </w:rPr>
              <w:t>Week 1 batch</w:t>
            </w:r>
          </w:p>
        </w:tc>
      </w:tr>
      <w:tr>
        <w:tc>
          <w:tcPr>
            <w:tcW w:type="dxa" w:w="2556"/>
          </w:tcPr>
          <w:p>
            <w:r>
              <w:rPr>
                <w:sz w:val="17"/>
              </w:rPr>
            </w:r>
            <w:r>
              <w:rPr>
                <w:sz w:val="17"/>
              </w:rPr>
              <w:t>FR-01</w:t>
            </w:r>
          </w:p>
        </w:tc>
        <w:tc>
          <w:tcPr>
            <w:tcW w:type="dxa" w:w="2556"/>
          </w:tcPr>
          <w:p>
            <w:r>
              <w:rPr>
                <w:sz w:val="17"/>
              </w:rPr>
            </w:r>
            <w:r>
              <w:rPr>
                <w:sz w:val="17"/>
              </w:rPr>
              <w:t>Bank records: father's ~$300K/yr transfers, Dubai payments, living expenses (Faraaz)</w:t>
            </w:r>
          </w:p>
        </w:tc>
        <w:tc>
          <w:tcPr>
            <w:tcW w:type="dxa" w:w="2556"/>
          </w:tcPr>
          <w:p>
            <w:r>
              <w:rPr>
                <w:sz w:val="17"/>
              </w:rPr>
            </w:r>
            <w:r>
              <w:rPr>
                <w:sz w:val="17"/>
              </w:rPr>
              <w:t>Substantive</w:t>
            </w:r>
          </w:p>
        </w:tc>
        <w:tc>
          <w:tcPr>
            <w:tcW w:type="dxa" w:w="2556"/>
          </w:tcPr>
          <w:p>
            <w:r>
              <w:rPr>
                <w:sz w:val="17"/>
              </w:rPr>
            </w:r>
            <w:r>
              <w:rPr>
                <w:b/>
                <w:sz w:val="17"/>
              </w:rPr>
              <w:t>Week 2</w:t>
            </w:r>
            <w:r>
              <w:rPr>
                <w:sz w:val="17"/>
              </w:rPr>
              <w:t xml:space="preserve"> (one sitting; AI pre-analysis done)</w:t>
            </w:r>
          </w:p>
        </w:tc>
      </w:tr>
      <w:tr>
        <w:tc>
          <w:tcPr>
            <w:tcW w:type="dxa" w:w="2556"/>
          </w:tcPr>
          <w:p>
            <w:r>
              <w:rPr>
                <w:sz w:val="17"/>
              </w:rPr>
            </w:r>
            <w:r>
              <w:rPr>
                <w:sz w:val="17"/>
              </w:rPr>
              <w:t>HB-01</w:t>
            </w:r>
          </w:p>
        </w:tc>
        <w:tc>
          <w:tcPr>
            <w:tcW w:type="dxa" w:w="2556"/>
          </w:tcPr>
          <w:p>
            <w:r>
              <w:rPr>
                <w:sz w:val="17"/>
              </w:rPr>
            </w:r>
            <w:r>
              <w:rPr>
                <w:sz w:val="17"/>
              </w:rPr>
              <w:t>Collect and send "all that information" incl. "43 of the forgery" materials (Haseeb)</w:t>
            </w:r>
          </w:p>
        </w:tc>
        <w:tc>
          <w:tcPr>
            <w:tcW w:type="dxa" w:w="2556"/>
          </w:tcPr>
          <w:p>
            <w:r>
              <w:rPr>
                <w:sz w:val="17"/>
              </w:rPr>
            </w:r>
            <w:r>
              <w:rPr>
                <w:sz w:val="17"/>
              </w:rPr>
              <w:t>Family channel</w:t>
            </w:r>
          </w:p>
        </w:tc>
        <w:tc>
          <w:tcPr>
            <w:tcW w:type="dxa" w:w="2556"/>
          </w:tcPr>
          <w:p>
            <w:r>
              <w:rPr>
                <w:sz w:val="17"/>
              </w:rPr>
            </w:r>
            <w:r>
              <w:rPr>
                <w:sz w:val="17"/>
              </w:rPr>
              <w:t>Weeks 1–2, parallel</w:t>
            </w:r>
          </w:p>
        </w:tc>
      </w:tr>
      <w:tr>
        <w:tc>
          <w:tcPr>
            <w:tcW w:type="dxa" w:w="2556"/>
          </w:tcPr>
          <w:p>
            <w:r>
              <w:rPr>
                <w:sz w:val="17"/>
              </w:rPr>
            </w:r>
            <w:r>
              <w:rPr>
                <w:sz w:val="17"/>
              </w:rPr>
              <w:t>FR-02</w:t>
            </w:r>
          </w:p>
        </w:tc>
        <w:tc>
          <w:tcPr>
            <w:tcW w:type="dxa" w:w="2556"/>
          </w:tcPr>
          <w:p>
            <w:r>
              <w:rPr>
                <w:sz w:val="17"/>
              </w:rPr>
            </w:r>
            <w:r>
              <w:rPr>
                <w:sz w:val="17"/>
              </w:rPr>
              <w:t>Mark up academic records — every unfair/inaccurate entry → correction demand (Faraaz)</w:t>
            </w:r>
          </w:p>
        </w:tc>
        <w:tc>
          <w:tcPr>
            <w:tcW w:type="dxa" w:w="2556"/>
          </w:tcPr>
          <w:p>
            <w:r>
              <w:rPr>
                <w:sz w:val="17"/>
              </w:rPr>
            </w:r>
            <w:r>
              <w:rPr>
                <w:b/>
                <w:sz w:val="17"/>
              </w:rPr>
              <w:t>Heavy — emotional</w:t>
            </w:r>
          </w:p>
        </w:tc>
        <w:tc>
          <w:tcPr>
            <w:tcW w:type="dxa" w:w="2556"/>
          </w:tcPr>
          <w:p>
            <w:r>
              <w:rPr>
                <w:sz w:val="17"/>
              </w:rPr>
            </w:r>
            <w:r>
              <w:rPr>
                <w:b/>
                <w:sz w:val="17"/>
              </w:rPr>
              <w:t>Week 3, alone; light week after</w:t>
            </w:r>
          </w:p>
        </w:tc>
      </w:tr>
      <w:tr>
        <w:tc>
          <w:tcPr>
            <w:tcW w:type="dxa" w:w="2556"/>
          </w:tcPr>
          <w:p>
            <w:r>
              <w:rPr>
                <w:sz w:val="17"/>
              </w:rPr>
            </w:r>
            <w:r>
              <w:rPr>
                <w:sz w:val="17"/>
              </w:rPr>
              <w:t>FR-03</w:t>
            </w:r>
          </w:p>
        </w:tc>
        <w:tc>
          <w:tcPr>
            <w:tcW w:type="dxa" w:w="2556"/>
          </w:tcPr>
          <w:p>
            <w:r>
              <w:rPr>
                <w:sz w:val="17"/>
              </w:rPr>
            </w:r>
            <w:r>
              <w:rPr>
                <w:sz w:val="17"/>
              </w:rPr>
              <w:t>Locate 2022 ten-page GME rebuttal email (Faraaz; work-email demand is fallback)</w:t>
            </w:r>
          </w:p>
        </w:tc>
        <w:tc>
          <w:tcPr>
            <w:tcW w:type="dxa" w:w="2556"/>
          </w:tcPr>
          <w:p>
            <w:r>
              <w:rPr>
                <w:sz w:val="17"/>
              </w:rPr>
            </w:r>
            <w:r>
              <w:rPr>
                <w:sz w:val="17"/>
              </w:rPr>
              <w:t>Light-retrieval</w:t>
            </w:r>
          </w:p>
        </w:tc>
        <w:tc>
          <w:tcPr>
            <w:tcW w:type="dxa" w:w="2556"/>
          </w:tcPr>
          <w:p>
            <w:r>
              <w:rPr>
                <w:sz w:val="17"/>
              </w:rPr>
            </w:r>
            <w:r>
              <w:rPr>
                <w:sz w:val="17"/>
              </w:rPr>
              <w:t>Week 4 batch</w:t>
            </w:r>
          </w:p>
        </w:tc>
      </w:tr>
      <w:tr>
        <w:tc>
          <w:tcPr>
            <w:tcW w:type="dxa" w:w="2556"/>
          </w:tcPr>
          <w:p>
            <w:r>
              <w:rPr>
                <w:sz w:val="17"/>
              </w:rPr>
            </w:r>
            <w:r>
              <w:rPr>
                <w:sz w:val="17"/>
              </w:rPr>
              <w:t>FR-06</w:t>
            </w:r>
          </w:p>
        </w:tc>
        <w:tc>
          <w:tcPr>
            <w:tcW w:type="dxa" w:w="2556"/>
          </w:tcPr>
          <w:p>
            <w:r>
              <w:rPr>
                <w:sz w:val="17"/>
              </w:rPr>
            </w:r>
            <w:r>
              <w:rPr>
                <w:sz w:val="17"/>
              </w:rPr>
              <w:t>Annotate the ~4,000-page archive; deliver compiled document (Faraaz)</w:t>
            </w:r>
          </w:p>
        </w:tc>
        <w:tc>
          <w:tcPr>
            <w:tcW w:type="dxa" w:w="2556"/>
          </w:tcPr>
          <w:p>
            <w:r>
              <w:rPr>
                <w:sz w:val="17"/>
              </w:rPr>
            </w:r>
            <w:r>
              <w:rPr>
                <w:b/>
                <w:sz w:val="17"/>
              </w:rPr>
              <w:t>Heavy</w:t>
            </w:r>
          </w:p>
        </w:tc>
        <w:tc>
          <w:tcPr>
            <w:tcW w:type="dxa" w:w="2556"/>
          </w:tcPr>
          <w:p>
            <w:r>
              <w:rPr>
                <w:sz w:val="17"/>
              </w:rPr>
            </w:r>
            <w:r>
              <w:rPr>
                <w:sz w:val="17"/>
              </w:rPr>
              <w:t>Weeks 5–6, split; never same week as FR-02</w:t>
            </w:r>
          </w:p>
        </w:tc>
      </w:tr>
      <w:tr>
        <w:tc>
          <w:tcPr>
            <w:tcW w:type="dxa" w:w="2556"/>
          </w:tcPr>
          <w:p>
            <w:r>
              <w:rPr>
                <w:sz w:val="17"/>
              </w:rPr>
            </w:r>
            <w:r>
              <w:rPr>
                <w:sz w:val="17"/>
              </w:rPr>
              <w:t>FR-07</w:t>
            </w:r>
          </w:p>
        </w:tc>
        <w:tc>
          <w:tcPr>
            <w:tcW w:type="dxa" w:w="2556"/>
          </w:tcPr>
          <w:p>
            <w:r>
              <w:rPr>
                <w:sz w:val="17"/>
              </w:rPr>
            </w:r>
            <w:r>
              <w:rPr>
                <w:sz w:val="17"/>
              </w:rPr>
              <w:t>Initiate ACGME complaint (Faraaz; Drazen: "that's fine")</w:t>
            </w:r>
          </w:p>
        </w:tc>
        <w:tc>
          <w:tcPr>
            <w:tcW w:type="dxa" w:w="2556"/>
          </w:tcPr>
          <w:p>
            <w:r>
              <w:rPr>
                <w:sz w:val="17"/>
              </w:rPr>
            </w:r>
            <w:r>
              <w:rPr>
                <w:sz w:val="17"/>
              </w:rPr>
              <w:t>Substantive</w:t>
            </w:r>
          </w:p>
        </w:tc>
        <w:tc>
          <w:tcPr>
            <w:tcW w:type="dxa" w:w="2556"/>
          </w:tcPr>
          <w:p>
            <w:r>
              <w:rPr>
                <w:sz w:val="17"/>
              </w:rPr>
            </w:r>
            <w:r>
              <w:rPr>
                <w:sz w:val="17"/>
              </w:rPr>
              <w:t>Week 5–6 — pre-mediation leverage</w:t>
            </w:r>
          </w:p>
        </w:tc>
      </w:tr>
      <w:tr>
        <w:tc>
          <w:tcPr>
            <w:tcW w:type="dxa" w:w="2556"/>
          </w:tcPr>
          <w:p>
            <w:r>
              <w:rPr>
                <w:sz w:val="17"/>
              </w:rPr>
            </w:r>
            <w:r>
              <w:rPr>
                <w:sz w:val="17"/>
              </w:rPr>
              <w:t>FR-08</w:t>
            </w:r>
          </w:p>
        </w:tc>
        <w:tc>
          <w:tcPr>
            <w:tcW w:type="dxa" w:w="2556"/>
          </w:tcPr>
          <w:p>
            <w:r>
              <w:rPr>
                <w:sz w:val="17"/>
              </w:rPr>
            </w:r>
            <w:r>
              <w:rPr>
                <w:sz w:val="17"/>
              </w:rPr>
              <w:t>Send circulated CCTV "poster" image (Faraaz)</w:t>
            </w:r>
          </w:p>
        </w:tc>
        <w:tc>
          <w:tcPr>
            <w:tcW w:type="dxa" w:w="2556"/>
          </w:tcPr>
          <w:p>
            <w:r>
              <w:rPr>
                <w:sz w:val="17"/>
              </w:rPr>
            </w:r>
            <w:r>
              <w:rPr>
                <w:sz w:val="17"/>
              </w:rPr>
              <w:t>—</w:t>
            </w:r>
          </w:p>
        </w:tc>
        <w:tc>
          <w:tcPr>
            <w:tcW w:type="dxa" w:w="2556"/>
          </w:tcPr>
          <w:p>
            <w:r>
              <w:rPr>
                <w:sz w:val="17"/>
              </w:rPr>
            </w:r>
            <w:r>
              <w:rPr>
                <w:sz w:val="17"/>
              </w:rPr>
              <w:t xml:space="preserve">✅ </w:t>
            </w:r>
            <w:r>
              <w:rPr>
                <w:b/>
                <w:sz w:val="17"/>
              </w:rPr>
              <w:t>Completed during call</w:t>
            </w:r>
            <w:r>
              <w:rPr>
                <w:sz w:val="17"/>
              </w:rPr>
              <w:t xml:space="preserve"> (01:10:28)</w:t>
            </w:r>
          </w:p>
        </w:tc>
      </w:tr>
      <w:tr>
        <w:tc>
          <w:tcPr>
            <w:tcW w:type="dxa" w:w="2556"/>
          </w:tcPr>
          <w:p>
            <w:r>
              <w:rPr>
                <w:sz w:val="17"/>
              </w:rPr>
            </w:r>
            <w:r>
              <w:rPr>
                <w:sz w:val="17"/>
              </w:rPr>
              <w:t>FR-09</w:t>
            </w:r>
          </w:p>
        </w:tc>
        <w:tc>
          <w:tcPr>
            <w:tcW w:type="dxa" w:w="2556"/>
          </w:tcPr>
          <w:p>
            <w:r>
              <w:rPr>
                <w:sz w:val="17"/>
              </w:rPr>
            </w:r>
            <w:r>
              <w:rPr>
                <w:sz w:val="17"/>
              </w:rPr>
              <w:t>"$100 million with a base of 10" document check — referent never clarified</w:t>
            </w:r>
          </w:p>
        </w:tc>
        <w:tc>
          <w:tcPr>
            <w:tcW w:type="dxa" w:w="2556"/>
          </w:tcPr>
          <w:p>
            <w:r>
              <w:rPr>
                <w:sz w:val="17"/>
              </w:rPr>
            </w:r>
            <w:r>
              <w:rPr>
                <w:sz w:val="17"/>
              </w:rPr>
              <w:t>Light</w:t>
            </w:r>
          </w:p>
        </w:tc>
        <w:tc>
          <w:tcPr>
            <w:tcW w:type="dxa" w:w="2556"/>
          </w:tcPr>
          <w:p>
            <w:r>
              <w:rPr>
                <w:sz w:val="17"/>
              </w:rPr>
            </w:r>
            <w:r>
              <w:rPr>
                <w:sz w:val="17"/>
              </w:rPr>
              <w:t>Clarify with client; unclear_referent</w:t>
            </w:r>
          </w:p>
        </w:tc>
      </w:tr>
      <w:tr>
        <w:tc>
          <w:tcPr>
            <w:tcW w:type="dxa" w:w="2556"/>
          </w:tcPr>
          <w:p>
            <w:r>
              <w:rPr>
                <w:sz w:val="17"/>
              </w:rPr>
            </w:r>
            <w:r>
              <w:rPr>
                <w:sz w:val="17"/>
              </w:rPr>
              <w:t>FAM-01</w:t>
            </w:r>
          </w:p>
        </w:tc>
        <w:tc>
          <w:tcPr>
            <w:tcW w:type="dxa" w:w="2556"/>
          </w:tcPr>
          <w:p>
            <w:r>
              <w:rPr>
                <w:sz w:val="17"/>
              </w:rPr>
            </w:r>
            <w:r>
              <w:rPr>
                <w:sz w:val="17"/>
              </w:rPr>
              <w:t>Call Drazen from the Verizon phone (family)</w:t>
            </w:r>
          </w:p>
        </w:tc>
        <w:tc>
          <w:tcPr>
            <w:tcW w:type="dxa" w:w="2556"/>
          </w:tcPr>
          <w:p>
            <w:r>
              <w:rPr>
                <w:sz w:val="17"/>
              </w:rPr>
            </w:r>
            <w:r>
              <w:rPr>
                <w:sz w:val="17"/>
              </w:rPr>
              <w:t>Logistics</w:t>
            </w:r>
          </w:p>
        </w:tc>
        <w:tc>
          <w:tcPr>
            <w:tcW w:type="dxa" w:w="2556"/>
          </w:tcPr>
          <w:p>
            <w:r>
              <w:rPr>
                <w:sz w:val="17"/>
              </w:rPr>
            </w:r>
            <w:r>
              <w:rPr>
                <w:sz w:val="17"/>
              </w:rPr>
              <w:t>Ongoing</w:t>
            </w:r>
          </w:p>
        </w:tc>
      </w:tr>
    </w:tbl>
    <w:p/>
    <w:p>
      <w:r>
        <w:rPr>
          <w:i/>
        </w:rPr>
        <w:t>Unlisted but binding per pacing rules: schedule the ICD device check (unchecked ~3 years — DOCUMENTED lapse).</w:t>
      </w:r>
    </w:p>
    <w:p>
      <w:r>
        <w:rPr>
          <w:color w:val="C9D2E4"/>
        </w:rPr>
        <w:t>————————————————————————————————————————</w:t>
      </w:r>
    </w:p>
    <w:p>
      <w:pPr>
        <w:pStyle w:val="Heading2"/>
      </w:pPr>
      <w:r>
        <w:rPr>
          <w:color w:val="21315E"/>
        </w:rPr>
        <w:t>9. Standing Honesty Note</w:t>
      </w:r>
    </w:p>
    <w:p>
      <w:pPr>
        <w:pStyle w:val="ListBullet"/>
      </w:pPr>
      <w:r>
        <w:rPr>
          <w:b/>
        </w:rPr>
        <w:t>Evidence labels.</w:t>
      </w:r>
      <w:r>
        <w:t xml:space="preserve"> Every dollar figure above is tagged DOCUMENTED / ESTIMABLE / ASSERTED. Largest open upgrades: the executed Florida contract (Flag 4 — the canon self-contradicts, 00:13:03 "signed April 1" vs. 00:14:21 "never signed it"; nothing external may rely on the contract until the instrument is in counsel's hands), remaining paternal-loan wires, pharmacy records, psych corroboration.</w:t>
      </w:r>
    </w:p>
    <w:p>
      <w:pPr>
        <w:pStyle w:val="ListBullet"/>
      </w:pPr>
      <w:r>
        <w:rPr>
          <w:b/>
        </w:rPr>
        <w:t>Citations.</w:t>
      </w:r>
      <w:r>
        <w:t xml:space="preserve"> Every case cited here is VERIFIED on CourtListener (CL id in text) in </w:t>
      </w:r>
      <w:r>
        <w:rPr>
          <w:rFonts w:ascii="Consolas" w:hAnsi="Consolas"/>
          <w:sz w:val="18"/>
        </w:rPr>
        <w:t>data/research/r1–r4</w:t>
      </w:r>
      <w:r>
        <w:t xml:space="preserve">. All statutes (CPLR 215(3)/214(5), GML 50-e/50-i, §§1988(b), 2617, 2000d-3, 12102, 1981a, Exec. Law 296–297, HCQIA, CPL 190.25(4), §1367) are official-source text, </w:t>
      </w:r>
      <w:r>
        <w:rPr>
          <w:b/>
        </w:rPr>
        <w:t>[unverified — confirm with counsel]</w:t>
      </w:r>
      <w:r>
        <w:t xml:space="preserve">. </w:t>
      </w:r>
      <w:r>
        <w:rPr>
          <w:b/>
        </w:rPr>
        <w:t>Kill list (never cite):</w:t>
      </w:r>
      <w:r>
        <w:t xml:space="preserve"> </w:t>
      </w:r>
      <w:r>
        <w:rPr>
          <w:i/>
        </w:rPr>
        <w:t>Tarpley</w:t>
      </w:r>
      <w:r>
        <w:t xml:space="preserve"> as a plaintiff comparator (it is adverse), </w:t>
      </w:r>
      <w:r>
        <w:rPr>
          <w:i/>
        </w:rPr>
        <w:t>Breest v. Haggis</w:t>
      </w:r>
      <w:r>
        <w:t xml:space="preserve">, </w:t>
      </w:r>
      <w:r>
        <w:rPr>
          <w:i/>
        </w:rPr>
        <w:t>Reynaud</w:t>
      </w:r>
      <w:r>
        <w:t xml:space="preserve">, </w:t>
      </w:r>
      <w:r>
        <w:rPr>
          <w:i/>
        </w:rPr>
        <w:t>McDonnell Douglas</w:t>
      </w:r>
      <w:r>
        <w:t xml:space="preserve"> / </w:t>
      </w:r>
      <w:r>
        <w:rPr>
          <w:i/>
        </w:rPr>
        <w:t>Mt. Healthy</w:t>
      </w:r>
      <w:r>
        <w:t xml:space="preserve"> / </w:t>
      </w:r>
      <w:r>
        <w:rPr>
          <w:i/>
        </w:rPr>
        <w:t>Price Waterhouse</w:t>
      </w:r>
      <w:r>
        <w:t xml:space="preserve"> / </w:t>
      </w:r>
      <w:r>
        <w:rPr>
          <w:i/>
        </w:rPr>
        <w:t>Briscoe v. LaHue</w:t>
      </w:r>
      <w:r>
        <w:t xml:space="preserve"> / </w:t>
      </w:r>
      <w:r>
        <w:rPr>
          <w:i/>
        </w:rPr>
        <w:t>McKennon</w:t>
      </w:r>
      <w:r>
        <w:t xml:space="preserve"> (not verified in corpus). Verdict comparators (</w:t>
      </w:r>
      <w:r>
        <w:rPr>
          <w:i/>
        </w:rPr>
        <w:t>Walker v. Ascension</w:t>
      </w:r>
      <w:r>
        <w:t xml:space="preserve"> ~$10M, </w:t>
      </w:r>
      <w:r>
        <w:rPr>
          <w:i/>
        </w:rPr>
        <w:t>Pizarro</w:t>
      </w:r>
      <w:r>
        <w:t xml:space="preserve"> $1.725M, </w:t>
      </w:r>
      <w:r>
        <w:rPr>
          <w:i/>
        </w:rPr>
        <w:t>Walsh/Su v. Tara</w:t>
      </w:r>
      <w:r>
        <w:t>) are UNVERIFIED_WEB — mediation atmospherics only, always flagged.</w:t>
      </w:r>
    </w:p>
    <w:p>
      <w:pPr>
        <w:pStyle w:val="ListBullet"/>
      </w:pPr>
      <w:r>
        <w:rPr>
          <w:b/>
        </w:rPr>
        <w:t>Identity hygiene.</w:t>
      </w:r>
      <w:r>
        <w:t xml:space="preserve"> Defendant is United Health Services (Binghamton, EIN 16-1165049, non-profit; FY2024 revenue ~$1.16B ASSERTED [unverified — ProPublica 990]) — </w:t>
      </w:r>
      <w:r>
        <w:rPr>
          <w:b/>
        </w:rPr>
        <w:t>not</w:t>
      </w:r>
      <w:r>
        <w:t xml:space="preserve"> Universal Health Services (NYSE: UHS), </w:t>
      </w:r>
      <w:r>
        <w:rPr>
          <w:b/>
        </w:rPr>
        <w:t>not</w:t>
      </w:r>
      <w:r>
        <w:t xml:space="preserve"> UnitedHealth Group. Borrowing either stranger's rap sheet is sanctions-grade error. Unresolved r2-vs-r4 caption question ("UHS of Delaware") — counsel to confirm the caption entity before any size/wealth argument.</w:t>
      </w:r>
    </w:p>
    <w:p>
      <w:pPr>
        <w:pStyle w:val="ListBullet"/>
      </w:pPr>
      <w:r>
        <w:rPr>
          <w:b/>
        </w:rPr>
        <w:t>Posture figures.</w:t>
      </w:r>
      <w:r>
        <w:t xml:space="preserve"> $100M / $40M are NEGOTIATION POSTURE (ASSERTED), never pleaded damages; the defensible envelope is Tier 2 ($4.34M–$16.57M ESTIMABLE). Rule 11 / mediator-credibility caveat on every use; counsel approval required.</w:t>
      </w:r>
    </w:p>
    <w:p>
      <w:pPr>
        <w:pStyle w:val="ListBullet"/>
      </w:pPr>
      <w:r>
        <w:rPr>
          <w:b/>
        </w:rPr>
        <w:t>No guarantees.</w:t>
      </w:r>
      <w:r>
        <w:t xml:space="preserve"> All probabilities are subjective estimates on the current record; re-run </w:t>
      </w:r>
      <w:r>
        <w:rPr>
          <w:rFonts w:ascii="Consolas" w:hAnsi="Consolas"/>
          <w:sz w:val="18"/>
        </w:rPr>
        <w:t>win-probability.md</w:t>
      </w:r>
      <w:r>
        <w:t xml:space="preserve"> on each of its 16 update triggers. </w:t>
      </w:r>
      <w:r>
        <w:rPr>
          <w:b/>
        </w:rPr>
        <w:t>Counsel review required before any element of this plan is used externally.</w:t>
      </w:r>
      <w:r>
        <w:t xml:space="preserve"> Open factual flags to resolve first: (1) 2022-vs-2024 operative year; (2) Florida-contract execution; (3) arrest-date/intra-day sequencing; (4) fiancée/complainant linkage; (5) FR-09 referent.</w:t>
      </w:r>
    </w:p>
    <w:p>
      <w:r>
        <w:rPr>
          <w:color w:val="C9D2E4"/>
        </w:rPr>
        <w:t>————————————————————————————————————————</w:t>
      </w:r>
    </w:p>
    <w:p>
      <w:pPr>
        <w:pStyle w:val="Heading3"/>
      </w:pPr>
      <w:r>
        <w:rPr>
          <w:color w:val="21315E"/>
        </w:rPr>
        <w:t>Assembly receipt</w:t>
      </w:r>
    </w:p>
    <w:p>
      <w:r>
        <w:t xml:space="preserve">Built 2026-08-02 solely from: </w:t>
      </w:r>
      <w:r>
        <w:rPr>
          <w:rFonts w:ascii="Consolas" w:hAnsi="Consolas"/>
          <w:sz w:val="18"/>
        </w:rPr>
        <w:t>strategy/damages-architecture.md</w:t>
      </w:r>
      <w:r>
        <w:t xml:space="preserve">, </w:t>
      </w:r>
      <w:r>
        <w:rPr>
          <w:rFonts w:ascii="Consolas" w:hAnsi="Consolas"/>
          <w:sz w:val="18"/>
        </w:rPr>
        <w:t>strategy/legal-story.md</w:t>
      </w:r>
      <w:r>
        <w:t xml:space="preserve"> (cold open verbatim), </w:t>
      </w:r>
      <w:r>
        <w:rPr>
          <w:rFonts w:ascii="Consolas" w:hAnsi="Consolas"/>
          <w:sz w:val="18"/>
        </w:rPr>
        <w:t>strategy/obstacle-counter-matrix.md</w:t>
      </w:r>
      <w:r>
        <w:t xml:space="preserve">, </w:t>
      </w:r>
      <w:r>
        <w:rPr>
          <w:rFonts w:ascii="Consolas" w:hAnsi="Consolas"/>
          <w:sz w:val="18"/>
        </w:rPr>
        <w:t>strategy/pressure-point-map.md</w:t>
      </w:r>
      <w:r>
        <w:t xml:space="preserve">, </w:t>
      </w:r>
      <w:r>
        <w:rPr>
          <w:rFonts w:ascii="Consolas" w:hAnsi="Consolas"/>
          <w:sz w:val="18"/>
        </w:rPr>
        <w:t>strategy/win-probability.md</w:t>
      </w:r>
      <w:r>
        <w:t xml:space="preserve">, </w:t>
      </w:r>
      <w:r>
        <w:rPr>
          <w:rFonts w:ascii="Consolas" w:hAnsi="Consolas"/>
          <w:sz w:val="18"/>
        </w:rPr>
        <w:t>data/action_items.json</w:t>
      </w:r>
      <w:r>
        <w:t xml:space="preserve"> (16 items), </w:t>
      </w:r>
      <w:r>
        <w:rPr>
          <w:rFonts w:ascii="Consolas" w:hAnsi="Consolas"/>
          <w:sz w:val="18"/>
        </w:rPr>
        <w:t>data/pacing_digest.md</w:t>
      </w:r>
      <w:r>
        <w:t xml:space="preserve">, and headline findings of </w:t>
      </w:r>
      <w:r>
        <w:rPr>
          <w:rFonts w:ascii="Consolas" w:hAnsi="Consolas"/>
          <w:sz w:val="18"/>
        </w:rPr>
        <w:t>data/research/r1_malicious_prosecution.json</w:t>
      </w:r>
      <w:r>
        <w:t xml:space="preserve">, </w:t>
      </w:r>
      <w:r>
        <w:rPr>
          <w:rFonts w:ascii="Consolas" w:hAnsi="Consolas"/>
          <w:sz w:val="18"/>
        </w:rPr>
        <w:t>r2_citation_audit.json</w:t>
      </w:r>
      <w:r>
        <w:t xml:space="preserve">, </w:t>
      </w:r>
      <w:r>
        <w:rPr>
          <w:rFonts w:ascii="Consolas" w:hAnsi="Consolas"/>
          <w:sz w:val="18"/>
        </w:rPr>
        <w:t>r3_employment_claims.json</w:t>
      </w:r>
      <w:r>
        <w:t xml:space="preserve">, </w:t>
      </w:r>
      <w:r>
        <w:rPr>
          <w:rFonts w:ascii="Consolas" w:hAnsi="Consolas"/>
          <w:sz w:val="18"/>
        </w:rPr>
        <w:t>r4_punitive_identity.json</w:t>
      </w:r>
      <w:r>
        <w:t>. No fact, figure, or citation appears here that is not present in those inputs.</w:t>
      </w:r>
    </w:p>
    <w:p>
      <w:r>
        <w:rPr>
          <w:i/>
        </w:rPr>
        <w:t>Attorney Work Product — Privileged &amp; Confidential.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