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A34A"/>
          <w:sz w:val="60"/>
        </w:rPr>
        <w:t>AgriPartners</w:t>
      </w:r>
    </w:p>
    <w:p>
      <w:pPr>
        <w:jc w:val="center"/>
      </w:pPr>
      <w:r>
        <w:rPr>
          <w:b/>
          <w:color w:val="0F172A"/>
          <w:sz w:val="56"/>
        </w:rPr>
        <w:t>Platform Explained</w:t>
      </w:r>
    </w:p>
    <w:p>
      <w:pPr>
        <w:jc w:val="center"/>
      </w:pPr>
      <w:r>
        <w:rPr>
          <w:color w:val="374151"/>
          <w:sz w:val="28"/>
        </w:rPr>
        <w:t>Vision, Funding Model, NEAR Relevance, and Stakeholder Benefits</w:t>
      </w:r>
    </w:p>
    <w:tbl>
      <w:tblPr>
        <w:tblW w:type="auto" w:w="0"/>
        <w:jc w:val="center"/>
        <w:tblLook w:firstColumn="1" w:firstRow="1" w:lastColumn="0" w:lastRow="0" w:noHBand="0" w:noVBand="1" w:val="04A0"/>
      </w:tblPr>
      <w:tblGrid>
        <w:gridCol w:w="10080"/>
      </w:tblGrid>
      <w:tr>
        <w:tc>
          <w:tcPr>
            <w:tcW w:type="dxa" w:w="10080"/>
            <w:shd w:fill="ECFDF5"/>
            <w:tcBorders>
              <w:top w:val="single" w:sz="12" w:space="0" w:color="22C55E"/>
              <w:left w:val="single" w:sz="12" w:space="0" w:color="22C55E"/>
              <w:bottom w:val="single" w:sz="12" w:space="0" w:color="22C55E"/>
              <w:right w:val="single" w:sz="12" w:space="0" w:color="22C55E"/>
            </w:tcBorders>
          </w:tcPr>
          <w:p>
            <w:r>
              <w:rPr>
                <w:b/>
                <w:color w:val="14532D"/>
                <w:sz w:val="20"/>
              </w:rPr>
              <w:t>Plain-English purpose of this document</w:t>
            </w:r>
          </w:p>
          <w:p>
            <w:pPr>
              <w:spacing w:after="0"/>
            </w:pPr>
            <w:r>
              <w:rPr>
                <w:sz w:val="18"/>
              </w:rPr>
              <w:t>This document explains what AgriPartners is, why the platform uses NEAR infrastructure, how crypto and stablecoins may fit into future funding workflows, and what value the platform can create for investors, farmers, operators, and ecosystem partners.</w:t>
            </w:r>
          </w:p>
        </w:tc>
      </w:tr>
    </w:tbl>
    <w:tbl>
      <w:tblPr>
        <w:tblStyle w:val="TableGrid"/>
        <w:tblW w:type="auto" w:w="0"/>
        <w:jc w:val="center"/>
        <w:tblLook w:firstColumn="1" w:firstRow="1" w:lastColumn="0" w:lastRow="0" w:noHBand="0" w:noVBand="1" w:val="04A0"/>
      </w:tblPr>
      <w:tblGrid>
        <w:gridCol w:w="5040"/>
        <w:gridCol w:w="5040"/>
      </w:tblGrid>
      <w:tr>
        <w:tc>
          <w:tcPr>
            <w:tcW w:type="dxa" w:w="5040"/>
            <w:shd w:fill="F0FDF4"/>
          </w:tcPr>
          <w:p>
            <w:r/>
            <w:r>
              <w:rPr>
                <w:b/>
                <w:sz w:val="18"/>
              </w:rPr>
              <w:t>Project</w:t>
            </w:r>
          </w:p>
        </w:tc>
        <w:tc>
          <w:tcPr>
            <w:tcW w:type="dxa" w:w="5040"/>
          </w:tcPr>
          <w:p>
            <w:r/>
            <w:r>
              <w:rPr>
                <w:b w:val="0"/>
                <w:sz w:val="18"/>
              </w:rPr>
              <w:t>AgriPartners</w:t>
            </w:r>
          </w:p>
        </w:tc>
      </w:tr>
      <w:tr>
        <w:tc>
          <w:tcPr>
            <w:tcW w:type="dxa" w:w="5040"/>
            <w:shd w:fill="F0FDF4"/>
          </w:tcPr>
          <w:p>
            <w:r/>
            <w:r>
              <w:rPr>
                <w:b/>
                <w:sz w:val="18"/>
              </w:rPr>
              <w:t>Version</w:t>
            </w:r>
          </w:p>
        </w:tc>
        <w:tc>
          <w:tcPr>
            <w:tcW w:type="dxa" w:w="5040"/>
          </w:tcPr>
          <w:p>
            <w:r/>
            <w:r>
              <w:rPr>
                <w:b w:val="0"/>
                <w:sz w:val="18"/>
              </w:rPr>
              <w:t>English v2.0 / Alpha v1.2 positioning</w:t>
            </w:r>
          </w:p>
        </w:tc>
      </w:tr>
      <w:tr>
        <w:tc>
          <w:tcPr>
            <w:tcW w:type="dxa" w:w="5040"/>
            <w:shd w:fill="F0FDF4"/>
          </w:tcPr>
          <w:p>
            <w:r/>
            <w:r>
              <w:rPr>
                <w:b/>
                <w:sz w:val="18"/>
              </w:rPr>
              <w:t>Current technical stage</w:t>
            </w:r>
          </w:p>
        </w:tc>
        <w:tc>
          <w:tcPr>
            <w:tcW w:type="dxa" w:w="5040"/>
          </w:tcPr>
          <w:p>
            <w:r/>
            <w:r>
              <w:rPr>
                <w:b w:val="0"/>
                <w:sz w:val="18"/>
              </w:rPr>
              <w:t>Working Alpha on NEAR Testnet</w:t>
            </w:r>
          </w:p>
        </w:tc>
      </w:tr>
      <w:tr>
        <w:tc>
          <w:tcPr>
            <w:tcW w:type="dxa" w:w="5040"/>
            <w:shd w:fill="F0FDF4"/>
          </w:tcPr>
          <w:p>
            <w:r/>
            <w:r>
              <w:rPr>
                <w:b/>
                <w:sz w:val="18"/>
              </w:rPr>
              <w:t>Prepared for</w:t>
            </w:r>
          </w:p>
        </w:tc>
        <w:tc>
          <w:tcPr>
            <w:tcW w:type="dxa" w:w="5040"/>
          </w:tcPr>
          <w:p>
            <w:r/>
            <w:r>
              <w:rPr>
                <w:b w:val="0"/>
                <w:sz w:val="18"/>
              </w:rPr>
              <w:t>NEAR ecosystem, investors, partners, farmers, advisors</w:t>
            </w:r>
          </w:p>
        </w:tc>
      </w:tr>
      <w:tr>
        <w:tc>
          <w:tcPr>
            <w:tcW w:type="dxa" w:w="5040"/>
            <w:shd w:fill="F0FDF4"/>
          </w:tcPr>
          <w:p>
            <w:r/>
            <w:r>
              <w:rPr>
                <w:b/>
                <w:sz w:val="18"/>
              </w:rPr>
              <w:t>Date</w:t>
            </w:r>
          </w:p>
        </w:tc>
        <w:tc>
          <w:tcPr>
            <w:tcW w:type="dxa" w:w="5040"/>
          </w:tcPr>
          <w:p>
            <w:r/>
            <w:r>
              <w:rPr>
                <w:b w:val="0"/>
                <w:sz w:val="18"/>
              </w:rPr>
              <w:t>June 2026</w:t>
            </w:r>
          </w:p>
        </w:tc>
      </w:tr>
    </w:tbl>
    <w:p/>
    <w:tbl>
      <w:tblPr>
        <w:tblW w:type="auto" w:w="0"/>
        <w:jc w:val="center"/>
        <w:tblLook w:firstColumn="1" w:firstRow="1" w:lastColumn="0" w:lastRow="0" w:noHBand="0" w:noVBand="1" w:val="04A0"/>
      </w:tblPr>
      <w:tblGrid>
        <w:gridCol w:w="10080"/>
      </w:tblGrid>
      <w:tr>
        <w:tc>
          <w:tcPr>
            <w:tcW w:type="dxa" w:w="10080"/>
            <w:shd w:fill="FFF7ED"/>
            <w:tcBorders>
              <w:top w:val="single" w:sz="12" w:space="0" w:color="F97316"/>
              <w:left w:val="single" w:sz="12" w:space="0" w:color="F97316"/>
              <w:bottom w:val="single" w:sz="12" w:space="0" w:color="F97316"/>
              <w:right w:val="single" w:sz="12" w:space="0" w:color="F97316"/>
            </w:tcBorders>
          </w:tcPr>
          <w:p>
            <w:r>
              <w:rPr>
                <w:b/>
                <w:color w:val="14532D"/>
                <w:sz w:val="20"/>
              </w:rPr>
              <w:t>Important limitation</w:t>
            </w:r>
          </w:p>
          <w:p>
            <w:pPr>
              <w:spacing w:after="0"/>
            </w:pPr>
            <w:r>
              <w:rPr>
                <w:sz w:val="18"/>
              </w:rPr>
              <w:t>AgriPartners Alpha v1.2 is not a production investment product, custody system, payout system, settlement system, exchange, bank, securities platform, or legal offering. It is currently a testnet prototype and strategic workflow platform for review, feedback, and pilot exploration.</w:t>
            </w:r>
          </w:p>
        </w:tc>
      </w:tr>
    </w:tbl>
    <w:p>
      <w:r>
        <w:br w:type="page"/>
      </w:r>
    </w:p>
    <w:p>
      <w:pPr>
        <w:pStyle w:val="Heading1"/>
      </w:pPr>
      <w:r>
        <w:rPr>
          <w:color w:val="111827"/>
        </w:rPr>
        <w:t>Table of Contents</w:t>
      </w:r>
    </w:p>
    <w:p>
      <w:pPr>
        <w:spacing w:after="120" w:line="259" w:lineRule="auto"/>
      </w:pPr>
      <w:r>
        <w:rPr>
          <w:sz w:val="20"/>
        </w:rPr>
        <w:t>1. Executive Summary</w:t>
      </w:r>
    </w:p>
    <w:p>
      <w:pPr>
        <w:spacing w:after="120" w:line="259" w:lineRule="auto"/>
      </w:pPr>
      <w:r>
        <w:rPr>
          <w:sz w:val="20"/>
        </w:rPr>
        <w:t>2. The Core Problem</w:t>
      </w:r>
    </w:p>
    <w:p>
      <w:pPr>
        <w:spacing w:after="120" w:line="259" w:lineRule="auto"/>
      </w:pPr>
      <w:r>
        <w:rPr>
          <w:sz w:val="20"/>
        </w:rPr>
        <w:t>3. Why Agriculture</w:t>
      </w:r>
    </w:p>
    <w:p>
      <w:pPr>
        <w:spacing w:after="120" w:line="259" w:lineRule="auto"/>
      </w:pPr>
      <w:r>
        <w:rPr>
          <w:sz w:val="20"/>
        </w:rPr>
        <w:t>4. Why Blockchain and Why NEAR</w:t>
      </w:r>
    </w:p>
    <w:p>
      <w:pPr>
        <w:spacing w:after="120" w:line="259" w:lineRule="auto"/>
      </w:pPr>
      <w:r>
        <w:rPr>
          <w:sz w:val="20"/>
        </w:rPr>
        <w:t>5. Is the NEAR -&gt; USDT -&gt; USD Funding Model Possible?</w:t>
      </w:r>
    </w:p>
    <w:p>
      <w:pPr>
        <w:spacing w:after="120" w:line="259" w:lineRule="auto"/>
      </w:pPr>
      <w:r>
        <w:rPr>
          <w:sz w:val="20"/>
        </w:rPr>
        <w:t>6. Recommended Funding Positioning</w:t>
      </w:r>
    </w:p>
    <w:p>
      <w:pPr>
        <w:spacing w:after="120" w:line="259" w:lineRule="auto"/>
      </w:pPr>
      <w:r>
        <w:rPr>
          <w:sz w:val="20"/>
        </w:rPr>
        <w:t>7. Alternative Funding Models</w:t>
      </w:r>
    </w:p>
    <w:p>
      <w:pPr>
        <w:spacing w:after="120" w:line="259" w:lineRule="auto"/>
      </w:pPr>
      <w:r>
        <w:rPr>
          <w:sz w:val="20"/>
        </w:rPr>
        <w:t>8. Current Alpha Architecture</w:t>
      </w:r>
    </w:p>
    <w:p>
      <w:pPr>
        <w:spacing w:after="120" w:line="259" w:lineRule="auto"/>
      </w:pPr>
      <w:r>
        <w:rPr>
          <w:sz w:val="20"/>
        </w:rPr>
        <w:t>9. Future Architecture</w:t>
      </w:r>
    </w:p>
    <w:p>
      <w:pPr>
        <w:spacing w:after="120" w:line="259" w:lineRule="auto"/>
      </w:pPr>
      <w:r>
        <w:rPr>
          <w:sz w:val="20"/>
        </w:rPr>
        <w:t>10. What AgriPartners Is Not</w:t>
      </w:r>
    </w:p>
    <w:p>
      <w:pPr>
        <w:spacing w:after="120" w:line="259" w:lineRule="auto"/>
      </w:pPr>
      <w:r>
        <w:rPr>
          <w:sz w:val="20"/>
        </w:rPr>
        <w:t>11. Benefits for Every Participant</w:t>
      </w:r>
    </w:p>
    <w:p>
      <w:pPr>
        <w:spacing w:after="120" w:line="259" w:lineRule="auto"/>
      </w:pPr>
      <w:r>
        <w:rPr>
          <w:sz w:val="20"/>
        </w:rPr>
        <w:t>12. Risk and Regulatory Considerations</w:t>
      </w:r>
    </w:p>
    <w:p>
      <w:pPr>
        <w:spacing w:after="120" w:line="259" w:lineRule="auto"/>
      </w:pPr>
      <w:r>
        <w:rPr>
          <w:sz w:val="20"/>
        </w:rPr>
        <w:t>13. Frequently Asked Questions</w:t>
      </w:r>
    </w:p>
    <w:p>
      <w:pPr>
        <w:spacing w:after="120" w:line="259" w:lineRule="auto"/>
      </w:pPr>
      <w:r>
        <w:rPr>
          <w:sz w:val="20"/>
        </w:rPr>
        <w:t>14. Glossary of Terms</w:t>
      </w:r>
    </w:p>
    <w:p>
      <w:pPr>
        <w:spacing w:after="120" w:line="259" w:lineRule="auto"/>
      </w:pPr>
      <w:r>
        <w:rPr>
          <w:sz w:val="20"/>
        </w:rPr>
        <w:t>15. Roadmap Positioning</w:t>
      </w:r>
    </w:p>
    <w:p>
      <w:pPr>
        <w:spacing w:after="120" w:line="259" w:lineRule="auto"/>
      </w:pPr>
      <w:r>
        <w:rPr>
          <w:sz w:val="20"/>
        </w:rPr>
        <w:t>16. Conclusion</w:t>
      </w:r>
    </w:p>
    <w:p>
      <w:r>
        <w:br w:type="page"/>
      </w:r>
    </w:p>
    <w:p>
      <w:pPr>
        <w:pStyle w:val="Heading1"/>
      </w:pPr>
      <w:r>
        <w:rPr>
          <w:color w:val="111827"/>
        </w:rPr>
        <w:t>1. Executive Summary</w:t>
      </w:r>
    </w:p>
    <w:p>
      <w:pPr>
        <w:spacing w:after="120" w:line="259" w:lineRule="auto"/>
      </w:pPr>
      <w:r>
        <w:rPr>
          <w:sz w:val="20"/>
        </w:rPr>
        <w:t>AgriPartners is a transparent agricultural investment workflow platform. Its purpose is to make agricultural opportunities, farmer reporting, investment records, treasury visibility, and stakeholder communication easier to manage and easier to trust.</w:t>
      </w:r>
    </w:p>
    <w:p>
      <w:pPr>
        <w:spacing w:after="120" w:line="259" w:lineRule="auto"/>
      </w:pPr>
      <w:r>
        <w:rPr>
          <w:sz w:val="20"/>
        </w:rPr>
        <w:t>Plain English: AgriPartners is not only about moving money. It is about organizing the full investment workflow so that every participant can understand what happened, when it happened, who confirmed it, and what should happen next.</w:t>
      </w:r>
    </w:p>
    <w:p>
      <w:pPr>
        <w:spacing w:after="120" w:line="259" w:lineRule="auto"/>
      </w:pPr>
      <w:r>
        <w:rPr>
          <w:sz w:val="20"/>
        </w:rPr>
        <w:t>The original idea was to attract crypto capital through NEAR, convert funds into stablecoins such as USDT, convert into fiat currency where needed, and then finance real agricultural projects. That model is still conceptually possible, but it must be treated as a future regulated funding scenario, not the current Alpha product.</w:t>
      </w:r>
    </w:p>
    <w:tbl>
      <w:tblPr>
        <w:tblW w:type="auto" w:w="0"/>
        <w:jc w:val="center"/>
        <w:tblLook w:firstColumn="1" w:firstRow="1" w:lastColumn="0" w:lastRow="0" w:noHBand="0" w:noVBand="1" w:val="04A0"/>
      </w:tblPr>
      <w:tblGrid>
        <w:gridCol w:w="10080"/>
      </w:tblGrid>
      <w:tr>
        <w:tc>
          <w:tcPr>
            <w:tcW w:type="dxa" w:w="10080"/>
            <w:shd w:fill="E0F2FE"/>
            <w:tcBorders>
              <w:top w:val="single" w:sz="12" w:space="0" w:color="0284C7"/>
              <w:left w:val="single" w:sz="12" w:space="0" w:color="0284C7"/>
              <w:bottom w:val="single" w:sz="12" w:space="0" w:color="0284C7"/>
              <w:right w:val="single" w:sz="12" w:space="0" w:color="0284C7"/>
            </w:tcBorders>
          </w:tcPr>
          <w:p>
            <w:r>
              <w:rPr>
                <w:b/>
                <w:color w:val="14532D"/>
                <w:sz w:val="20"/>
              </w:rPr>
              <w:t>Core positioning</w:t>
            </w:r>
          </w:p>
          <w:p>
            <w:pPr>
              <w:spacing w:after="0"/>
            </w:pPr>
            <w:r>
              <w:rPr>
                <w:sz w:val="18"/>
              </w:rPr>
              <w:t>AgriPartners should be presented as a workflow and transparency infrastructure layer for agricultural finance, powered by NEAR infrastructure. Crypto payments and stablecoin settlement may become one possible funding path, but they should not be the only value proposition.</w:t>
            </w:r>
          </w:p>
        </w:tc>
      </w:tr>
    </w:tbl>
    <w:p>
      <w:pPr>
        <w:pStyle w:val="ListBullet"/>
        <w:spacing w:after="40"/>
      </w:pPr>
      <w:r>
        <w:rPr>
          <w:b/>
          <w:sz w:val="20"/>
        </w:rPr>
        <w:t xml:space="preserve">Current focus: </w:t>
      </w:r>
      <w:r>
        <w:rPr>
          <w:sz w:val="20"/>
        </w:rPr>
        <w:t>Alpha/Testnet workflow validation, role-based portals, reporting, treasury visibility, and partner feedback.</w:t>
      </w:r>
    </w:p>
    <w:p>
      <w:pPr>
        <w:pStyle w:val="ListBullet"/>
        <w:spacing w:after="40"/>
      </w:pPr>
      <w:r>
        <w:rPr>
          <w:b/>
          <w:sz w:val="20"/>
        </w:rPr>
        <w:t xml:space="preserve">Future opportunity: </w:t>
      </w:r>
      <w:r>
        <w:rPr>
          <w:sz w:val="20"/>
        </w:rPr>
        <w:t>Regulated funding rails using stablecoins, fiat partners, grant programs, bank transfers, or hybrid settlement models.</w:t>
      </w:r>
    </w:p>
    <w:p>
      <w:pPr>
        <w:pStyle w:val="ListBullet"/>
        <w:spacing w:after="40"/>
      </w:pPr>
      <w:r>
        <w:rPr>
          <w:b/>
          <w:sz w:val="20"/>
        </w:rPr>
        <w:t xml:space="preserve">Strategic value: </w:t>
      </w:r>
      <w:r>
        <w:rPr>
          <w:sz w:val="20"/>
        </w:rPr>
        <w:t>AgriPartners can become a bridge between real agricultural projects and transparent digital finance infrastructure.</w:t>
      </w:r>
    </w:p>
    <w:p>
      <w:pPr>
        <w:pStyle w:val="Heading1"/>
      </w:pPr>
      <w:r>
        <w:rPr>
          <w:color w:val="111827"/>
        </w:rPr>
        <w:t>2. The Core Problem</w:t>
      </w:r>
    </w:p>
    <w:p>
      <w:pPr>
        <w:spacing w:after="120" w:line="259" w:lineRule="auto"/>
      </w:pPr>
      <w:r>
        <w:rPr>
          <w:sz w:val="20"/>
        </w:rPr>
        <w:t>Agricultural investment is often managed through disconnected spreadsheets, messaging apps, PDFs, verbal agreements, and manual reporting. This creates friction for investors, farmers, and platform operators.</w:t>
      </w:r>
    </w:p>
    <w:p>
      <w:pPr>
        <w:pStyle w:val="ListBullet"/>
        <w:spacing w:after="40"/>
      </w:pPr>
      <w:r>
        <w:rPr>
          <w:sz w:val="20"/>
        </w:rPr>
        <w:t>Investors struggle to see the real operational status of projects.</w:t>
      </w:r>
    </w:p>
    <w:p>
      <w:pPr>
        <w:pStyle w:val="ListBullet"/>
        <w:spacing w:after="40"/>
      </w:pPr>
      <w:r>
        <w:rPr>
          <w:sz w:val="20"/>
        </w:rPr>
        <w:t>Farmers do not always have a structured way to report progress.</w:t>
      </w:r>
    </w:p>
    <w:p>
      <w:pPr>
        <w:pStyle w:val="ListBullet"/>
        <w:spacing w:after="40"/>
      </w:pPr>
      <w:r>
        <w:rPr>
          <w:sz w:val="20"/>
        </w:rPr>
        <w:t>Operators spend too much time reconciling records manually.</w:t>
      </w:r>
    </w:p>
    <w:p>
      <w:pPr>
        <w:pStyle w:val="ListBullet"/>
        <w:spacing w:after="40"/>
      </w:pPr>
      <w:r>
        <w:rPr>
          <w:sz w:val="20"/>
        </w:rPr>
        <w:t>Treasury and return records are difficult to audit.</w:t>
      </w:r>
    </w:p>
    <w:p>
      <w:pPr>
        <w:pStyle w:val="ListBullet"/>
        <w:spacing w:after="40"/>
      </w:pPr>
      <w:r>
        <w:rPr>
          <w:sz w:val="20"/>
        </w:rPr>
        <w:t>Documents, photos, cycle updates, and funding events are often separated across different tools.</w:t>
      </w:r>
    </w:p>
    <w:p>
      <w:pPr>
        <w:spacing w:after="120" w:line="259" w:lineRule="auto"/>
      </w:pPr>
      <w:r>
        <w:rPr>
          <w:sz w:val="20"/>
        </w:rPr>
        <w:t>Plain English: the problem is not only lack of money. The problem is lack of structured, trusted, and easy-to-review information around agricultural investment workflows.</w:t>
      </w:r>
    </w:p>
    <w:p>
      <w:pPr>
        <w:pStyle w:val="Heading1"/>
      </w:pPr>
      <w:r>
        <w:rPr>
          <w:color w:val="111827"/>
        </w:rPr>
        <w:t>3. Why Agriculture</w:t>
      </w:r>
    </w:p>
    <w:p>
      <w:pPr>
        <w:spacing w:after="120" w:line="259" w:lineRule="auto"/>
      </w:pPr>
      <w:r>
        <w:rPr>
          <w:sz w:val="20"/>
        </w:rPr>
        <w:t>Agriculture is a real-world sector where capital, trust, timing, reporting, and operational discipline matter. Many agricultural projects require upfront financing for inputs, livestock, equipment, seeds, feed, labor, and logistics before returns appear.</w:t>
      </w:r>
    </w:p>
    <w:p>
      <w:pPr>
        <w:pStyle w:val="ListBullet"/>
        <w:spacing w:after="40"/>
      </w:pPr>
      <w:r>
        <w:rPr>
          <w:sz w:val="20"/>
        </w:rPr>
        <w:t>Agriculture has real assets and real production cycles.</w:t>
      </w:r>
    </w:p>
    <w:p>
      <w:pPr>
        <w:pStyle w:val="ListBullet"/>
        <w:spacing w:after="40"/>
      </w:pPr>
      <w:r>
        <w:rPr>
          <w:sz w:val="20"/>
        </w:rPr>
        <w:t>Farmers often need financing before revenue is generated.</w:t>
      </w:r>
    </w:p>
    <w:p>
      <w:pPr>
        <w:pStyle w:val="ListBullet"/>
        <w:spacing w:after="40"/>
      </w:pPr>
      <w:r>
        <w:rPr>
          <w:sz w:val="20"/>
        </w:rPr>
        <w:t>Investors need visibility into project performance and risk.</w:t>
      </w:r>
    </w:p>
    <w:p>
      <w:pPr>
        <w:pStyle w:val="ListBullet"/>
        <w:spacing w:after="40"/>
      </w:pPr>
      <w:r>
        <w:rPr>
          <w:sz w:val="20"/>
        </w:rPr>
        <w:t>Regional agricultural opportunities can become more accessible with better reporting and digital infrastructure.</w:t>
      </w:r>
    </w:p>
    <w:p>
      <w:pPr>
        <w:pStyle w:val="ListBullet"/>
        <w:spacing w:after="40"/>
      </w:pPr>
      <w:r>
        <w:rPr>
          <w:sz w:val="20"/>
        </w:rPr>
        <w:t>Transparency can improve trust between capital providers and producers.</w:t>
      </w:r>
    </w:p>
    <w:tbl>
      <w:tblPr>
        <w:tblW w:type="auto" w:w="0"/>
        <w:jc w:val="center"/>
        <w:tblLook w:firstColumn="1" w:firstRow="1" w:lastColumn="0" w:lastRow="0" w:noHBand="0" w:noVBand="1" w:val="04A0"/>
      </w:tblPr>
      <w:tblGrid>
        <w:gridCol w:w="10080"/>
      </w:tblGrid>
      <w:tr>
        <w:tc>
          <w:tcPr>
            <w:tcW w:type="dxa" w:w="10080"/>
            <w:shd w:fill="F0FDF4"/>
            <w:tcBorders>
              <w:top w:val="single" w:sz="12" w:space="0" w:color="22C55E"/>
              <w:left w:val="single" w:sz="12" w:space="0" w:color="22C55E"/>
              <w:bottom w:val="single" w:sz="12" w:space="0" w:color="22C55E"/>
              <w:right w:val="single" w:sz="12" w:space="0" w:color="22C55E"/>
            </w:tcBorders>
          </w:tcPr>
          <w:p>
            <w:r>
              <w:rPr>
                <w:b/>
                <w:color w:val="14532D"/>
                <w:sz w:val="20"/>
              </w:rPr>
              <w:t>Why this matters</w:t>
            </w:r>
          </w:p>
          <w:p>
            <w:pPr>
              <w:spacing w:after="0"/>
            </w:pPr>
            <w:r>
              <w:rPr>
                <w:sz w:val="18"/>
              </w:rPr>
              <w:t>A farmer may have a good project but poor access to transparent financing. An investor may have capital but limited visibility into what is happening on the farm. AgriPartners is designed to reduce this information gap.</w:t>
            </w:r>
          </w:p>
        </w:tc>
      </w:tr>
    </w:tbl>
    <w:p>
      <w:pPr>
        <w:pStyle w:val="Heading1"/>
      </w:pPr>
      <w:r>
        <w:rPr>
          <w:color w:val="111827"/>
        </w:rPr>
        <w:t>4. Why Blockchain and Why NEAR</w:t>
      </w:r>
    </w:p>
    <w:p>
      <w:pPr>
        <w:spacing w:after="120" w:line="259" w:lineRule="auto"/>
      </w:pPr>
      <w:r>
        <w:rPr>
          <w:sz w:val="20"/>
        </w:rPr>
        <w:t>Blockchain should not be used just because it is fashionable. In AgriPartners, blockchain becomes useful when it improves transparency, accountability, auditability, and programmable workflows.</w:t>
      </w:r>
    </w:p>
    <w:p>
      <w:pPr>
        <w:pStyle w:val="Heading2"/>
      </w:pPr>
      <w:r>
        <w:rPr>
          <w:color w:val="166534"/>
        </w:rPr>
        <w:t>4.1 What blockchain adds</w:t>
      </w:r>
    </w:p>
    <w:p>
      <w:pPr>
        <w:pStyle w:val="ListBullet"/>
        <w:spacing w:after="40"/>
      </w:pPr>
      <w:r>
        <w:rPr>
          <w:b/>
          <w:sz w:val="20"/>
        </w:rPr>
        <w:t xml:space="preserve">Immutable records: </w:t>
      </w:r>
      <w:r>
        <w:rPr>
          <w:sz w:val="20"/>
        </w:rPr>
        <w:t>important events can be recorded in a way that is difficult to change later.</w:t>
      </w:r>
    </w:p>
    <w:p>
      <w:pPr>
        <w:pStyle w:val="ListBullet"/>
        <w:spacing w:after="40"/>
      </w:pPr>
      <w:r>
        <w:rPr>
          <w:b/>
          <w:sz w:val="20"/>
        </w:rPr>
        <w:t xml:space="preserve">Transparent workflow history: </w:t>
      </w:r>
      <w:r>
        <w:rPr>
          <w:sz w:val="20"/>
        </w:rPr>
        <w:t>investors and operators can see a clear timeline of project actions.</w:t>
      </w:r>
    </w:p>
    <w:p>
      <w:pPr>
        <w:pStyle w:val="ListBullet"/>
        <w:spacing w:after="40"/>
      </w:pPr>
      <w:r>
        <w:rPr>
          <w:b/>
          <w:sz w:val="20"/>
        </w:rPr>
        <w:t xml:space="preserve">Smart contracts: </w:t>
      </w:r>
      <w:r>
        <w:rPr>
          <w:sz w:val="20"/>
        </w:rPr>
        <w:t>defined rules can be executed or verified through blockchain programs.</w:t>
      </w:r>
    </w:p>
    <w:p>
      <w:pPr>
        <w:pStyle w:val="ListBullet"/>
        <w:spacing w:after="40"/>
      </w:pPr>
      <w:r>
        <w:rPr>
          <w:b/>
          <w:sz w:val="20"/>
        </w:rPr>
        <w:t xml:space="preserve">Global access: </w:t>
      </w:r>
      <w:r>
        <w:rPr>
          <w:sz w:val="20"/>
        </w:rPr>
        <w:t>digital wallets and stablecoins may make cross-border participation easier in future regulated models.</w:t>
      </w:r>
    </w:p>
    <w:p>
      <w:pPr>
        <w:pStyle w:val="ListBullet"/>
        <w:spacing w:after="40"/>
      </w:pPr>
      <w:r>
        <w:rPr>
          <w:b/>
          <w:sz w:val="20"/>
        </w:rPr>
        <w:t xml:space="preserve">Audit trail: </w:t>
      </w:r>
      <w:r>
        <w:rPr>
          <w:sz w:val="20"/>
        </w:rPr>
        <w:t>project events, reports, and confirmations can be linked to verifiable records.</w:t>
      </w:r>
    </w:p>
    <w:p>
      <w:pPr>
        <w:pStyle w:val="Heading2"/>
      </w:pPr>
      <w:r>
        <w:rPr>
          <w:color w:val="166534"/>
        </w:rPr>
        <w:t>4.2 Why NEAR</w:t>
      </w:r>
    </w:p>
    <w:p>
      <w:pPr>
        <w:spacing w:after="120" w:line="259" w:lineRule="auto"/>
      </w:pPr>
      <w:r>
        <w:rPr>
          <w:sz w:val="20"/>
        </w:rPr>
        <w:t>NEAR is relevant because it is designed for usable blockchain applications and developer-friendly infrastructure. For AgriPartners, NEAR can support wallet authentication, testnet workflows, smart contract records, and ecosystem feedback around real-world use cases.</w:t>
      </w:r>
    </w:p>
    <w:p>
      <w:pPr>
        <w:spacing w:after="120" w:line="259" w:lineRule="auto"/>
      </w:pPr>
      <w:r>
        <w:rPr>
          <w:sz w:val="20"/>
        </w:rPr>
        <w:t>Plain English: NEAR is not the whole business model. NEAR is the infrastructure layer that can help AgriPartners make agricultural investment workflows more transparent and easier to verify.</w:t>
      </w:r>
    </w:p>
    <w:p>
      <w:pPr>
        <w:pStyle w:val="Heading1"/>
      </w:pPr>
      <w:r>
        <w:rPr>
          <w:color w:val="111827"/>
        </w:rPr>
        <w:t>5. Is the NEAR -&gt; USDT -&gt; USD Funding Model Possible?</w:t>
      </w:r>
    </w:p>
    <w:p>
      <w:pPr>
        <w:spacing w:after="120" w:line="259" w:lineRule="auto"/>
      </w:pPr>
      <w:r>
        <w:rPr>
          <w:sz w:val="20"/>
        </w:rPr>
        <w:t>The proposed funding path can be described as:</w:t>
      </w:r>
    </w:p>
    <w:tbl>
      <w:tblPr>
        <w:tblW w:type="auto" w:w="0"/>
        <w:jc w:val="center"/>
        <w:tblLook w:firstColumn="1" w:firstRow="1" w:lastColumn="0" w:lastRow="0" w:noHBand="0" w:noVBand="1" w:val="04A0"/>
      </w:tblPr>
      <w:tblGrid>
        <w:gridCol w:w="10080"/>
      </w:tblGrid>
      <w:tr>
        <w:tc>
          <w:tcPr>
            <w:tcW w:type="dxa" w:w="10080"/>
            <w:shd w:fill="EEF2FF"/>
            <w:tcBorders>
              <w:top w:val="single" w:sz="12" w:space="0" w:color="4F46E5"/>
              <w:left w:val="single" w:sz="12" w:space="0" w:color="4F46E5"/>
              <w:bottom w:val="single" w:sz="12" w:space="0" w:color="4F46E5"/>
              <w:right w:val="single" w:sz="12" w:space="0" w:color="4F46E5"/>
            </w:tcBorders>
          </w:tcPr>
          <w:p>
            <w:r>
              <w:rPr>
                <w:b/>
                <w:color w:val="14532D"/>
                <w:sz w:val="20"/>
              </w:rPr>
              <w:t>Potential future funding path</w:t>
            </w:r>
          </w:p>
          <w:p>
            <w:pPr>
              <w:spacing w:after="0"/>
            </w:pPr>
            <w:r>
              <w:rPr>
                <w:sz w:val="18"/>
              </w:rPr>
              <w:t>Investor -&gt; NEAR / digital asset funding -&gt; stablecoin conversion such as USDT -&gt; fiat conversion where required -&gt; farmer financing -&gt; project reporting -&gt; returns and reconciliation.</w:t>
            </w:r>
          </w:p>
        </w:tc>
      </w:tr>
    </w:tbl>
    <w:p>
      <w:pPr>
        <w:spacing w:after="120" w:line="259" w:lineRule="auto"/>
      </w:pPr>
      <w:r>
        <w:rPr>
          <w:sz w:val="20"/>
        </w:rPr>
        <w:t>Conceptually, this is possible. Practically, it requires careful legal, compliance, custody, exchange, accounting, banking, and tax design. This is why the Alpha should not be presented as a live custody or payout system.</w:t>
      </w:r>
    </w:p>
    <w:p>
      <w:pPr>
        <w:pStyle w:val="Heading2"/>
      </w:pPr>
      <w:r>
        <w:rPr>
          <w:color w:val="166534"/>
        </w:rPr>
        <w:t>5.1 What can be done now</w:t>
      </w:r>
    </w:p>
    <w:p>
      <w:pPr>
        <w:pStyle w:val="ListBullet"/>
        <w:spacing w:after="40"/>
      </w:pPr>
      <w:r>
        <w:rPr>
          <w:sz w:val="20"/>
        </w:rPr>
        <w:t>Use NEAR Testnet to demonstrate workflow events safely.</w:t>
      </w:r>
    </w:p>
    <w:p>
      <w:pPr>
        <w:pStyle w:val="ListBullet"/>
        <w:spacing w:after="40"/>
      </w:pPr>
      <w:r>
        <w:rPr>
          <w:sz w:val="20"/>
        </w:rPr>
        <w:t>Use Treasury Shadow Accounting to model records without claiming live custody.</w:t>
      </w:r>
    </w:p>
    <w:p>
      <w:pPr>
        <w:pStyle w:val="ListBullet"/>
        <w:spacing w:after="40"/>
      </w:pPr>
      <w:r>
        <w:rPr>
          <w:sz w:val="20"/>
        </w:rPr>
        <w:t>Demonstrate how investors, farmers, and operators would interact.</w:t>
      </w:r>
    </w:p>
    <w:p>
      <w:pPr>
        <w:pStyle w:val="ListBullet"/>
        <w:spacing w:after="40"/>
      </w:pPr>
      <w:r>
        <w:rPr>
          <w:sz w:val="20"/>
        </w:rPr>
        <w:t>Use simulated or pilot data to explain project cycles and reporting.</w:t>
      </w:r>
    </w:p>
    <w:p>
      <w:pPr>
        <w:pStyle w:val="ListBullet"/>
        <w:spacing w:after="40"/>
      </w:pPr>
      <w:r>
        <w:rPr>
          <w:sz w:val="20"/>
        </w:rPr>
        <w:t>Collect feedback from NEAR ecosystem partners, legal advisors, and potential pilot participants.</w:t>
      </w:r>
    </w:p>
    <w:p>
      <w:pPr>
        <w:pStyle w:val="Heading2"/>
      </w:pPr>
      <w:r>
        <w:rPr>
          <w:color w:val="166534"/>
        </w:rPr>
        <w:t>5.2 What requires future work</w:t>
      </w:r>
    </w:p>
    <w:p>
      <w:pPr>
        <w:pStyle w:val="ListBullet"/>
        <w:spacing w:after="40"/>
      </w:pPr>
      <w:r>
        <w:rPr>
          <w:sz w:val="20"/>
        </w:rPr>
        <w:t>Legal structure for receiving and distributing funds.</w:t>
      </w:r>
    </w:p>
    <w:p>
      <w:pPr>
        <w:pStyle w:val="ListBullet"/>
        <w:spacing w:after="40"/>
      </w:pPr>
      <w:r>
        <w:rPr>
          <w:sz w:val="20"/>
        </w:rPr>
        <w:t>KYC and AML processes.</w:t>
      </w:r>
    </w:p>
    <w:p>
      <w:pPr>
        <w:pStyle w:val="ListBullet"/>
        <w:spacing w:after="40"/>
      </w:pPr>
      <w:r>
        <w:rPr>
          <w:sz w:val="20"/>
        </w:rPr>
        <w:t>Stablecoin and fiat conversion partners.</w:t>
      </w:r>
    </w:p>
    <w:p>
      <w:pPr>
        <w:pStyle w:val="ListBullet"/>
        <w:spacing w:after="40"/>
      </w:pPr>
      <w:r>
        <w:rPr>
          <w:sz w:val="20"/>
        </w:rPr>
        <w:t>Banking relationships.</w:t>
      </w:r>
    </w:p>
    <w:p>
      <w:pPr>
        <w:pStyle w:val="ListBullet"/>
        <w:spacing w:after="40"/>
      </w:pPr>
      <w:r>
        <w:rPr>
          <w:sz w:val="20"/>
        </w:rPr>
        <w:t>Custody or non-custody architecture decisions.</w:t>
      </w:r>
    </w:p>
    <w:p>
      <w:pPr>
        <w:pStyle w:val="ListBullet"/>
        <w:spacing w:after="40"/>
      </w:pPr>
      <w:r>
        <w:rPr>
          <w:sz w:val="20"/>
        </w:rPr>
        <w:t>Tax and accounting treatment.</w:t>
      </w:r>
    </w:p>
    <w:p>
      <w:pPr>
        <w:pStyle w:val="ListBullet"/>
        <w:spacing w:after="40"/>
      </w:pPr>
      <w:r>
        <w:rPr>
          <w:sz w:val="20"/>
        </w:rPr>
        <w:t>Clear investor risk disclosures and jurisdiction-specific compliance.</w:t>
      </w:r>
    </w:p>
    <w:p>
      <w:pPr>
        <w:pStyle w:val="Heading1"/>
      </w:pPr>
      <w:r>
        <w:rPr>
          <w:color w:val="111827"/>
        </w:rPr>
        <w:t>6. Recommended Funding Positioning</w:t>
      </w:r>
    </w:p>
    <w:p>
      <w:pPr>
        <w:spacing w:after="120" w:line="259" w:lineRule="auto"/>
      </w:pPr>
      <w:r>
        <w:rPr>
          <w:sz w:val="20"/>
        </w:rPr>
        <w:t>AgriPartners should not be positioned as a platform that simply raises cryptocurrency for farmers. That positioning is too narrow and creates unnecessary regulatory and trust concerns at the Alpha stage.</w:t>
      </w:r>
    </w:p>
    <w:p>
      <w:pPr>
        <w:spacing w:after="120" w:line="259" w:lineRule="auto"/>
      </w:pPr>
      <w:r>
        <w:rPr>
          <w:sz w:val="20"/>
        </w:rPr>
        <w:t>Recommended positioning: AgriPartners is a transparent agricultural investment workflow platform powered by NEAR infrastructure.</w:t>
      </w:r>
    </w:p>
    <w:tbl>
      <w:tblPr>
        <w:tblW w:type="auto" w:w="0"/>
        <w:jc w:val="center"/>
        <w:tblLook w:firstColumn="1" w:firstRow="1" w:lastColumn="0" w:lastRow="0" w:noHBand="0" w:noVBand="1" w:val="04A0"/>
      </w:tblPr>
      <w:tblGrid>
        <w:gridCol w:w="10080"/>
      </w:tblGrid>
      <w:tr>
        <w:tc>
          <w:tcPr>
            <w:tcW w:type="dxa" w:w="10080"/>
            <w:shd w:fill="ECFDF5"/>
            <w:tcBorders>
              <w:top w:val="single" w:sz="12" w:space="0" w:color="16A34A"/>
              <w:left w:val="single" w:sz="12" w:space="0" w:color="16A34A"/>
              <w:bottom w:val="single" w:sz="12" w:space="0" w:color="16A34A"/>
              <w:right w:val="single" w:sz="12" w:space="0" w:color="16A34A"/>
            </w:tcBorders>
          </w:tcPr>
          <w:p>
            <w:r>
              <w:rPr>
                <w:b/>
                <w:color w:val="14532D"/>
                <w:sz w:val="20"/>
              </w:rPr>
              <w:t>Plain-English interpretation</w:t>
            </w:r>
          </w:p>
          <w:p>
            <w:pPr>
              <w:spacing w:after="0"/>
            </w:pPr>
            <w:r>
              <w:rPr>
                <w:sz w:val="18"/>
              </w:rPr>
              <w:t>The platform can support different ways of funding agricultural projects. Crypto and stablecoins may be one option in the future, but the current value is the transparent workflow: deal review, farmer reporting, treasury visibility, return records, and accountability.</w:t>
            </w:r>
          </w:p>
        </w:tc>
      </w:tr>
    </w:tbl>
    <w:p>
      <w:pPr>
        <w:pStyle w:val="Heading2"/>
      </w:pPr>
      <w:r>
        <w:rPr>
          <w:color w:val="166534"/>
        </w:rPr>
        <w:t>6.1 Why this positioning is stronger</w:t>
      </w:r>
    </w:p>
    <w:p>
      <w:pPr>
        <w:pStyle w:val="ListBullet"/>
        <w:spacing w:after="40"/>
      </w:pPr>
      <w:r>
        <w:rPr>
          <w:sz w:val="20"/>
        </w:rPr>
        <w:t>It keeps the project credible at Alpha stage.</w:t>
      </w:r>
    </w:p>
    <w:p>
      <w:pPr>
        <w:pStyle w:val="ListBullet"/>
        <w:spacing w:after="40"/>
      </w:pPr>
      <w:r>
        <w:rPr>
          <w:sz w:val="20"/>
        </w:rPr>
        <w:t>It avoids promising regulated financial services before the legal model is ready.</w:t>
      </w:r>
    </w:p>
    <w:p>
      <w:pPr>
        <w:pStyle w:val="ListBullet"/>
        <w:spacing w:after="40"/>
      </w:pPr>
      <w:r>
        <w:rPr>
          <w:sz w:val="20"/>
        </w:rPr>
        <w:t>It makes the platform useful even when funding is done through bank transfers or partners.</w:t>
      </w:r>
    </w:p>
    <w:p>
      <w:pPr>
        <w:pStyle w:val="ListBullet"/>
        <w:spacing w:after="40"/>
      </w:pPr>
      <w:r>
        <w:rPr>
          <w:sz w:val="20"/>
        </w:rPr>
        <w:t>It shows NEAR as infrastructure for real-world workflows, not only as a payment token.</w:t>
      </w:r>
    </w:p>
    <w:p>
      <w:pPr>
        <w:pStyle w:val="ListBullet"/>
        <w:spacing w:after="40"/>
      </w:pPr>
      <w:r>
        <w:rPr>
          <w:sz w:val="20"/>
        </w:rPr>
        <w:t>It allows conversations with investors, banks, farmers, grants, and Web3 partners without locking into one model too early.</w:t>
      </w:r>
    </w:p>
    <w:p>
      <w:pPr>
        <w:pStyle w:val="Heading1"/>
      </w:pPr>
      <w:r>
        <w:rPr>
          <w:color w:val="111827"/>
        </w:rPr>
        <w:t>7. Alternative Funding Models</w:t>
      </w:r>
    </w:p>
    <w:p>
      <w:pPr>
        <w:pStyle w:val="Heading2"/>
      </w:pPr>
      <w:r>
        <w:rPr>
          <w:color w:val="166534"/>
        </w:rPr>
        <w:t>Model 1: Testnet demo and reporting only</w:t>
      </w:r>
    </w:p>
    <w:p>
      <w:pPr>
        <w:spacing w:after="120" w:line="259" w:lineRule="auto"/>
      </w:pPr>
      <w:r>
        <w:rPr>
          <w:sz w:val="20"/>
        </w:rPr>
        <w:t>No real funds move through the platform. AgriPartners demonstrates workflows, reports, treasury semantics, and stakeholder roles on NEAR Testnet.</w:t>
      </w:r>
    </w:p>
    <w:p>
      <w:pPr>
        <w:pStyle w:val="Heading2"/>
      </w:pPr>
      <w:r>
        <w:rPr>
          <w:color w:val="166534"/>
        </w:rPr>
        <w:t>Model 2: Fiat-funded pilot with blockchain records</w:t>
      </w:r>
    </w:p>
    <w:p>
      <w:pPr>
        <w:spacing w:after="120" w:line="259" w:lineRule="auto"/>
      </w:pPr>
      <w:r>
        <w:rPr>
          <w:sz w:val="20"/>
        </w:rPr>
        <w:t>Investors or partners fund projects through traditional bank rails while AgriPartners records deal events, confirmations, reports, and reconciliation logic digitally.</w:t>
      </w:r>
    </w:p>
    <w:p>
      <w:pPr>
        <w:pStyle w:val="Heading2"/>
      </w:pPr>
      <w:r>
        <w:rPr>
          <w:color w:val="166534"/>
        </w:rPr>
        <w:t>Model 3: Stablecoin-supported pilot</w:t>
      </w:r>
    </w:p>
    <w:p>
      <w:pPr>
        <w:spacing w:after="120" w:line="259" w:lineRule="auto"/>
      </w:pPr>
      <w:r>
        <w:rPr>
          <w:sz w:val="20"/>
        </w:rPr>
        <w:t>Approved participants use stablecoins such as USDT under a compliant structure, while AgriPartners provides workflow tracking and reporting.</w:t>
      </w:r>
    </w:p>
    <w:p>
      <w:pPr>
        <w:pStyle w:val="Heading2"/>
      </w:pPr>
      <w:r>
        <w:rPr>
          <w:color w:val="166534"/>
        </w:rPr>
        <w:t>Model 4: Partner-led funding</w:t>
      </w:r>
    </w:p>
    <w:p>
      <w:pPr>
        <w:spacing w:after="120" w:line="259" w:lineRule="auto"/>
      </w:pPr>
      <w:r>
        <w:rPr>
          <w:sz w:val="20"/>
        </w:rPr>
        <w:t>A fund, cooperative, NGO, bank, or ecosystem partner provides capital, and AgriPartners becomes the workflow, reporting, and visibility layer.</w:t>
      </w:r>
    </w:p>
    <w:p>
      <w:pPr>
        <w:pStyle w:val="Heading2"/>
      </w:pPr>
      <w:r>
        <w:rPr>
          <w:color w:val="166534"/>
        </w:rPr>
        <w:t>Model 5: White-label infrastructure</w:t>
      </w:r>
    </w:p>
    <w:p>
      <w:pPr>
        <w:spacing w:after="120" w:line="259" w:lineRule="auto"/>
      </w:pPr>
      <w:r>
        <w:rPr>
          <w:sz w:val="20"/>
        </w:rPr>
        <w:t>Other agricultural operators or financing organizations use AgriPartners-like workflows under their own brand.</w:t>
      </w:r>
    </w:p>
    <w:p>
      <w:pPr>
        <w:pStyle w:val="Heading1"/>
      </w:pPr>
      <w:r>
        <w:rPr>
          <w:color w:val="111827"/>
        </w:rPr>
        <w:t>8. Current Alpha Architecture</w:t>
      </w:r>
    </w:p>
    <w:p>
      <w:pPr>
        <w:spacing w:after="120" w:line="259" w:lineRule="auto"/>
      </w:pPr>
      <w:r>
        <w:rPr>
          <w:sz w:val="20"/>
        </w:rPr>
        <w:t>The current Alpha v1.2 should be understood as a working prototype that validates the product logic, not as a live financial platform.</w:t>
      </w:r>
    </w:p>
    <w:p>
      <w:pPr>
        <w:pStyle w:val="ListBullet"/>
        <w:spacing w:after="40"/>
      </w:pPr>
      <w:r>
        <w:rPr>
          <w:sz w:val="20"/>
        </w:rPr>
        <w:t>Public landing and marketplace experience.</w:t>
      </w:r>
    </w:p>
    <w:p>
      <w:pPr>
        <w:pStyle w:val="ListBullet"/>
        <w:spacing w:after="40"/>
      </w:pPr>
      <w:r>
        <w:rPr>
          <w:sz w:val="20"/>
        </w:rPr>
        <w:t>Investor Portal for reviewing opportunities and status.</w:t>
      </w:r>
    </w:p>
    <w:p>
      <w:pPr>
        <w:pStyle w:val="ListBullet"/>
        <w:spacing w:after="40"/>
      </w:pPr>
      <w:r>
        <w:rPr>
          <w:sz w:val="20"/>
        </w:rPr>
        <w:t>Farmer Portal for deal visibility and reporting.</w:t>
      </w:r>
    </w:p>
    <w:p>
      <w:pPr>
        <w:pStyle w:val="ListBullet"/>
        <w:spacing w:after="40"/>
      </w:pPr>
      <w:r>
        <w:rPr>
          <w:sz w:val="20"/>
        </w:rPr>
        <w:t>Admin Portal for operational control.</w:t>
      </w:r>
    </w:p>
    <w:p>
      <w:pPr>
        <w:pStyle w:val="ListBullet"/>
        <w:spacing w:after="40"/>
      </w:pPr>
      <w:r>
        <w:rPr>
          <w:sz w:val="20"/>
        </w:rPr>
        <w:t>Treasury Dashboard and Treasury Shadow Accounting.</w:t>
      </w:r>
    </w:p>
    <w:p>
      <w:pPr>
        <w:pStyle w:val="ListBullet"/>
        <w:spacing w:after="40"/>
      </w:pPr>
      <w:r>
        <w:rPr>
          <w:sz w:val="20"/>
        </w:rPr>
        <w:t>Presentation Mode for guided demos.</w:t>
      </w:r>
    </w:p>
    <w:p>
      <w:pPr>
        <w:pStyle w:val="ListBullet"/>
        <w:spacing w:after="40"/>
      </w:pPr>
      <w:r>
        <w:rPr>
          <w:sz w:val="20"/>
        </w:rPr>
        <w:t>Wallet authentication and NEAR Testnet integration.</w:t>
      </w:r>
    </w:p>
    <w:p>
      <w:pPr>
        <w:pStyle w:val="ListBullet"/>
        <w:spacing w:after="40"/>
      </w:pPr>
      <w:r>
        <w:rPr>
          <w:sz w:val="20"/>
        </w:rPr>
        <w:t>Role-based user flows for investors, farmers, and administrators.</w:t>
      </w:r>
    </w:p>
    <w:tbl>
      <w:tblPr>
        <w:tblW w:type="auto" w:w="0"/>
        <w:jc w:val="center"/>
        <w:tblLook w:firstColumn="1" w:firstRow="1" w:lastColumn="0" w:lastRow="0" w:noHBand="0" w:noVBand="1" w:val="04A0"/>
      </w:tblPr>
      <w:tblGrid>
        <w:gridCol w:w="10080"/>
      </w:tblGrid>
      <w:tr>
        <w:tc>
          <w:tcPr>
            <w:tcW w:type="dxa" w:w="10080"/>
            <w:shd w:fill="FEFCE8"/>
            <w:tcBorders>
              <w:top w:val="single" w:sz="12" w:space="0" w:color="EAB308"/>
              <w:left w:val="single" w:sz="12" w:space="0" w:color="EAB308"/>
              <w:bottom w:val="single" w:sz="12" w:space="0" w:color="EAB308"/>
              <w:right w:val="single" w:sz="12" w:space="0" w:color="EAB308"/>
            </w:tcBorders>
          </w:tcPr>
          <w:p>
            <w:r>
              <w:rPr>
                <w:b/>
                <w:color w:val="14532D"/>
                <w:sz w:val="20"/>
              </w:rPr>
              <w:t>Treasury Shadow Accounting</w:t>
            </w:r>
          </w:p>
          <w:p>
            <w:pPr>
              <w:spacing w:after="0"/>
            </w:pPr>
            <w:r>
              <w:rPr>
                <w:sz w:val="18"/>
              </w:rPr>
              <w:t>This means the platform can model financial records and treasury visibility without claiming to hold real customer funds. It is a safe way to demonstrate how accounting, reconciliation, and status labels may work in the future.</w:t>
            </w:r>
          </w:p>
        </w:tc>
      </w:tr>
    </w:tbl>
    <w:p>
      <w:pPr>
        <w:pStyle w:val="Heading1"/>
      </w:pPr>
      <w:r>
        <w:rPr>
          <w:color w:val="111827"/>
        </w:rPr>
        <w:t>9. Future Architecture</w:t>
      </w:r>
    </w:p>
    <w:p>
      <w:pPr>
        <w:spacing w:after="120" w:line="259" w:lineRule="auto"/>
      </w:pPr>
      <w:r>
        <w:rPr>
          <w:sz w:val="20"/>
        </w:rPr>
        <w:t>Future versions may include stronger smart contract logic, compliance-ready workflows, audited financial recordkeeping, integration with stablecoin rails, partner dashboards, and deeper farmer reporting.</w:t>
      </w:r>
    </w:p>
    <w:p>
      <w:pPr>
        <w:pStyle w:val="ListBullet"/>
        <w:spacing w:after="40"/>
      </w:pPr>
      <w:r>
        <w:rPr>
          <w:sz w:val="20"/>
        </w:rPr>
        <w:t>Smart contract lifecycle records for deals and cycles.</w:t>
      </w:r>
    </w:p>
    <w:p>
      <w:pPr>
        <w:pStyle w:val="ListBullet"/>
        <w:spacing w:after="40"/>
      </w:pPr>
      <w:r>
        <w:rPr>
          <w:sz w:val="20"/>
        </w:rPr>
        <w:t>Verified farmer identity and project history.</w:t>
      </w:r>
    </w:p>
    <w:p>
      <w:pPr>
        <w:pStyle w:val="ListBullet"/>
        <w:spacing w:after="40"/>
      </w:pPr>
      <w:r>
        <w:rPr>
          <w:sz w:val="20"/>
        </w:rPr>
        <w:t>Document management and proof of reporting.</w:t>
      </w:r>
    </w:p>
    <w:p>
      <w:pPr>
        <w:pStyle w:val="ListBullet"/>
        <w:spacing w:after="40"/>
      </w:pPr>
      <w:r>
        <w:rPr>
          <w:sz w:val="20"/>
        </w:rPr>
        <w:t>Return record validation and reconciliation.</w:t>
      </w:r>
    </w:p>
    <w:p>
      <w:pPr>
        <w:pStyle w:val="ListBullet"/>
        <w:spacing w:after="40"/>
      </w:pPr>
      <w:r>
        <w:rPr>
          <w:sz w:val="20"/>
        </w:rPr>
        <w:t>Optional stablecoin and fiat funding integrations.</w:t>
      </w:r>
    </w:p>
    <w:p>
      <w:pPr>
        <w:pStyle w:val="ListBullet"/>
        <w:spacing w:after="40"/>
      </w:pPr>
      <w:r>
        <w:rPr>
          <w:sz w:val="20"/>
        </w:rPr>
        <w:t>KYC/AML and jurisdiction-specific compliance modules.</w:t>
      </w:r>
    </w:p>
    <w:p>
      <w:pPr>
        <w:pStyle w:val="ListBullet"/>
        <w:spacing w:after="40"/>
      </w:pPr>
      <w:r>
        <w:rPr>
          <w:sz w:val="20"/>
        </w:rPr>
        <w:t>Analytics for investor risk, farmer performance, and portfolio monitoring.</w:t>
      </w:r>
    </w:p>
    <w:p>
      <w:pPr>
        <w:pStyle w:val="Heading1"/>
      </w:pPr>
      <w:r>
        <w:rPr>
          <w:color w:val="111827"/>
        </w:rPr>
        <w:t>10. What AgriPartners Is Not</w:t>
      </w:r>
    </w:p>
    <w:p>
      <w:pPr>
        <w:spacing w:after="120" w:line="259" w:lineRule="auto"/>
      </w:pPr>
      <w:r>
        <w:rPr>
          <w:sz w:val="20"/>
        </w:rPr>
        <w:t>This section is important for clear communication with investors, legal advisors, and ecosystem partners.</w:t>
      </w:r>
    </w:p>
    <w:p>
      <w:pPr>
        <w:pStyle w:val="ListBullet"/>
        <w:spacing w:after="40"/>
      </w:pPr>
      <w:r>
        <w:rPr>
          <w:sz w:val="20"/>
        </w:rPr>
        <w:t>AgriPartners Alpha is not a bank.</w:t>
      </w:r>
    </w:p>
    <w:p>
      <w:pPr>
        <w:pStyle w:val="ListBullet"/>
        <w:spacing w:after="40"/>
      </w:pPr>
      <w:r>
        <w:rPr>
          <w:sz w:val="20"/>
        </w:rPr>
        <w:t>It is not currently a licensed investment platform.</w:t>
      </w:r>
    </w:p>
    <w:p>
      <w:pPr>
        <w:pStyle w:val="ListBullet"/>
        <w:spacing w:after="40"/>
      </w:pPr>
      <w:r>
        <w:rPr>
          <w:sz w:val="20"/>
        </w:rPr>
        <w:t>It is not currently a custody provider.</w:t>
      </w:r>
    </w:p>
    <w:p>
      <w:pPr>
        <w:pStyle w:val="ListBullet"/>
        <w:spacing w:after="40"/>
      </w:pPr>
      <w:r>
        <w:rPr>
          <w:sz w:val="20"/>
        </w:rPr>
        <w:t>It is not currently a payout or settlement system.</w:t>
      </w:r>
    </w:p>
    <w:p>
      <w:pPr>
        <w:pStyle w:val="ListBullet"/>
        <w:spacing w:after="40"/>
      </w:pPr>
      <w:r>
        <w:rPr>
          <w:sz w:val="20"/>
        </w:rPr>
        <w:t>It is not an exchange.</w:t>
      </w:r>
    </w:p>
    <w:p>
      <w:pPr>
        <w:pStyle w:val="ListBullet"/>
        <w:spacing w:after="40"/>
      </w:pPr>
      <w:r>
        <w:rPr>
          <w:sz w:val="20"/>
        </w:rPr>
        <w:t>It is not a yield farm or speculative crypto protocol.</w:t>
      </w:r>
    </w:p>
    <w:p>
      <w:pPr>
        <w:pStyle w:val="ListBullet"/>
        <w:spacing w:after="40"/>
      </w:pPr>
      <w:r>
        <w:rPr>
          <w:sz w:val="20"/>
        </w:rPr>
        <w:t>It is not promising guaranteed returns.</w:t>
      </w:r>
    </w:p>
    <w:p>
      <w:pPr>
        <w:pStyle w:val="ListBullet"/>
        <w:spacing w:after="40"/>
      </w:pPr>
      <w:r>
        <w:rPr>
          <w:sz w:val="20"/>
        </w:rPr>
        <w:t>It is not a production Mainnet financial system.</w:t>
      </w:r>
    </w:p>
    <w:p>
      <w:pPr>
        <w:spacing w:after="120" w:line="259" w:lineRule="auto"/>
      </w:pPr>
      <w:r>
        <w:rPr>
          <w:sz w:val="20"/>
        </w:rPr>
        <w:t>Plain English: the current product is a prototype and workflow layer. It should be evaluated as infrastructure for transparency, reporting, and operational control, not as a live regulated financial product.</w:t>
      </w:r>
    </w:p>
    <w:p>
      <w:pPr>
        <w:pStyle w:val="Heading1"/>
      </w:pPr>
      <w:r>
        <w:rPr>
          <w:color w:val="111827"/>
        </w:rPr>
        <w:t>11. Benefits for Every Participant</w:t>
      </w:r>
    </w:p>
    <w:p>
      <w:pPr>
        <w:pStyle w:val="Heading2"/>
      </w:pPr>
      <w:r>
        <w:rPr>
          <w:color w:val="166534"/>
        </w:rPr>
        <w:t>Investors</w:t>
      </w:r>
    </w:p>
    <w:p>
      <w:pPr>
        <w:spacing w:after="120" w:line="259" w:lineRule="auto"/>
      </w:pPr>
      <w:r>
        <w:rPr>
          <w:sz w:val="20"/>
        </w:rPr>
        <w:t>Better visibility into agricultural opportunities, structured reporting, clearer project status, better recordkeeping, and more confidence in how funds and returns are tracked.</w:t>
      </w:r>
    </w:p>
    <w:p>
      <w:pPr>
        <w:pStyle w:val="Heading2"/>
      </w:pPr>
      <w:r>
        <w:rPr>
          <w:color w:val="166534"/>
        </w:rPr>
        <w:t>Farmers</w:t>
      </w:r>
    </w:p>
    <w:p>
      <w:pPr>
        <w:spacing w:after="120" w:line="259" w:lineRule="auto"/>
      </w:pPr>
      <w:r>
        <w:rPr>
          <w:sz w:val="20"/>
        </w:rPr>
        <w:t>A structured way to present projects, confirm funding, submit reports, build a reputation, and communicate with investors through one platform.</w:t>
      </w:r>
    </w:p>
    <w:p>
      <w:pPr>
        <w:pStyle w:val="Heading2"/>
      </w:pPr>
      <w:r>
        <w:rPr>
          <w:color w:val="166534"/>
        </w:rPr>
        <w:t>Platform Operators</w:t>
      </w:r>
    </w:p>
    <w:p>
      <w:pPr>
        <w:spacing w:after="120" w:line="259" w:lineRule="auto"/>
      </w:pPr>
      <w:r>
        <w:rPr>
          <w:sz w:val="20"/>
        </w:rPr>
        <w:t>A centralized operational system for deals, cycles, confirmations, reports, treasury records, and audit trails.</w:t>
      </w:r>
    </w:p>
    <w:p>
      <w:pPr>
        <w:pStyle w:val="Heading2"/>
      </w:pPr>
      <w:r>
        <w:rPr>
          <w:color w:val="166534"/>
        </w:rPr>
        <w:t>NEAR Ecosystem</w:t>
      </w:r>
    </w:p>
    <w:p>
      <w:pPr>
        <w:spacing w:after="120" w:line="259" w:lineRule="auto"/>
      </w:pPr>
      <w:r>
        <w:rPr>
          <w:sz w:val="20"/>
        </w:rPr>
        <w:t>A practical real-world use case showing how NEAR can support transparent workflows outside purely speculative crypto activity.</w:t>
      </w:r>
    </w:p>
    <w:p>
      <w:pPr>
        <w:pStyle w:val="Heading2"/>
      </w:pPr>
      <w:r>
        <w:rPr>
          <w:color w:val="166534"/>
        </w:rPr>
        <w:t>Strategic Partners</w:t>
      </w:r>
    </w:p>
    <w:p>
      <w:pPr>
        <w:spacing w:after="120" w:line="259" w:lineRule="auto"/>
      </w:pPr>
      <w:r>
        <w:rPr>
          <w:sz w:val="20"/>
        </w:rPr>
        <w:t>A potential infrastructure layer for agricultural finance, impact investing, rural development, supply chain transparency, and RWA experimentation.</w:t>
      </w:r>
    </w:p>
    <w:p>
      <w:pPr>
        <w:pStyle w:val="Heading1"/>
      </w:pPr>
      <w:r>
        <w:rPr>
          <w:color w:val="111827"/>
        </w:rPr>
        <w:t>12. Risk and Regulatory Considerations</w:t>
      </w:r>
    </w:p>
    <w:p>
      <w:pPr>
        <w:spacing w:after="120" w:line="259" w:lineRule="auto"/>
      </w:pPr>
      <w:r>
        <w:rPr>
          <w:sz w:val="20"/>
        </w:rPr>
        <w:t>Any future use of crypto, stablecoins, investor funds, custody, payout, or return distribution must be designed with legal and regulatory advisors. The correct structure may differ by jurisdiction.</w:t>
      </w:r>
    </w:p>
    <w:p>
      <w:pPr>
        <w:pStyle w:val="ListBullet"/>
        <w:spacing w:after="40"/>
      </w:pPr>
      <w:r>
        <w:rPr>
          <w:sz w:val="20"/>
        </w:rPr>
        <w:t>KYC/AML requirements may apply.</w:t>
      </w:r>
    </w:p>
    <w:p>
      <w:pPr>
        <w:pStyle w:val="ListBullet"/>
        <w:spacing w:after="40"/>
      </w:pPr>
      <w:r>
        <w:rPr>
          <w:sz w:val="20"/>
        </w:rPr>
        <w:t>Securities, lending, crowdfunding, or investment rules may apply.</w:t>
      </w:r>
    </w:p>
    <w:p>
      <w:pPr>
        <w:pStyle w:val="ListBullet"/>
        <w:spacing w:after="40"/>
      </w:pPr>
      <w:r>
        <w:rPr>
          <w:sz w:val="20"/>
        </w:rPr>
        <w:t>Custody and payment licensing rules may apply.</w:t>
      </w:r>
    </w:p>
    <w:p>
      <w:pPr>
        <w:pStyle w:val="ListBullet"/>
        <w:spacing w:after="40"/>
      </w:pPr>
      <w:r>
        <w:rPr>
          <w:sz w:val="20"/>
        </w:rPr>
        <w:t>Tax treatment must be clarified.</w:t>
      </w:r>
    </w:p>
    <w:p>
      <w:pPr>
        <w:pStyle w:val="ListBullet"/>
        <w:spacing w:after="40"/>
      </w:pPr>
      <w:r>
        <w:rPr>
          <w:sz w:val="20"/>
        </w:rPr>
        <w:t>Investor risk disclosures must be clear.</w:t>
      </w:r>
    </w:p>
    <w:p>
      <w:pPr>
        <w:pStyle w:val="ListBullet"/>
        <w:spacing w:after="40"/>
      </w:pPr>
      <w:r>
        <w:rPr>
          <w:sz w:val="20"/>
        </w:rPr>
        <w:t>Farmer agreements and asset ownership must be legally documented.</w:t>
      </w:r>
    </w:p>
    <w:p>
      <w:pPr>
        <w:pStyle w:val="ListBullet"/>
        <w:spacing w:after="40"/>
      </w:pPr>
      <w:r>
        <w:rPr>
          <w:sz w:val="20"/>
        </w:rPr>
        <w:t>Dispute resolution and default scenarios must be defined.</w:t>
      </w:r>
    </w:p>
    <w:tbl>
      <w:tblPr>
        <w:tblW w:type="auto" w:w="0"/>
        <w:jc w:val="center"/>
        <w:tblLook w:firstColumn="1" w:firstRow="1" w:lastColumn="0" w:lastRow="0" w:noHBand="0" w:noVBand="1" w:val="04A0"/>
      </w:tblPr>
      <w:tblGrid>
        <w:gridCol w:w="10080"/>
      </w:tblGrid>
      <w:tr>
        <w:tc>
          <w:tcPr>
            <w:tcW w:type="dxa" w:w="10080"/>
            <w:shd w:fill="FFF7ED"/>
            <w:tcBorders>
              <w:top w:val="single" w:sz="12" w:space="0" w:color="F97316"/>
              <w:left w:val="single" w:sz="12" w:space="0" w:color="F97316"/>
              <w:bottom w:val="single" w:sz="12" w:space="0" w:color="F97316"/>
              <w:right w:val="single" w:sz="12" w:space="0" w:color="F97316"/>
            </w:tcBorders>
          </w:tcPr>
          <w:p>
            <w:r>
              <w:rPr>
                <w:b/>
                <w:color w:val="14532D"/>
                <w:sz w:val="20"/>
              </w:rPr>
              <w:t>Recommended approach</w:t>
            </w:r>
          </w:p>
          <w:p>
            <w:pPr>
              <w:spacing w:after="0"/>
            </w:pPr>
            <w:r>
              <w:rPr>
                <w:sz w:val="18"/>
              </w:rPr>
              <w:t>Treat the current Alpha as a product and workflow prototype. Treat real-money flows as a separate legal, compliance, and partnership workstream.</w:t>
            </w:r>
          </w:p>
        </w:tc>
      </w:tr>
    </w:tbl>
    <w:p>
      <w:pPr>
        <w:pStyle w:val="Heading1"/>
      </w:pPr>
      <w:r>
        <w:rPr>
          <w:color w:val="111827"/>
        </w:rPr>
        <w:t>13. Frequently Asked Questions</w:t>
      </w:r>
    </w:p>
    <w:p>
      <w:pPr>
        <w:pStyle w:val="Heading2"/>
      </w:pPr>
      <w:r>
        <w:rPr>
          <w:color w:val="166534"/>
        </w:rPr>
        <w:t>Why did AgriPartners start with the NEAR ecosystem?</w:t>
      </w:r>
    </w:p>
    <w:p>
      <w:pPr>
        <w:spacing w:after="120" w:line="259" w:lineRule="auto"/>
      </w:pPr>
      <w:r>
        <w:rPr>
          <w:sz w:val="20"/>
        </w:rPr>
        <w:t>Because NEAR provides developer-friendly blockchain infrastructure and an ecosystem interested in real-world use cases. AgriPartners can use NEAR to test transparent agricultural workflows safely on Testnet.</w:t>
      </w:r>
    </w:p>
    <w:p>
      <w:pPr>
        <w:pStyle w:val="Heading2"/>
      </w:pPr>
      <w:r>
        <w:rPr>
          <w:color w:val="166534"/>
        </w:rPr>
        <w:t>Can investors fund projects using NEAR?</w:t>
      </w:r>
    </w:p>
    <w:p>
      <w:pPr>
        <w:spacing w:after="120" w:line="259" w:lineRule="auto"/>
      </w:pPr>
      <w:r>
        <w:rPr>
          <w:sz w:val="20"/>
        </w:rPr>
        <w:t>In the future, this may be possible under the right legal and operational structure. In the current Alpha, NEAR is used for testnet workflow demonstration, not production fundraising.</w:t>
      </w:r>
    </w:p>
    <w:p>
      <w:pPr>
        <w:pStyle w:val="Heading2"/>
      </w:pPr>
      <w:r>
        <w:rPr>
          <w:color w:val="166534"/>
        </w:rPr>
        <w:t>Can NEAR be converted to USDT and then USD?</w:t>
      </w:r>
    </w:p>
    <w:p>
      <w:pPr>
        <w:spacing w:after="120" w:line="259" w:lineRule="auto"/>
      </w:pPr>
      <w:r>
        <w:rPr>
          <w:sz w:val="20"/>
        </w:rPr>
        <w:t>Technically, digital assets can often be converted through exchanges or partners. However, doing this as part of a platform requires compliance, custody, banking, accounting, and tax design.</w:t>
      </w:r>
    </w:p>
    <w:p>
      <w:pPr>
        <w:pStyle w:val="Heading2"/>
      </w:pPr>
      <w:r>
        <w:rPr>
          <w:color w:val="166534"/>
        </w:rPr>
        <w:t>Why not just use USDT directly?</w:t>
      </w:r>
    </w:p>
    <w:p>
      <w:pPr>
        <w:spacing w:after="120" w:line="259" w:lineRule="auto"/>
      </w:pPr>
      <w:r>
        <w:rPr>
          <w:sz w:val="20"/>
        </w:rPr>
        <w:t>USDT may be useful as a stablecoin settlement asset, but AgriPartners is not only a payment tool. NEAR can provide wallet identity, smart contract events, audit trails, and workflow logic.</w:t>
      </w:r>
    </w:p>
    <w:p>
      <w:pPr>
        <w:pStyle w:val="Heading2"/>
      </w:pPr>
      <w:r>
        <w:rPr>
          <w:color w:val="166534"/>
        </w:rPr>
        <w:t>Can AgriPartners work without crypto?</w:t>
      </w:r>
    </w:p>
    <w:p>
      <w:pPr>
        <w:spacing w:after="120" w:line="259" w:lineRule="auto"/>
      </w:pPr>
      <w:r>
        <w:rPr>
          <w:sz w:val="20"/>
        </w:rPr>
        <w:t>Yes. The platform can still provide deal workflow, reporting, treasury visibility, and investor-farmer communication even if funding happens through banks or partners.</w:t>
      </w:r>
    </w:p>
    <w:p>
      <w:pPr>
        <w:pStyle w:val="Heading2"/>
      </w:pPr>
      <w:r>
        <w:rPr>
          <w:color w:val="166534"/>
        </w:rPr>
        <w:t>Does AgriPartners hold investor funds today?</w:t>
      </w:r>
    </w:p>
    <w:p>
      <w:pPr>
        <w:spacing w:after="120" w:line="259" w:lineRule="auto"/>
      </w:pPr>
      <w:r>
        <w:rPr>
          <w:sz w:val="20"/>
        </w:rPr>
        <w:t>No. The Alpha should not be described as holding customer funds. Treasury Shadow Accounting is used to model financial semantics safely.</w:t>
      </w:r>
    </w:p>
    <w:p>
      <w:pPr>
        <w:pStyle w:val="Heading2"/>
      </w:pPr>
      <w:r>
        <w:rPr>
          <w:color w:val="166534"/>
        </w:rPr>
        <w:t>Is AgriPartners a lending platform?</w:t>
      </w:r>
    </w:p>
    <w:p>
      <w:pPr>
        <w:spacing w:after="120" w:line="259" w:lineRule="auto"/>
      </w:pPr>
      <w:r>
        <w:rPr>
          <w:sz w:val="20"/>
        </w:rPr>
        <w:t>Not currently. The platform can support different financing models in the future, but any lending model would require legal design and compliance.</w:t>
      </w:r>
    </w:p>
    <w:p>
      <w:pPr>
        <w:pStyle w:val="Heading2"/>
      </w:pPr>
      <w:r>
        <w:rPr>
          <w:color w:val="166534"/>
        </w:rPr>
        <w:t>Who owns the farm assets?</w:t>
      </w:r>
    </w:p>
    <w:p>
      <w:pPr>
        <w:spacing w:after="120" w:line="259" w:lineRule="auto"/>
      </w:pPr>
      <w:r>
        <w:rPr>
          <w:sz w:val="20"/>
        </w:rPr>
        <w:t>This depends on the legal agreement for each real pilot. The platform can record and display the workflow, but legal ownership must be defined outside the software.</w:t>
      </w:r>
    </w:p>
    <w:p>
      <w:pPr>
        <w:pStyle w:val="Heading2"/>
      </w:pPr>
      <w:r>
        <w:rPr>
          <w:color w:val="166534"/>
        </w:rPr>
        <w:t>How is ROI calculated?</w:t>
      </w:r>
    </w:p>
    <w:p>
      <w:pPr>
        <w:spacing w:after="120" w:line="259" w:lineRule="auto"/>
      </w:pPr>
      <w:r>
        <w:rPr>
          <w:sz w:val="20"/>
        </w:rPr>
        <w:t>ROI means return on investment. In AgriPartners, ROI should be shown transparently based on project assumptions, cycle reports, realized returns, and documented calculations.</w:t>
      </w:r>
    </w:p>
    <w:p>
      <w:pPr>
        <w:pStyle w:val="Heading2"/>
      </w:pPr>
      <w:r>
        <w:rPr>
          <w:color w:val="166534"/>
        </w:rPr>
        <w:t>What happens if a farmer fails to report?</w:t>
      </w:r>
    </w:p>
    <w:p>
      <w:pPr>
        <w:spacing w:after="120" w:line="259" w:lineRule="auto"/>
      </w:pPr>
      <w:r>
        <w:rPr>
          <w:sz w:val="20"/>
        </w:rPr>
        <w:t>The platform can show missing reports, overdue updates, and risk status. Legal consequences must be defined in the project agreement.</w:t>
      </w:r>
    </w:p>
    <w:p>
      <w:pPr>
        <w:pStyle w:val="Heading2"/>
      </w:pPr>
      <w:r>
        <w:rPr>
          <w:color w:val="166534"/>
        </w:rPr>
        <w:t>What happens if a project fails?</w:t>
      </w:r>
    </w:p>
    <w:p>
      <w:pPr>
        <w:spacing w:after="120" w:line="259" w:lineRule="auto"/>
      </w:pPr>
      <w:r>
        <w:rPr>
          <w:sz w:val="20"/>
        </w:rPr>
        <w:t>The platform should record the failure clearly and transparently. Financial and legal outcomes depend on the agreement, risk disclosures, and jurisdiction.</w:t>
      </w:r>
    </w:p>
    <w:p>
      <w:pPr>
        <w:pStyle w:val="Heading2"/>
      </w:pPr>
      <w:r>
        <w:rPr>
          <w:color w:val="166534"/>
        </w:rPr>
        <w:t>Why is farmer reporting important?</w:t>
      </w:r>
    </w:p>
    <w:p>
      <w:pPr>
        <w:spacing w:after="120" w:line="259" w:lineRule="auto"/>
      </w:pPr>
      <w:r>
        <w:rPr>
          <w:sz w:val="20"/>
        </w:rPr>
        <w:t>Because investors need to understand the real operational progress of a project. Reporting creates accountability and helps reduce information gaps.</w:t>
      </w:r>
    </w:p>
    <w:p>
      <w:pPr>
        <w:pStyle w:val="Heading2"/>
      </w:pPr>
      <w:r>
        <w:rPr>
          <w:color w:val="166534"/>
        </w:rPr>
        <w:t>Why is this useful for NEAR?</w:t>
      </w:r>
    </w:p>
    <w:p>
      <w:pPr>
        <w:spacing w:after="120" w:line="259" w:lineRule="auto"/>
      </w:pPr>
      <w:r>
        <w:rPr>
          <w:sz w:val="20"/>
        </w:rPr>
        <w:t>It demonstrates a non-speculative, real-world application of blockchain: transparent agricultural investment workflows.</w:t>
      </w:r>
    </w:p>
    <w:p>
      <w:pPr>
        <w:pStyle w:val="Heading2"/>
      </w:pPr>
      <w:r>
        <w:rPr>
          <w:color w:val="166534"/>
        </w:rPr>
        <w:t>What is the best next step?</w:t>
      </w:r>
    </w:p>
    <w:p>
      <w:pPr>
        <w:spacing w:after="120" w:line="259" w:lineRule="auto"/>
      </w:pPr>
      <w:r>
        <w:rPr>
          <w:sz w:val="20"/>
        </w:rPr>
        <w:t>Continue using Alpha/Testnet to collect feedback, improve reporting and treasury workflows, validate real pilot models, and explore legal/compliance pathways for future funding models.</w:t>
      </w:r>
    </w:p>
    <w:p>
      <w:pPr>
        <w:pStyle w:val="Heading1"/>
      </w:pPr>
      <w:r>
        <w:rPr>
          <w:color w:val="111827"/>
        </w:rPr>
        <w:t>14. Glossary of Terms</w:t>
      </w:r>
    </w:p>
    <w:p>
      <w:pPr>
        <w:spacing w:after="120" w:line="259" w:lineRule="auto"/>
      </w:pPr>
      <w:r>
        <w:rPr>
          <w:sz w:val="20"/>
        </w:rPr>
        <w:t>This glossary explains the most important English/Web3/business terms in plain language. It is designed for investors, farmers, operators, and partners who may not have a crypto background.</w:t>
      </w:r>
    </w:p>
    <w:p>
      <w:pPr>
        <w:spacing w:after="40"/>
      </w:pPr>
      <w:r>
        <w:rPr>
          <w:b/>
          <w:color w:val="166534"/>
          <w:sz w:val="18"/>
        </w:rPr>
        <w:t xml:space="preserve">Alpha: </w:t>
      </w:r>
      <w:r>
        <w:rPr>
          <w:sz w:val="18"/>
        </w:rPr>
        <w:t>An early working version of a product.</w:t>
      </w:r>
    </w:p>
    <w:p>
      <w:pPr>
        <w:spacing w:after="100"/>
        <w:ind w:left="259"/>
      </w:pPr>
      <w:r>
        <w:rPr>
          <w:b/>
          <w:sz w:val="17"/>
        </w:rPr>
        <w:t xml:space="preserve">In AgriPartners: </w:t>
      </w:r>
      <w:r>
        <w:rPr>
          <w:sz w:val="17"/>
        </w:rPr>
        <w:t>AgriPartners Alpha is for testing, demos, and feedback, not production finance.</w:t>
      </w:r>
    </w:p>
    <w:p>
      <w:pPr>
        <w:spacing w:after="40"/>
      </w:pPr>
      <w:r>
        <w:rPr>
          <w:b/>
          <w:color w:val="166534"/>
          <w:sz w:val="18"/>
        </w:rPr>
        <w:t xml:space="preserve">Beta: </w:t>
      </w:r>
      <w:r>
        <w:rPr>
          <w:sz w:val="18"/>
        </w:rPr>
        <w:t>A later test version that is closer to real use.</w:t>
      </w:r>
    </w:p>
    <w:p>
      <w:pPr>
        <w:spacing w:after="100"/>
        <w:ind w:left="259"/>
      </w:pPr>
      <w:r>
        <w:rPr>
          <w:b/>
          <w:sz w:val="17"/>
        </w:rPr>
        <w:t xml:space="preserve">In AgriPartners: </w:t>
      </w:r>
      <w:r>
        <w:rPr>
          <w:sz w:val="17"/>
        </w:rPr>
        <w:t>A future Beta may include more complete workflows and stronger pilot readiness.</w:t>
      </w:r>
    </w:p>
    <w:p>
      <w:pPr>
        <w:spacing w:after="40"/>
      </w:pPr>
      <w:r>
        <w:rPr>
          <w:b/>
          <w:color w:val="166534"/>
          <w:sz w:val="18"/>
        </w:rPr>
        <w:t xml:space="preserve">Blockchain: </w:t>
      </w:r>
      <w:r>
        <w:rPr>
          <w:sz w:val="18"/>
        </w:rPr>
        <w:t>A shared digital record system that is difficult to change secretly.</w:t>
      </w:r>
    </w:p>
    <w:p>
      <w:pPr>
        <w:spacing w:after="100"/>
        <w:ind w:left="259"/>
      </w:pPr>
      <w:r>
        <w:rPr>
          <w:b/>
          <w:sz w:val="17"/>
        </w:rPr>
        <w:t xml:space="preserve">In AgriPartners: </w:t>
      </w:r>
      <w:r>
        <w:rPr>
          <w:sz w:val="17"/>
        </w:rPr>
        <w:t>Useful for recording important investment workflow events.</w:t>
      </w:r>
    </w:p>
    <w:p>
      <w:pPr>
        <w:spacing w:after="40"/>
      </w:pPr>
      <w:r>
        <w:rPr>
          <w:b/>
          <w:color w:val="166534"/>
          <w:sz w:val="18"/>
        </w:rPr>
        <w:t xml:space="preserve">NEAR: </w:t>
      </w:r>
      <w:r>
        <w:rPr>
          <w:sz w:val="18"/>
        </w:rPr>
        <w:t>A blockchain network and ecosystem.</w:t>
      </w:r>
    </w:p>
    <w:p>
      <w:pPr>
        <w:spacing w:after="100"/>
        <w:ind w:left="259"/>
      </w:pPr>
      <w:r>
        <w:rPr>
          <w:b/>
          <w:sz w:val="17"/>
        </w:rPr>
        <w:t xml:space="preserve">In AgriPartners: </w:t>
      </w:r>
      <w:r>
        <w:rPr>
          <w:sz w:val="17"/>
        </w:rPr>
        <w:t>Used by AgriPartners for wallet login, testnet workflows, and future smart contract experiments.</w:t>
      </w:r>
    </w:p>
    <w:p>
      <w:pPr>
        <w:spacing w:after="40"/>
      </w:pPr>
      <w:r>
        <w:rPr>
          <w:b/>
          <w:color w:val="166534"/>
          <w:sz w:val="18"/>
        </w:rPr>
        <w:t xml:space="preserve">Testnet: </w:t>
      </w:r>
      <w:r>
        <w:rPr>
          <w:sz w:val="18"/>
        </w:rPr>
        <w:t>A test version of a blockchain using non-real test assets.</w:t>
      </w:r>
    </w:p>
    <w:p>
      <w:pPr>
        <w:spacing w:after="100"/>
        <w:ind w:left="259"/>
      </w:pPr>
      <w:r>
        <w:rPr>
          <w:b/>
          <w:sz w:val="17"/>
        </w:rPr>
        <w:t xml:space="preserve">In AgriPartners: </w:t>
      </w:r>
      <w:r>
        <w:rPr>
          <w:sz w:val="17"/>
        </w:rPr>
        <w:t>Safe environment for AgriPartners demos and product validation.</w:t>
      </w:r>
    </w:p>
    <w:p>
      <w:pPr>
        <w:spacing w:after="40"/>
      </w:pPr>
      <w:r>
        <w:rPr>
          <w:b/>
          <w:color w:val="166534"/>
          <w:sz w:val="18"/>
        </w:rPr>
        <w:t xml:space="preserve">Mainnet: </w:t>
      </w:r>
      <w:r>
        <w:rPr>
          <w:sz w:val="18"/>
        </w:rPr>
        <w:t>The live production blockchain network.</w:t>
      </w:r>
    </w:p>
    <w:p>
      <w:pPr>
        <w:spacing w:after="100"/>
        <w:ind w:left="259"/>
      </w:pPr>
      <w:r>
        <w:rPr>
          <w:b/>
          <w:sz w:val="17"/>
        </w:rPr>
        <w:t xml:space="preserve">In AgriPartners: </w:t>
      </w:r>
      <w:r>
        <w:rPr>
          <w:sz w:val="17"/>
        </w:rPr>
        <w:t>AgriPartners is not currently positioned as a Mainnet financial system.</w:t>
      </w:r>
    </w:p>
    <w:p>
      <w:pPr>
        <w:spacing w:after="40"/>
      </w:pPr>
      <w:r>
        <w:rPr>
          <w:b/>
          <w:color w:val="166534"/>
          <w:sz w:val="18"/>
        </w:rPr>
        <w:t xml:space="preserve">Wallet: </w:t>
      </w:r>
      <w:r>
        <w:rPr>
          <w:sz w:val="18"/>
        </w:rPr>
        <w:t>A digital account used to sign blockchain actions.</w:t>
      </w:r>
    </w:p>
    <w:p>
      <w:pPr>
        <w:spacing w:after="100"/>
        <w:ind w:left="259"/>
      </w:pPr>
      <w:r>
        <w:rPr>
          <w:b/>
          <w:sz w:val="17"/>
        </w:rPr>
        <w:t xml:space="preserve">In AgriPartners: </w:t>
      </w:r>
      <w:r>
        <w:rPr>
          <w:sz w:val="17"/>
        </w:rPr>
        <w:t>Investors or farmers may use wallets to authenticate or confirm actions.</w:t>
      </w:r>
    </w:p>
    <w:p>
      <w:pPr>
        <w:spacing w:after="40"/>
      </w:pPr>
      <w:r>
        <w:rPr>
          <w:b/>
          <w:color w:val="166534"/>
          <w:sz w:val="18"/>
        </w:rPr>
        <w:t xml:space="preserve">Smart Contract: </w:t>
      </w:r>
      <w:r>
        <w:rPr>
          <w:sz w:val="18"/>
        </w:rPr>
        <w:t>A program that runs on a blockchain.</w:t>
      </w:r>
    </w:p>
    <w:p>
      <w:pPr>
        <w:spacing w:after="100"/>
        <w:ind w:left="259"/>
      </w:pPr>
      <w:r>
        <w:rPr>
          <w:b/>
          <w:sz w:val="17"/>
        </w:rPr>
        <w:t xml:space="preserve">In AgriPartners: </w:t>
      </w:r>
      <w:r>
        <w:rPr>
          <w:sz w:val="17"/>
        </w:rPr>
        <w:t>Can record or enforce predefined workflow rules.</w:t>
      </w:r>
    </w:p>
    <w:p>
      <w:pPr>
        <w:spacing w:after="40"/>
      </w:pPr>
      <w:r>
        <w:rPr>
          <w:b/>
          <w:color w:val="166534"/>
          <w:sz w:val="18"/>
        </w:rPr>
        <w:t xml:space="preserve">USDT: </w:t>
      </w:r>
      <w:r>
        <w:rPr>
          <w:sz w:val="18"/>
        </w:rPr>
        <w:t>A stablecoin designed to track the US dollar.</w:t>
      </w:r>
    </w:p>
    <w:p>
      <w:pPr>
        <w:spacing w:after="100"/>
        <w:ind w:left="259"/>
      </w:pPr>
      <w:r>
        <w:rPr>
          <w:b/>
          <w:sz w:val="17"/>
        </w:rPr>
        <w:t xml:space="preserve">In AgriPartners: </w:t>
      </w:r>
      <w:r>
        <w:rPr>
          <w:sz w:val="17"/>
        </w:rPr>
        <w:t>May be relevant for future settlement or funding flows.</w:t>
      </w:r>
    </w:p>
    <w:p>
      <w:pPr>
        <w:spacing w:after="40"/>
      </w:pPr>
      <w:r>
        <w:rPr>
          <w:b/>
          <w:color w:val="166534"/>
          <w:sz w:val="18"/>
        </w:rPr>
        <w:t xml:space="preserve">Stablecoin: </w:t>
      </w:r>
      <w:r>
        <w:rPr>
          <w:sz w:val="18"/>
        </w:rPr>
        <w:t>A crypto asset designed to keep a stable value.</w:t>
      </w:r>
    </w:p>
    <w:p>
      <w:pPr>
        <w:spacing w:after="100"/>
        <w:ind w:left="259"/>
      </w:pPr>
      <w:r>
        <w:rPr>
          <w:b/>
          <w:sz w:val="17"/>
        </w:rPr>
        <w:t xml:space="preserve">In AgriPartners: </w:t>
      </w:r>
      <w:r>
        <w:rPr>
          <w:sz w:val="17"/>
        </w:rPr>
        <w:t>May reduce volatility compared with ordinary crypto tokens.</w:t>
      </w:r>
    </w:p>
    <w:p>
      <w:pPr>
        <w:spacing w:after="40"/>
      </w:pPr>
      <w:r>
        <w:rPr>
          <w:b/>
          <w:color w:val="166534"/>
          <w:sz w:val="18"/>
        </w:rPr>
        <w:t xml:space="preserve">Fiat: </w:t>
      </w:r>
      <w:r>
        <w:rPr>
          <w:sz w:val="18"/>
        </w:rPr>
        <w:t>Traditional government-issued money, such as USD.</w:t>
      </w:r>
    </w:p>
    <w:p>
      <w:pPr>
        <w:spacing w:after="100"/>
        <w:ind w:left="259"/>
      </w:pPr>
      <w:r>
        <w:rPr>
          <w:b/>
          <w:sz w:val="17"/>
        </w:rPr>
        <w:t xml:space="preserve">In AgriPartners: </w:t>
      </w:r>
      <w:r>
        <w:rPr>
          <w:sz w:val="17"/>
        </w:rPr>
        <w:t>Farmers may ultimately need fiat for real-world purchases.</w:t>
      </w:r>
    </w:p>
    <w:p>
      <w:pPr>
        <w:spacing w:after="40"/>
      </w:pPr>
      <w:r>
        <w:rPr>
          <w:b/>
          <w:color w:val="166534"/>
          <w:sz w:val="18"/>
        </w:rPr>
        <w:t xml:space="preserve">Treasury: </w:t>
      </w:r>
      <w:r>
        <w:rPr>
          <w:sz w:val="18"/>
        </w:rPr>
        <w:t>The system for managing and tracking money flows.</w:t>
      </w:r>
    </w:p>
    <w:p>
      <w:pPr>
        <w:spacing w:after="100"/>
        <w:ind w:left="259"/>
      </w:pPr>
      <w:r>
        <w:rPr>
          <w:b/>
          <w:sz w:val="17"/>
        </w:rPr>
        <w:t xml:space="preserve">In AgriPartners: </w:t>
      </w:r>
      <w:r>
        <w:rPr>
          <w:sz w:val="17"/>
        </w:rPr>
        <w:t>AgriPartners models treasury visibility through dashboards and shadow accounting.</w:t>
      </w:r>
    </w:p>
    <w:p>
      <w:pPr>
        <w:spacing w:after="40"/>
      </w:pPr>
      <w:r>
        <w:rPr>
          <w:b/>
          <w:color w:val="166534"/>
          <w:sz w:val="18"/>
        </w:rPr>
        <w:t xml:space="preserve">Treasury Shadow Accounting: </w:t>
      </w:r>
      <w:r>
        <w:rPr>
          <w:sz w:val="18"/>
        </w:rPr>
        <w:t>A safe model of financial records without claiming live custody.</w:t>
      </w:r>
    </w:p>
    <w:p>
      <w:pPr>
        <w:spacing w:after="100"/>
        <w:ind w:left="259"/>
      </w:pPr>
      <w:r>
        <w:rPr>
          <w:b/>
          <w:sz w:val="17"/>
        </w:rPr>
        <w:t xml:space="preserve">In AgriPartners: </w:t>
      </w:r>
      <w:r>
        <w:rPr>
          <w:sz w:val="17"/>
        </w:rPr>
        <w:t>Used in Alpha to demonstrate reconciliation and status logic.</w:t>
      </w:r>
    </w:p>
    <w:p>
      <w:pPr>
        <w:spacing w:after="40"/>
      </w:pPr>
      <w:r>
        <w:rPr>
          <w:b/>
          <w:color w:val="166534"/>
          <w:sz w:val="18"/>
        </w:rPr>
        <w:t xml:space="preserve">RWA: </w:t>
      </w:r>
      <w:r>
        <w:rPr>
          <w:sz w:val="18"/>
        </w:rPr>
        <w:t>Real-World Assets.</w:t>
      </w:r>
    </w:p>
    <w:p>
      <w:pPr>
        <w:spacing w:after="100"/>
        <w:ind w:left="259"/>
      </w:pPr>
      <w:r>
        <w:rPr>
          <w:b/>
          <w:sz w:val="17"/>
        </w:rPr>
        <w:t xml:space="preserve">In AgriPartners: </w:t>
      </w:r>
      <w:r>
        <w:rPr>
          <w:sz w:val="17"/>
        </w:rPr>
        <w:t>Agricultural projects, animals, crops, equipment, or farms represented in digital workflows.</w:t>
      </w:r>
    </w:p>
    <w:p>
      <w:pPr>
        <w:spacing w:after="40"/>
      </w:pPr>
      <w:r>
        <w:rPr>
          <w:b/>
          <w:color w:val="166534"/>
          <w:sz w:val="18"/>
        </w:rPr>
        <w:t xml:space="preserve">DeFi: </w:t>
      </w:r>
      <w:r>
        <w:rPr>
          <w:sz w:val="18"/>
        </w:rPr>
        <w:t>Decentralized Finance.</w:t>
      </w:r>
    </w:p>
    <w:p>
      <w:pPr>
        <w:spacing w:after="100"/>
        <w:ind w:left="259"/>
      </w:pPr>
      <w:r>
        <w:rPr>
          <w:b/>
          <w:sz w:val="17"/>
        </w:rPr>
        <w:t xml:space="preserve">In AgriPartners: </w:t>
      </w:r>
      <w:r>
        <w:rPr>
          <w:sz w:val="17"/>
        </w:rPr>
        <w:t>May become relevant later if AgriPartners connects to Web3 liquidity or investment infrastructure.</w:t>
      </w:r>
    </w:p>
    <w:p>
      <w:pPr>
        <w:spacing w:after="40"/>
      </w:pPr>
      <w:r>
        <w:rPr>
          <w:b/>
          <w:color w:val="166534"/>
          <w:sz w:val="18"/>
        </w:rPr>
        <w:t xml:space="preserve">ROI: </w:t>
      </w:r>
      <w:r>
        <w:rPr>
          <w:sz w:val="18"/>
        </w:rPr>
        <w:t>Return on Investment.</w:t>
      </w:r>
    </w:p>
    <w:p>
      <w:pPr>
        <w:spacing w:after="100"/>
        <w:ind w:left="259"/>
      </w:pPr>
      <w:r>
        <w:rPr>
          <w:b/>
          <w:sz w:val="17"/>
        </w:rPr>
        <w:t xml:space="preserve">In AgriPartners: </w:t>
      </w:r>
      <w:r>
        <w:rPr>
          <w:sz w:val="17"/>
        </w:rPr>
        <w:t>Shows how much profit is generated compared with the initial investment.</w:t>
      </w:r>
    </w:p>
    <w:p>
      <w:pPr>
        <w:spacing w:after="40"/>
      </w:pPr>
      <w:r>
        <w:rPr>
          <w:b/>
          <w:color w:val="166534"/>
          <w:sz w:val="18"/>
        </w:rPr>
        <w:t xml:space="preserve">APR: </w:t>
      </w:r>
      <w:r>
        <w:rPr>
          <w:sz w:val="18"/>
        </w:rPr>
        <w:t>Annual Percentage Rate.</w:t>
      </w:r>
    </w:p>
    <w:p>
      <w:pPr>
        <w:spacing w:after="100"/>
        <w:ind w:left="259"/>
      </w:pPr>
      <w:r>
        <w:rPr>
          <w:b/>
          <w:sz w:val="17"/>
        </w:rPr>
        <w:t xml:space="preserve">In AgriPartners: </w:t>
      </w:r>
      <w:r>
        <w:rPr>
          <w:sz w:val="17"/>
        </w:rPr>
        <w:t>Shows annualized return or cost as a percentage.</w:t>
      </w:r>
    </w:p>
    <w:p>
      <w:pPr>
        <w:spacing w:after="40"/>
      </w:pPr>
      <w:r>
        <w:rPr>
          <w:b/>
          <w:color w:val="166534"/>
          <w:sz w:val="18"/>
        </w:rPr>
        <w:t xml:space="preserve">KYC: </w:t>
      </w:r>
      <w:r>
        <w:rPr>
          <w:sz w:val="18"/>
        </w:rPr>
        <w:t>Know Your Customer checks.</w:t>
      </w:r>
    </w:p>
    <w:p>
      <w:pPr>
        <w:spacing w:after="100"/>
        <w:ind w:left="259"/>
      </w:pPr>
      <w:r>
        <w:rPr>
          <w:b/>
          <w:sz w:val="17"/>
        </w:rPr>
        <w:t xml:space="preserve">In AgriPartners: </w:t>
      </w:r>
      <w:r>
        <w:rPr>
          <w:sz w:val="17"/>
        </w:rPr>
        <w:t>Required in many regulated financial contexts.</w:t>
      </w:r>
    </w:p>
    <w:p>
      <w:pPr>
        <w:spacing w:after="40"/>
      </w:pPr>
      <w:r>
        <w:rPr>
          <w:b/>
          <w:color w:val="166534"/>
          <w:sz w:val="18"/>
        </w:rPr>
        <w:t xml:space="preserve">AML: </w:t>
      </w:r>
      <w:r>
        <w:rPr>
          <w:sz w:val="18"/>
        </w:rPr>
        <w:t>Anti-Money Laundering controls.</w:t>
      </w:r>
    </w:p>
    <w:p>
      <w:pPr>
        <w:spacing w:after="100"/>
        <w:ind w:left="259"/>
      </w:pPr>
      <w:r>
        <w:rPr>
          <w:b/>
          <w:sz w:val="17"/>
        </w:rPr>
        <w:t xml:space="preserve">In AgriPartners: </w:t>
      </w:r>
      <w:r>
        <w:rPr>
          <w:sz w:val="17"/>
        </w:rPr>
        <w:t>Processes used to prevent illegal money flows.</w:t>
      </w:r>
    </w:p>
    <w:p>
      <w:pPr>
        <w:spacing w:after="40"/>
      </w:pPr>
      <w:r>
        <w:rPr>
          <w:b/>
          <w:color w:val="166534"/>
          <w:sz w:val="18"/>
        </w:rPr>
        <w:t xml:space="preserve">Custody: </w:t>
      </w:r>
      <w:r>
        <w:rPr>
          <w:sz w:val="18"/>
        </w:rPr>
        <w:t>Holding assets on behalf of users.</w:t>
      </w:r>
    </w:p>
    <w:p>
      <w:pPr>
        <w:spacing w:after="100"/>
        <w:ind w:left="259"/>
      </w:pPr>
      <w:r>
        <w:rPr>
          <w:b/>
          <w:sz w:val="17"/>
        </w:rPr>
        <w:t xml:space="preserve">In AgriPartners: </w:t>
      </w:r>
      <w:r>
        <w:rPr>
          <w:sz w:val="17"/>
        </w:rPr>
        <w:t>AgriPartners Alpha should not claim to provide custody.</w:t>
      </w:r>
    </w:p>
    <w:p>
      <w:pPr>
        <w:spacing w:after="40"/>
      </w:pPr>
      <w:r>
        <w:rPr>
          <w:b/>
          <w:color w:val="166534"/>
          <w:sz w:val="18"/>
        </w:rPr>
        <w:t xml:space="preserve">Settlement: </w:t>
      </w:r>
      <w:r>
        <w:rPr>
          <w:sz w:val="18"/>
        </w:rPr>
        <w:t>Final completion of a payment or transfer.</w:t>
      </w:r>
    </w:p>
    <w:p>
      <w:pPr>
        <w:spacing w:after="100"/>
        <w:ind w:left="259"/>
      </w:pPr>
      <w:r>
        <w:rPr>
          <w:b/>
          <w:sz w:val="17"/>
        </w:rPr>
        <w:t xml:space="preserve">In AgriPartners: </w:t>
      </w:r>
      <w:r>
        <w:rPr>
          <w:sz w:val="17"/>
        </w:rPr>
        <w:t>Future settlement design requires legal and payment infrastructure.</w:t>
      </w:r>
    </w:p>
    <w:p>
      <w:pPr>
        <w:spacing w:after="40"/>
      </w:pPr>
      <w:r>
        <w:rPr>
          <w:b/>
          <w:color w:val="166534"/>
          <w:sz w:val="18"/>
        </w:rPr>
        <w:t xml:space="preserve">Reconciliation: </w:t>
      </w:r>
      <w:r>
        <w:rPr>
          <w:sz w:val="18"/>
        </w:rPr>
        <w:t>Checking that records match across systems.</w:t>
      </w:r>
    </w:p>
    <w:p>
      <w:pPr>
        <w:spacing w:after="100"/>
        <w:ind w:left="259"/>
      </w:pPr>
      <w:r>
        <w:rPr>
          <w:b/>
          <w:sz w:val="17"/>
        </w:rPr>
        <w:t xml:space="preserve">In AgriPartners: </w:t>
      </w:r>
      <w:r>
        <w:rPr>
          <w:sz w:val="17"/>
        </w:rPr>
        <w:t>Important for treasury, investor reporting, and operator control.</w:t>
      </w:r>
    </w:p>
    <w:p>
      <w:pPr>
        <w:spacing w:after="40"/>
      </w:pPr>
      <w:r>
        <w:rPr>
          <w:b/>
          <w:color w:val="166534"/>
          <w:sz w:val="18"/>
        </w:rPr>
        <w:t xml:space="preserve">Audit Trail: </w:t>
      </w:r>
      <w:r>
        <w:rPr>
          <w:sz w:val="18"/>
        </w:rPr>
        <w:t>A clear history of actions and records.</w:t>
      </w:r>
    </w:p>
    <w:p>
      <w:pPr>
        <w:spacing w:after="100"/>
        <w:ind w:left="259"/>
      </w:pPr>
      <w:r>
        <w:rPr>
          <w:b/>
          <w:sz w:val="17"/>
        </w:rPr>
        <w:t xml:space="preserve">In AgriPartners: </w:t>
      </w:r>
      <w:r>
        <w:rPr>
          <w:sz w:val="17"/>
        </w:rPr>
        <w:t>Helps stakeholders understand what happened and when.</w:t>
      </w:r>
    </w:p>
    <w:p>
      <w:pPr>
        <w:spacing w:after="40"/>
      </w:pPr>
      <w:r>
        <w:rPr>
          <w:b/>
          <w:color w:val="166534"/>
          <w:sz w:val="18"/>
        </w:rPr>
        <w:t xml:space="preserve">Workflow: </w:t>
      </w:r>
      <w:r>
        <w:rPr>
          <w:sz w:val="18"/>
        </w:rPr>
        <w:t>A sequence of operational steps.</w:t>
      </w:r>
    </w:p>
    <w:p>
      <w:pPr>
        <w:spacing w:after="100"/>
        <w:ind w:left="259"/>
      </w:pPr>
      <w:r>
        <w:rPr>
          <w:b/>
          <w:sz w:val="17"/>
        </w:rPr>
        <w:t xml:space="preserve">In AgriPartners: </w:t>
      </w:r>
      <w:r>
        <w:rPr>
          <w:sz w:val="17"/>
        </w:rPr>
        <w:t>Deal creation, funding confirmation, reporting, returns, and review.</w:t>
      </w:r>
    </w:p>
    <w:p>
      <w:pPr>
        <w:spacing w:after="40"/>
      </w:pPr>
      <w:r>
        <w:rPr>
          <w:b/>
          <w:color w:val="166534"/>
          <w:sz w:val="18"/>
        </w:rPr>
        <w:t xml:space="preserve">Investor Portal: </w:t>
      </w:r>
      <w:r>
        <w:rPr>
          <w:sz w:val="18"/>
        </w:rPr>
        <w:t>The investor-facing part of the platform.</w:t>
      </w:r>
    </w:p>
    <w:p>
      <w:pPr>
        <w:spacing w:after="100"/>
        <w:ind w:left="259"/>
      </w:pPr>
      <w:r>
        <w:rPr>
          <w:b/>
          <w:sz w:val="17"/>
        </w:rPr>
        <w:t xml:space="preserve">In AgriPartners: </w:t>
      </w:r>
      <w:r>
        <w:rPr>
          <w:sz w:val="17"/>
        </w:rPr>
        <w:t>Shows opportunities, status, reports, and return records.</w:t>
      </w:r>
    </w:p>
    <w:p>
      <w:pPr>
        <w:spacing w:after="40"/>
      </w:pPr>
      <w:r>
        <w:rPr>
          <w:b/>
          <w:color w:val="166534"/>
          <w:sz w:val="18"/>
        </w:rPr>
        <w:t xml:space="preserve">Farmer Portal: </w:t>
      </w:r>
      <w:r>
        <w:rPr>
          <w:sz w:val="18"/>
        </w:rPr>
        <w:t>The farmer-facing part of the platform.</w:t>
      </w:r>
    </w:p>
    <w:p>
      <w:pPr>
        <w:spacing w:after="100"/>
        <w:ind w:left="259"/>
      </w:pPr>
      <w:r>
        <w:rPr>
          <w:b/>
          <w:sz w:val="17"/>
        </w:rPr>
        <w:t xml:space="preserve">In AgriPartners: </w:t>
      </w:r>
      <w:r>
        <w:rPr>
          <w:sz w:val="17"/>
        </w:rPr>
        <w:t>Allows farmers to view deals and submit reports.</w:t>
      </w:r>
    </w:p>
    <w:p>
      <w:pPr>
        <w:spacing w:after="40"/>
      </w:pPr>
      <w:r>
        <w:rPr>
          <w:b/>
          <w:color w:val="166534"/>
          <w:sz w:val="18"/>
        </w:rPr>
        <w:t xml:space="preserve">Admin Portal: </w:t>
      </w:r>
      <w:r>
        <w:rPr>
          <w:sz w:val="18"/>
        </w:rPr>
        <w:t>The operator-facing part of the platform.</w:t>
      </w:r>
    </w:p>
    <w:p>
      <w:pPr>
        <w:spacing w:after="100"/>
        <w:ind w:left="259"/>
      </w:pPr>
      <w:r>
        <w:rPr>
          <w:b/>
          <w:sz w:val="17"/>
        </w:rPr>
        <w:t xml:space="preserve">In AgriPartners: </w:t>
      </w:r>
      <w:r>
        <w:rPr>
          <w:sz w:val="17"/>
        </w:rPr>
        <w:t>Used to manage deals, users, records, and operations.</w:t>
      </w:r>
    </w:p>
    <w:p>
      <w:pPr>
        <w:spacing w:after="40"/>
      </w:pPr>
      <w:r>
        <w:rPr>
          <w:b/>
          <w:color w:val="166534"/>
          <w:sz w:val="18"/>
        </w:rPr>
        <w:t xml:space="preserve">Presentation Mode: </w:t>
      </w:r>
      <w:r>
        <w:rPr>
          <w:sz w:val="18"/>
        </w:rPr>
        <w:t>A guided demo experience.</w:t>
      </w:r>
    </w:p>
    <w:p>
      <w:pPr>
        <w:spacing w:after="100"/>
        <w:ind w:left="259"/>
      </w:pPr>
      <w:r>
        <w:rPr>
          <w:b/>
          <w:sz w:val="17"/>
        </w:rPr>
        <w:t xml:space="preserve">In AgriPartners: </w:t>
      </w:r>
      <w:r>
        <w:rPr>
          <w:sz w:val="17"/>
        </w:rPr>
        <w:t>Helps explain AgriPartners to investors and ecosystem partners.</w:t>
      </w:r>
    </w:p>
    <w:p>
      <w:pPr>
        <w:spacing w:after="40"/>
      </w:pPr>
      <w:r>
        <w:rPr>
          <w:b/>
          <w:color w:val="166534"/>
          <w:sz w:val="18"/>
        </w:rPr>
        <w:t xml:space="preserve">Founder Success: </w:t>
      </w:r>
      <w:r>
        <w:rPr>
          <w:sz w:val="18"/>
        </w:rPr>
        <w:t>Support function for startup founders in an ecosystem.</w:t>
      </w:r>
    </w:p>
    <w:p>
      <w:pPr>
        <w:spacing w:after="100"/>
        <w:ind w:left="259"/>
      </w:pPr>
      <w:r>
        <w:rPr>
          <w:b/>
          <w:sz w:val="17"/>
        </w:rPr>
        <w:t xml:space="preserve">In AgriPartners: </w:t>
      </w:r>
      <w:r>
        <w:rPr>
          <w:sz w:val="17"/>
        </w:rPr>
        <w:t>Relevant NEAR contacts may help AgriPartners with feedback and ecosystem navigation.</w:t>
      </w:r>
    </w:p>
    <w:p>
      <w:pPr>
        <w:spacing w:after="40"/>
      </w:pPr>
      <w:r>
        <w:rPr>
          <w:b/>
          <w:color w:val="166534"/>
          <w:sz w:val="18"/>
        </w:rPr>
        <w:t xml:space="preserve">Pilot: </w:t>
      </w:r>
      <w:r>
        <w:rPr>
          <w:sz w:val="18"/>
        </w:rPr>
        <w:t>A controlled early test with limited scope.</w:t>
      </w:r>
    </w:p>
    <w:p>
      <w:pPr>
        <w:spacing w:after="100"/>
        <w:ind w:left="259"/>
      </w:pPr>
      <w:r>
        <w:rPr>
          <w:b/>
          <w:sz w:val="17"/>
        </w:rPr>
        <w:t xml:space="preserve">In AgriPartners: </w:t>
      </w:r>
      <w:r>
        <w:rPr>
          <w:sz w:val="17"/>
        </w:rPr>
        <w:t>AgriPartners should validate real workflows before scaling.</w:t>
      </w:r>
    </w:p>
    <w:p>
      <w:pPr>
        <w:spacing w:after="40"/>
      </w:pPr>
      <w:r>
        <w:rPr>
          <w:b/>
          <w:color w:val="166534"/>
          <w:sz w:val="18"/>
        </w:rPr>
        <w:t xml:space="preserve">White Label: </w:t>
      </w:r>
      <w:r>
        <w:rPr>
          <w:sz w:val="18"/>
        </w:rPr>
        <w:t>A product used by another organization under its own brand.</w:t>
      </w:r>
    </w:p>
    <w:p>
      <w:pPr>
        <w:spacing w:after="100"/>
        <w:ind w:left="259"/>
      </w:pPr>
      <w:r>
        <w:rPr>
          <w:b/>
          <w:sz w:val="17"/>
        </w:rPr>
        <w:t xml:space="preserve">In AgriPartners: </w:t>
      </w:r>
      <w:r>
        <w:rPr>
          <w:sz w:val="17"/>
        </w:rPr>
        <w:t>Possible future model for cooperatives, funds, or agri-operators.</w:t>
      </w:r>
    </w:p>
    <w:p>
      <w:pPr>
        <w:spacing w:after="40"/>
      </w:pPr>
      <w:r>
        <w:rPr>
          <w:b/>
          <w:color w:val="166534"/>
          <w:sz w:val="18"/>
        </w:rPr>
        <w:t xml:space="preserve">Marketplace: </w:t>
      </w:r>
      <w:r>
        <w:rPr>
          <w:sz w:val="18"/>
        </w:rPr>
        <w:t>A place where opportunities and participants meet.</w:t>
      </w:r>
    </w:p>
    <w:p>
      <w:pPr>
        <w:spacing w:after="100"/>
        <w:ind w:left="259"/>
      </w:pPr>
      <w:r>
        <w:rPr>
          <w:b/>
          <w:sz w:val="17"/>
        </w:rPr>
        <w:t xml:space="preserve">In AgriPartners: </w:t>
      </w:r>
      <w:r>
        <w:rPr>
          <w:sz w:val="17"/>
        </w:rPr>
        <w:t>AgriPartners can evolve into a marketplace for agricultural opportunities.</w:t>
      </w:r>
    </w:p>
    <w:p>
      <w:pPr>
        <w:spacing w:after="40"/>
      </w:pPr>
      <w:r>
        <w:rPr>
          <w:b/>
          <w:color w:val="166534"/>
          <w:sz w:val="18"/>
        </w:rPr>
        <w:t xml:space="preserve">Reporting: </w:t>
      </w:r>
      <w:r>
        <w:rPr>
          <w:sz w:val="18"/>
        </w:rPr>
        <w:t>Structured updates from farmers or operators.</w:t>
      </w:r>
    </w:p>
    <w:p>
      <w:pPr>
        <w:spacing w:after="100"/>
        <w:ind w:left="259"/>
      </w:pPr>
      <w:r>
        <w:rPr>
          <w:b/>
          <w:sz w:val="17"/>
        </w:rPr>
        <w:t xml:space="preserve">In AgriPartners: </w:t>
      </w:r>
      <w:r>
        <w:rPr>
          <w:sz w:val="17"/>
        </w:rPr>
        <w:t>Core part of transparency and investor confidence.</w:t>
      </w:r>
    </w:p>
    <w:p>
      <w:pPr>
        <w:spacing w:after="40"/>
      </w:pPr>
      <w:r>
        <w:rPr>
          <w:b/>
          <w:color w:val="166534"/>
          <w:sz w:val="18"/>
        </w:rPr>
        <w:t xml:space="preserve">Compliance: </w:t>
      </w:r>
      <w:r>
        <w:rPr>
          <w:sz w:val="18"/>
        </w:rPr>
        <w:t>Following laws and rules.</w:t>
      </w:r>
    </w:p>
    <w:p>
      <w:pPr>
        <w:spacing w:after="100"/>
        <w:ind w:left="259"/>
      </w:pPr>
      <w:r>
        <w:rPr>
          <w:b/>
          <w:sz w:val="17"/>
        </w:rPr>
        <w:t xml:space="preserve">In AgriPartners: </w:t>
      </w:r>
      <w:r>
        <w:rPr>
          <w:sz w:val="17"/>
        </w:rPr>
        <w:t>Necessary before any real-money funding flow.</w:t>
      </w:r>
    </w:p>
    <w:p>
      <w:pPr>
        <w:spacing w:after="40"/>
      </w:pPr>
      <w:r>
        <w:rPr>
          <w:b/>
          <w:color w:val="166534"/>
          <w:sz w:val="18"/>
        </w:rPr>
        <w:t xml:space="preserve">Tokenization: </w:t>
      </w:r>
      <w:r>
        <w:rPr>
          <w:sz w:val="18"/>
        </w:rPr>
        <w:t>Representing rights or assets digitally.</w:t>
      </w:r>
    </w:p>
    <w:p>
      <w:pPr>
        <w:spacing w:after="100"/>
        <w:ind w:left="259"/>
      </w:pPr>
      <w:r>
        <w:rPr>
          <w:b/>
          <w:sz w:val="17"/>
        </w:rPr>
        <w:t xml:space="preserve">In AgriPartners: </w:t>
      </w:r>
      <w:r>
        <w:rPr>
          <w:sz w:val="17"/>
        </w:rPr>
        <w:t>A possible future direction, not the current Alpha claim.</w:t>
      </w:r>
    </w:p>
    <w:p>
      <w:pPr>
        <w:pStyle w:val="Heading1"/>
      </w:pPr>
      <w:r>
        <w:rPr>
          <w:color w:val="111827"/>
        </w:rPr>
        <w:t>15. Roadmap Positioning</w:t>
      </w:r>
    </w:p>
    <w:p>
      <w:pPr>
        <w:pStyle w:val="Heading2"/>
      </w:pPr>
      <w:r>
        <w:rPr>
          <w:color w:val="166534"/>
        </w:rPr>
        <w:t>Near-term: Alpha</w:t>
      </w:r>
    </w:p>
    <w:p>
      <w:pPr>
        <w:pStyle w:val="ListBullet"/>
        <w:spacing w:after="40"/>
      </w:pPr>
      <w:r>
        <w:rPr>
          <w:sz w:val="20"/>
        </w:rPr>
        <w:t>Improve demo quality and product clarity.</w:t>
      </w:r>
    </w:p>
    <w:p>
      <w:pPr>
        <w:pStyle w:val="ListBullet"/>
        <w:spacing w:after="40"/>
      </w:pPr>
      <w:r>
        <w:rPr>
          <w:sz w:val="20"/>
        </w:rPr>
        <w:t>Use real pilot models and demo portfolio data.</w:t>
      </w:r>
    </w:p>
    <w:p>
      <w:pPr>
        <w:pStyle w:val="ListBullet"/>
        <w:spacing w:after="40"/>
      </w:pPr>
      <w:r>
        <w:rPr>
          <w:sz w:val="20"/>
        </w:rPr>
        <w:t>Collect feedback from NEAR ecosystem contacts and technical reviewers.</w:t>
      </w:r>
    </w:p>
    <w:p>
      <w:pPr>
        <w:pStyle w:val="ListBullet"/>
        <w:spacing w:after="40"/>
      </w:pPr>
      <w:r>
        <w:rPr>
          <w:sz w:val="20"/>
        </w:rPr>
        <w:t>Strengthen Treasury Shadow Accounting and farmer reporting workflows.</w:t>
      </w:r>
    </w:p>
    <w:p>
      <w:pPr>
        <w:pStyle w:val="ListBullet"/>
        <w:spacing w:after="40"/>
      </w:pPr>
      <w:r>
        <w:rPr>
          <w:sz w:val="20"/>
        </w:rPr>
        <w:t>Maintain clear Alpha/Testnet boundaries.</w:t>
      </w:r>
    </w:p>
    <w:p>
      <w:pPr>
        <w:pStyle w:val="Heading2"/>
      </w:pPr>
      <w:r>
        <w:rPr>
          <w:color w:val="166534"/>
        </w:rPr>
        <w:t>Mid-term: Pilot readiness</w:t>
      </w:r>
    </w:p>
    <w:p>
      <w:pPr>
        <w:pStyle w:val="ListBullet"/>
        <w:spacing w:after="40"/>
      </w:pPr>
      <w:r>
        <w:rPr>
          <w:sz w:val="20"/>
        </w:rPr>
        <w:t>Clarify legal and funding structures.</w:t>
      </w:r>
    </w:p>
    <w:p>
      <w:pPr>
        <w:pStyle w:val="ListBullet"/>
        <w:spacing w:after="40"/>
      </w:pPr>
      <w:r>
        <w:rPr>
          <w:sz w:val="20"/>
        </w:rPr>
        <w:t>Prepare controlled pilots with selected farmers and stakeholders.</w:t>
      </w:r>
    </w:p>
    <w:p>
      <w:pPr>
        <w:pStyle w:val="ListBullet"/>
        <w:spacing w:after="40"/>
      </w:pPr>
      <w:r>
        <w:rPr>
          <w:sz w:val="20"/>
        </w:rPr>
        <w:t>Improve risk and return reporting.</w:t>
      </w:r>
    </w:p>
    <w:p>
      <w:pPr>
        <w:pStyle w:val="ListBullet"/>
        <w:spacing w:after="40"/>
      </w:pPr>
      <w:r>
        <w:rPr>
          <w:sz w:val="20"/>
        </w:rPr>
        <w:t>Define custody, settlement, and payment responsibilities.</w:t>
      </w:r>
    </w:p>
    <w:p>
      <w:pPr>
        <w:pStyle w:val="ListBullet"/>
        <w:spacing w:after="40"/>
      </w:pPr>
      <w:r>
        <w:rPr>
          <w:sz w:val="20"/>
        </w:rPr>
        <w:t>Explore stablecoin or fiat partner integrations.</w:t>
      </w:r>
    </w:p>
    <w:p>
      <w:pPr>
        <w:pStyle w:val="Heading2"/>
      </w:pPr>
      <w:r>
        <w:rPr>
          <w:color w:val="166534"/>
        </w:rPr>
        <w:t>Long-term: Infrastructure layer</w:t>
      </w:r>
    </w:p>
    <w:p>
      <w:pPr>
        <w:pStyle w:val="ListBullet"/>
        <w:spacing w:after="40"/>
      </w:pPr>
      <w:r>
        <w:rPr>
          <w:sz w:val="20"/>
        </w:rPr>
        <w:t>Become a transparent workflow layer for agricultural finance.</w:t>
      </w:r>
    </w:p>
    <w:p>
      <w:pPr>
        <w:pStyle w:val="ListBullet"/>
        <w:spacing w:after="40"/>
      </w:pPr>
      <w:r>
        <w:rPr>
          <w:sz w:val="20"/>
        </w:rPr>
        <w:t>Enable verified farmer histories and project performance records.</w:t>
      </w:r>
    </w:p>
    <w:p>
      <w:pPr>
        <w:pStyle w:val="ListBullet"/>
        <w:spacing w:after="40"/>
      </w:pPr>
      <w:r>
        <w:rPr>
          <w:sz w:val="20"/>
        </w:rPr>
        <w:t>Provide infrastructure to partners, funds, cooperatives, and agri-business operators.</w:t>
      </w:r>
    </w:p>
    <w:p>
      <w:pPr>
        <w:pStyle w:val="ListBullet"/>
        <w:spacing w:after="40"/>
      </w:pPr>
      <w:r>
        <w:rPr>
          <w:sz w:val="20"/>
        </w:rPr>
        <w:t>Build a trusted bridge between capital and productive farming businesses.</w:t>
      </w:r>
    </w:p>
    <w:p>
      <w:pPr>
        <w:pStyle w:val="Heading1"/>
      </w:pPr>
      <w:r>
        <w:rPr>
          <w:color w:val="111827"/>
        </w:rPr>
        <w:t>16. Conclusion</w:t>
      </w:r>
    </w:p>
    <w:p>
      <w:pPr>
        <w:spacing w:after="120" w:line="259" w:lineRule="auto"/>
      </w:pPr>
      <w:r>
        <w:rPr>
          <w:sz w:val="20"/>
        </w:rPr>
        <w:t>The original idea of attracting crypto capital through NEAR and converting into USDT or fiat for agricultural financing remains strategically relevant, but it should be treated as a future funding pathway, not the current Alpha promise.</w:t>
      </w:r>
    </w:p>
    <w:p>
      <w:pPr>
        <w:spacing w:after="120" w:line="259" w:lineRule="auto"/>
      </w:pPr>
      <w:r>
        <w:rPr>
          <w:sz w:val="20"/>
        </w:rPr>
        <w:t>The strongest current value of AgriPartners is broader: transparent agricultural investment workflows, farmer reporting, investor visibility, treasury-ready records, and NEAR-powered auditability.</w:t>
      </w:r>
    </w:p>
    <w:p>
      <w:pPr>
        <w:spacing w:after="120" w:line="259" w:lineRule="auto"/>
      </w:pPr>
      <w:r>
        <w:rPr>
          <w:sz w:val="20"/>
        </w:rPr>
        <w:t>This positioning makes AgriPartners more credible, more flexible, and more useful to different stakeholders. It allows the platform to work with crypto, stablecoins, fiat partners, banks, grants, cooperatives, and investors without depending on only one funding route.</w:t>
      </w:r>
    </w:p>
    <w:tbl>
      <w:tblPr>
        <w:tblW w:type="auto" w:w="0"/>
        <w:jc w:val="center"/>
        <w:tblLook w:firstColumn="1" w:firstRow="1" w:lastColumn="0" w:lastRow="0" w:noHBand="0" w:noVBand="1" w:val="04A0"/>
      </w:tblPr>
      <w:tblGrid>
        <w:gridCol w:w="10080"/>
      </w:tblGrid>
      <w:tr>
        <w:tc>
          <w:tcPr>
            <w:tcW w:type="dxa" w:w="10080"/>
            <w:shd w:fill="ECFDF5"/>
            <w:tcBorders>
              <w:top w:val="single" w:sz="12" w:space="0" w:color="16A34A"/>
              <w:left w:val="single" w:sz="12" w:space="0" w:color="16A34A"/>
              <w:bottom w:val="single" w:sz="12" w:space="0" w:color="16A34A"/>
              <w:right w:val="single" w:sz="12" w:space="0" w:color="16A34A"/>
            </w:tcBorders>
          </w:tcPr>
          <w:p>
            <w:r>
              <w:rPr>
                <w:b/>
                <w:color w:val="14532D"/>
                <w:sz w:val="20"/>
              </w:rPr>
              <w:t>Final plain-English summary</w:t>
            </w:r>
          </w:p>
          <w:p>
            <w:pPr>
              <w:spacing w:after="0"/>
            </w:pPr>
            <w:r>
              <w:rPr>
                <w:sz w:val="18"/>
              </w:rPr>
              <w:t>AgriPartners is building the operating system for transparent agricultural investment workflows. NEAR can help make those workflows more verifiable, programmable, and globally accessible. Real-money funding models should come later, after legal, compliance, and partner infrastructure are ready.</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Strategic discussion document - Alpha/Testnet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6"/>
      </w:rPr>
      <w:t>AgriPartners Platform Explained | English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