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83" w:lineRule="auto"/>
        <w:jc w:val="center"/>
      </w:pPr>
      <w:r>
        <w:rPr>
          <w:rFonts w:ascii="Arial" w:hAnsi="Arial" w:eastAsia="Arial"/>
          <w:b/>
          <w:i w:val="0"/>
          <w:color w:val="087F5B"/>
          <w:sz w:val="18"/>
        </w:rPr>
        <w:t>UZBEKISTAN FEEDLOT OPERATOR GUIDE</w:t>
      </w:r>
    </w:p>
    <w:p>
      <w:pPr>
        <w:spacing w:after="80" w:line="283" w:lineRule="auto"/>
        <w:jc w:val="center"/>
      </w:pPr>
      <w:r>
        <w:rPr>
          <w:rFonts w:ascii="Arial" w:hAnsi="Arial" w:eastAsia="Arial"/>
          <w:b/>
          <w:i w:val="0"/>
          <w:color w:val="17324D"/>
          <w:sz w:val="50"/>
        </w:rPr>
        <w:t>Hissar sheep breeding</w:t>
      </w:r>
    </w:p>
    <w:p>
      <w:pPr>
        <w:spacing w:after="280" w:line="283" w:lineRule="auto"/>
        <w:jc w:val="center"/>
      </w:pPr>
      <w:r>
        <w:rPr>
          <w:rFonts w:ascii="Arial" w:hAnsi="Arial" w:eastAsia="Arial"/>
          <w:b w:val="0"/>
          <w:i w:val="0"/>
          <w:color w:val="5E6B78"/>
          <w:sz w:val="25"/>
        </w:rPr>
        <w:t>VariantB v2.1 · Demonstration economics · 60/40 model · fiat-only Uzbekistan operations</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E8F5EF"/>
          </w:tcPr>
          <w:p>
            <w:pPr>
              <w:spacing w:after="0"/>
            </w:pPr>
            <w:r>
              <w:rPr>
                <w:rFonts w:ascii="Arial" w:hAnsi="Arial" w:eastAsia="Arial"/>
                <w:b/>
                <w:i w:val="0"/>
                <w:color w:val="056246"/>
                <w:sz w:val="19"/>
              </w:rPr>
              <w:t>Mandatory boundary: the External Investor contracts only with AgriPartners OÜ in Estonia. Approved crypto, if any, stops in Estonia and is converted through approved infrastructure. The Uzbekistan Feedlot Operator receives and returns fiat only under a separate written Operator Agreement.</w:t>
            </w:r>
          </w:p>
        </w:tc>
      </w:tr>
    </w:tbl>
    <w:p>
      <w:pPr>
        <w:spacing w:after="40" w:line="283" w:lineRule="auto"/>
      </w:pPr>
      <w:r>
        <w:rPr>
          <w:rFonts w:ascii="Arial" w:hAnsi="Arial" w:eastAsia="Arial"/>
          <w:b w:val="0"/>
          <w:i w:val="0"/>
          <w:color w:val="17212B"/>
          <w:sz w:val="2"/>
        </w:rPr>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tbl>
      <w:tblPr>
        <w:tblStyle w:val="TableGrid"/>
        <w:tblW w:type="auto" w:w="0"/>
        <w:jc w:val="left"/>
        <w:tblLayout w:type="fixed"/>
        <w:tblLook w:firstColumn="1" w:firstRow="1" w:lastColumn="0" w:lastRow="0" w:noHBand="0" w:noVBand="1" w:val="04A0"/>
        <w:tblW w:w="9360" w:type="dxa"/>
        <w:tblInd w:w="120" w:type="dxa"/>
      </w:tblPr>
      <w:tblGrid>
        <w:gridCol w:w="5900"/>
        <w:gridCol w:w="3460"/>
      </w:tblGrid>
      <w:tr>
        <w:tc>
          <w:tcPr>
            <w:tcW w:type="dxa" w:w="4680"/>
            <w:tcW w:w="5900" w:type="dxa"/>
            <w:vAlign w:val="center"/>
            <w:shd w:fill="056246"/>
          </w:tcPr>
          <w:p>
            <w:pPr>
              <w:spacing w:after="0"/>
              <w:jc w:val="center"/>
            </w:pPr>
            <w:r>
              <w:rPr>
                <w:rFonts w:ascii="Arial" w:hAnsi="Arial" w:eastAsia="Arial"/>
                <w:b/>
                <w:i w:val="0"/>
                <w:color w:val="FFFFFF"/>
                <w:sz w:val="18"/>
              </w:rPr>
              <w:t>Metric</w:t>
            </w:r>
          </w:p>
        </w:tc>
        <w:tc>
          <w:tcPr>
            <w:tcW w:type="dxa" w:w="4680"/>
            <w:tcW w:w="3460" w:type="dxa"/>
            <w:vAlign w:val="center"/>
            <w:shd w:fill="056246"/>
          </w:tcPr>
          <w:p>
            <w:pPr>
              <w:spacing w:after="0"/>
              <w:jc w:val="center"/>
            </w:pPr>
            <w:r>
              <w:rPr>
                <w:rFonts w:ascii="Arial" w:hAnsi="Arial" w:eastAsia="Arial"/>
                <w:b/>
                <w:i w:val="0"/>
                <w:color w:val="FFFFFF"/>
                <w:sz w:val="18"/>
              </w:rPr>
              <w:t>Value</w:t>
            </w:r>
          </w:p>
        </w:tc>
      </w:tr>
      <w:tr>
        <w:tc>
          <w:tcPr>
            <w:tcW w:type="dxa" w:w="5900"/>
          </w:tcPr>
          <w:p>
            <w:pPr>
              <w:spacing w:after="0"/>
              <w:jc w:val="left"/>
            </w:pPr>
            <w:r>
              <w:rPr>
                <w:rFonts w:ascii="Arial" w:hAnsi="Arial" w:eastAsia="Arial"/>
                <w:b w:val="0"/>
                <w:i w:val="0"/>
                <w:color w:val="17212B"/>
                <w:sz w:val="18"/>
              </w:rPr>
              <w:t>Projected operator cash</w:t>
            </w:r>
          </w:p>
        </w:tc>
        <w:tc>
          <w:tcPr>
            <w:tcW w:type="dxa" w:w="3460"/>
          </w:tcPr>
          <w:p>
            <w:pPr>
              <w:spacing w:after="0"/>
              <w:jc w:val="center"/>
            </w:pPr>
            <w:r>
              <w:rPr>
                <w:rFonts w:ascii="Arial" w:hAnsi="Arial" w:eastAsia="Arial"/>
                <w:b w:val="0"/>
                <w:i w:val="0"/>
                <w:color w:val="17212B"/>
                <w:sz w:val="18"/>
              </w:rPr>
              <w:t>$83,160</w:t>
            </w:r>
          </w:p>
        </w:tc>
      </w:tr>
      <w:tr>
        <w:tc>
          <w:tcPr>
            <w:tcW w:type="dxa" w:w="5900"/>
            <w:shd w:fill="F2F4F7"/>
          </w:tcPr>
          <w:p>
            <w:pPr>
              <w:spacing w:after="0"/>
              <w:jc w:val="left"/>
            </w:pPr>
            <w:r>
              <w:rPr>
                <w:rFonts w:ascii="Arial" w:hAnsi="Arial" w:eastAsia="Arial"/>
                <w:b w:val="0"/>
                <w:i w:val="0"/>
                <w:color w:val="17212B"/>
                <w:sz w:val="18"/>
              </w:rPr>
              <w:t>Projected property transfer</w:t>
            </w:r>
          </w:p>
        </w:tc>
        <w:tc>
          <w:tcPr>
            <w:tcW w:type="dxa" w:w="3460"/>
            <w:shd w:fill="F2F4F7"/>
          </w:tcPr>
          <w:p>
            <w:pPr>
              <w:spacing w:after="0"/>
              <w:jc w:val="center"/>
            </w:pPr>
            <w:r>
              <w:rPr>
                <w:rFonts w:ascii="Arial" w:hAnsi="Arial" w:eastAsia="Arial"/>
                <w:b w:val="0"/>
                <w:i w:val="0"/>
                <w:color w:val="17212B"/>
                <w:sz w:val="18"/>
              </w:rPr>
              <w:t>$18,000</w:t>
            </w:r>
          </w:p>
        </w:tc>
      </w:tr>
      <w:tr>
        <w:tc>
          <w:tcPr>
            <w:tcW w:type="dxa" w:w="5900"/>
          </w:tcPr>
          <w:p>
            <w:pPr>
              <w:spacing w:after="0"/>
              <w:jc w:val="left"/>
            </w:pPr>
            <w:r>
              <w:rPr>
                <w:rFonts w:ascii="Arial" w:hAnsi="Arial" w:eastAsia="Arial"/>
                <w:b w:val="0"/>
                <w:i w:val="0"/>
                <w:color w:val="17212B"/>
                <w:sz w:val="18"/>
              </w:rPr>
              <w:t>Projected total benefit</w:t>
            </w:r>
          </w:p>
        </w:tc>
        <w:tc>
          <w:tcPr>
            <w:tcW w:type="dxa" w:w="3460"/>
          </w:tcPr>
          <w:p>
            <w:pPr>
              <w:spacing w:after="0"/>
              <w:jc w:val="center"/>
            </w:pPr>
            <w:r>
              <w:rPr>
                <w:rFonts w:ascii="Arial" w:hAnsi="Arial" w:eastAsia="Arial"/>
                <w:b w:val="0"/>
                <w:i w:val="0"/>
                <w:color w:val="17212B"/>
                <w:sz w:val="18"/>
              </w:rPr>
              <w:t>$101,160</w:t>
            </w:r>
          </w:p>
        </w:tc>
      </w:tr>
      <w:tr>
        <w:tc>
          <w:tcPr>
            <w:tcW w:type="dxa" w:w="5900"/>
            <w:shd w:fill="F2F4F7"/>
          </w:tcPr>
          <w:p>
            <w:pPr>
              <w:spacing w:after="0"/>
              <w:jc w:val="left"/>
            </w:pPr>
            <w:r>
              <w:rPr>
                <w:rFonts w:ascii="Arial" w:hAnsi="Arial" w:eastAsia="Arial"/>
                <w:b w:val="0"/>
                <w:i w:val="0"/>
                <w:color w:val="17212B"/>
                <w:sz w:val="18"/>
              </w:rPr>
              <w:t>Cycles / duration</w:t>
            </w:r>
          </w:p>
        </w:tc>
        <w:tc>
          <w:tcPr>
            <w:tcW w:type="dxa" w:w="3460"/>
            <w:shd w:fill="F2F4F7"/>
          </w:tcPr>
          <w:p>
            <w:pPr>
              <w:spacing w:after="0"/>
              <w:jc w:val="center"/>
            </w:pPr>
            <w:r>
              <w:rPr>
                <w:rFonts w:ascii="Arial" w:hAnsi="Arial" w:eastAsia="Arial"/>
                <w:b w:val="0"/>
                <w:i w:val="0"/>
                <w:color w:val="17212B"/>
                <w:sz w:val="18"/>
              </w:rPr>
              <w:t>6 / 36 mo.</w:t>
            </w:r>
          </w:p>
        </w:tc>
      </w:tr>
    </w:tbl>
    <w:p>
      <w:pPr>
        <w:pStyle w:val="Heading2"/>
      </w:pPr>
      <w:r>
        <w:rPr>
          <w:rFonts w:ascii="Arial" w:hAnsi="Arial" w:eastAsia="Arial"/>
          <w:b/>
          <w:i w:val="0"/>
          <w:color w:val="056246"/>
          <w:sz w:val="26"/>
        </w:rPr>
        <w:t>Illustrative use of initial capital</w:t>
      </w:r>
    </w:p>
    <w:tbl>
      <w:tblPr>
        <w:tblStyle w:val="TableGrid"/>
        <w:tblW w:type="auto" w:w="0"/>
        <w:jc w:val="left"/>
        <w:tblLayout w:type="fixed"/>
        <w:tblLook w:firstColumn="1" w:firstRow="1" w:lastColumn="0" w:lastRow="0" w:noHBand="0" w:noVBand="1" w:val="04A0"/>
        <w:tblW w:w="9360" w:type="dxa"/>
        <w:tblInd w:w="120" w:type="dxa"/>
      </w:tblPr>
      <w:tblGrid>
        <w:gridCol w:w="6600"/>
        <w:gridCol w:w="2760"/>
      </w:tblGrid>
      <w:tr>
        <w:tc>
          <w:tcPr>
            <w:tcW w:type="dxa" w:w="4680"/>
            <w:tcW w:w="6600" w:type="dxa"/>
            <w:vAlign w:val="center"/>
            <w:shd w:fill="17324D"/>
          </w:tcPr>
          <w:p>
            <w:pPr>
              <w:spacing w:after="0"/>
              <w:jc w:val="center"/>
            </w:pPr>
            <w:r>
              <w:rPr>
                <w:rFonts w:ascii="Arial" w:hAnsi="Arial" w:eastAsia="Arial"/>
                <w:b/>
                <w:i w:val="0"/>
                <w:color w:val="FFFFFF"/>
                <w:sz w:val="17"/>
              </w:rPr>
              <w:t>Item</w:t>
            </w:r>
          </w:p>
        </w:tc>
        <w:tc>
          <w:tcPr>
            <w:tcW w:type="dxa" w:w="4680"/>
            <w:tcW w:w="2760" w:type="dxa"/>
            <w:vAlign w:val="center"/>
            <w:shd w:fill="17324D"/>
          </w:tcPr>
          <w:p>
            <w:pPr>
              <w:spacing w:after="0"/>
              <w:jc w:val="center"/>
            </w:pPr>
            <w:r>
              <w:rPr>
                <w:rFonts w:ascii="Arial" w:hAnsi="Arial" w:eastAsia="Arial"/>
                <w:b/>
                <w:i w:val="0"/>
                <w:color w:val="FFFFFF"/>
                <w:sz w:val="17"/>
              </w:rPr>
              <w:t>Amount</w:t>
            </w:r>
          </w:p>
        </w:tc>
      </w:tr>
      <w:tr>
        <w:tc>
          <w:tcPr>
            <w:tcW w:type="dxa" w:w="6600"/>
          </w:tcPr>
          <w:p>
            <w:pPr>
              <w:spacing w:after="0"/>
              <w:jc w:val="left"/>
            </w:pPr>
            <w:r>
              <w:rPr>
                <w:rFonts w:ascii="Arial" w:hAnsi="Arial" w:eastAsia="Arial"/>
                <w:b w:val="0"/>
                <w:i w:val="0"/>
                <w:color w:val="17212B"/>
                <w:sz w:val="17"/>
              </w:rPr>
              <w:t>38 breeding ewes</w:t>
            </w:r>
          </w:p>
        </w:tc>
        <w:tc>
          <w:tcPr>
            <w:tcW w:type="dxa" w:w="2760"/>
          </w:tcPr>
          <w:p>
            <w:pPr>
              <w:spacing w:after="0"/>
              <w:jc w:val="center"/>
            </w:pPr>
            <w:r>
              <w:rPr>
                <w:rFonts w:ascii="Arial" w:hAnsi="Arial" w:eastAsia="Arial"/>
                <w:b w:val="0"/>
                <w:i w:val="0"/>
                <w:color w:val="17212B"/>
                <w:sz w:val="17"/>
              </w:rPr>
              <w:t>$26,600</w:t>
            </w:r>
          </w:p>
        </w:tc>
      </w:tr>
      <w:tr>
        <w:tc>
          <w:tcPr>
            <w:tcW w:type="dxa" w:w="6600"/>
            <w:shd w:fill="F2F4F7"/>
          </w:tcPr>
          <w:p>
            <w:pPr>
              <w:spacing w:after="0"/>
              <w:jc w:val="left"/>
            </w:pPr>
            <w:r>
              <w:rPr>
                <w:rFonts w:ascii="Arial" w:hAnsi="Arial" w:eastAsia="Arial"/>
                <w:b w:val="0"/>
                <w:i w:val="0"/>
                <w:color w:val="17212B"/>
                <w:sz w:val="17"/>
              </w:rPr>
              <w:t>Sheep shelter</w:t>
            </w:r>
          </w:p>
        </w:tc>
        <w:tc>
          <w:tcPr>
            <w:tcW w:type="dxa" w:w="2760"/>
            <w:shd w:fill="F2F4F7"/>
          </w:tcPr>
          <w:p>
            <w:pPr>
              <w:spacing w:after="0"/>
              <w:jc w:val="center"/>
            </w:pPr>
            <w:r>
              <w:rPr>
                <w:rFonts w:ascii="Arial" w:hAnsi="Arial" w:eastAsia="Arial"/>
                <w:b w:val="0"/>
                <w:i w:val="0"/>
                <w:color w:val="17212B"/>
                <w:sz w:val="17"/>
              </w:rPr>
              <w:t>$18,000</w:t>
            </w:r>
          </w:p>
        </w:tc>
      </w:tr>
      <w:tr>
        <w:tc>
          <w:tcPr>
            <w:tcW w:type="dxa" w:w="6600"/>
          </w:tcPr>
          <w:p>
            <w:pPr>
              <w:spacing w:after="0"/>
              <w:jc w:val="left"/>
            </w:pPr>
            <w:r>
              <w:rPr>
                <w:rFonts w:ascii="Arial" w:hAnsi="Arial" w:eastAsia="Arial"/>
                <w:b w:val="0"/>
                <w:i w:val="0"/>
                <w:color w:val="17212B"/>
                <w:sz w:val="17"/>
              </w:rPr>
              <w:t>Operating reserve</w:t>
            </w:r>
          </w:p>
        </w:tc>
        <w:tc>
          <w:tcPr>
            <w:tcW w:type="dxa" w:w="2760"/>
          </w:tcPr>
          <w:p>
            <w:pPr>
              <w:spacing w:after="0"/>
              <w:jc w:val="center"/>
            </w:pPr>
            <w:r>
              <w:rPr>
                <w:rFonts w:ascii="Arial" w:hAnsi="Arial" w:eastAsia="Arial"/>
                <w:b w:val="0"/>
                <w:i w:val="0"/>
                <w:color w:val="17212B"/>
                <w:sz w:val="17"/>
              </w:rPr>
              <w:t>$5,400</w:t>
            </w:r>
          </w:p>
        </w:tc>
      </w:tr>
      <w:tr>
        <w:tc>
          <w:tcPr>
            <w:tcW w:type="dxa" w:w="6600"/>
            <w:shd w:fill="F2F4F7"/>
          </w:tcPr>
          <w:p>
            <w:pPr>
              <w:spacing w:after="0"/>
              <w:jc w:val="left"/>
            </w:pPr>
            <w:r>
              <w:rPr>
                <w:rFonts w:ascii="Arial" w:hAnsi="Arial" w:eastAsia="Arial"/>
                <w:b w:val="0"/>
                <w:i w:val="0"/>
                <w:color w:val="17212B"/>
                <w:sz w:val="17"/>
              </w:rPr>
              <w:t>Total</w:t>
            </w:r>
          </w:p>
        </w:tc>
        <w:tc>
          <w:tcPr>
            <w:tcW w:type="dxa" w:w="2760"/>
            <w:shd w:fill="F2F4F7"/>
          </w:tcPr>
          <w:p>
            <w:pPr>
              <w:spacing w:after="0"/>
              <w:jc w:val="center"/>
            </w:pPr>
            <w:r>
              <w:rPr>
                <w:rFonts w:ascii="Arial" w:hAnsi="Arial" w:eastAsia="Arial"/>
                <w:b w:val="0"/>
                <w:i w:val="0"/>
                <w:color w:val="17212B"/>
                <w:sz w:val="17"/>
              </w:rPr>
              <w:t>$50,000</w:t>
            </w:r>
          </w:p>
        </w:tc>
      </w:tr>
    </w:tbl>
    <w:p>
      <w:pPr>
        <w:pStyle w:val="Heading2"/>
      </w:pPr>
      <w:r>
        <w:rPr>
          <w:rFonts w:ascii="Arial" w:hAnsi="Arial" w:eastAsia="Arial"/>
          <w:b/>
          <w:i w:val="0"/>
          <w:color w:val="056246"/>
          <w:sz w:val="26"/>
        </w:rPr>
        <w:t>Condensed cycle economics</w:t>
      </w:r>
    </w:p>
    <w:tbl>
      <w:tblPr>
        <w:tblStyle w:val="TableGrid"/>
        <w:tblW w:type="auto" w:w="0"/>
        <w:jc w:val="left"/>
        <w:tblLayout w:type="fixed"/>
        <w:tblLook w:firstColumn="1" w:firstRow="1" w:lastColumn="0" w:lastRow="0" w:noHBand="0" w:noVBand="1" w:val="04A0"/>
        <w:tblW w:w="9360" w:type="dxa"/>
        <w:tblInd w:w="120" w:type="dxa"/>
      </w:tblPr>
      <w:tblGrid>
        <w:gridCol w:w="2200"/>
        <w:gridCol w:w="1700"/>
        <w:gridCol w:w="1750"/>
        <w:gridCol w:w="1800"/>
        <w:gridCol w:w="1910"/>
      </w:tblGrid>
      <w:tr>
        <w:tc>
          <w:tcPr>
            <w:tcW w:type="dxa" w:w="1872"/>
            <w:tcW w:w="2200" w:type="dxa"/>
            <w:vAlign w:val="center"/>
            <w:shd w:fill="17324D"/>
          </w:tcPr>
          <w:p>
            <w:pPr>
              <w:spacing w:after="0"/>
              <w:jc w:val="center"/>
            </w:pPr>
            <w:r>
              <w:rPr>
                <w:rFonts w:ascii="Arial" w:hAnsi="Arial" w:eastAsia="Arial"/>
                <w:b/>
                <w:i w:val="0"/>
                <w:color w:val="FFFFFF"/>
                <w:sz w:val="16"/>
              </w:rPr>
              <w:t>Phase</w:t>
            </w:r>
          </w:p>
        </w:tc>
        <w:tc>
          <w:tcPr>
            <w:tcW w:type="dxa" w:w="1872"/>
            <w:tcW w:w="1700" w:type="dxa"/>
            <w:vAlign w:val="center"/>
            <w:shd w:fill="17324D"/>
          </w:tcPr>
          <w:p>
            <w:pPr>
              <w:spacing w:after="0"/>
              <w:jc w:val="center"/>
            </w:pPr>
            <w:r>
              <w:rPr>
                <w:rFonts w:ascii="Arial" w:hAnsi="Arial" w:eastAsia="Arial"/>
                <w:b/>
                <w:i w:val="0"/>
                <w:color w:val="FFFFFF"/>
                <w:sz w:val="16"/>
              </w:rPr>
              <w:t>Revenue</w:t>
            </w:r>
          </w:p>
        </w:tc>
        <w:tc>
          <w:tcPr>
            <w:tcW w:type="dxa" w:w="1872"/>
            <w:tcW w:w="1750" w:type="dxa"/>
            <w:vAlign w:val="center"/>
            <w:shd w:fill="17324D"/>
          </w:tcPr>
          <w:p>
            <w:pPr>
              <w:spacing w:after="0"/>
              <w:jc w:val="center"/>
            </w:pPr>
            <w:r>
              <w:rPr>
                <w:rFonts w:ascii="Arial" w:hAnsi="Arial" w:eastAsia="Arial"/>
                <w:b/>
                <w:i w:val="0"/>
                <w:color w:val="FFFFFF"/>
                <w:sz w:val="16"/>
              </w:rPr>
              <w:t>Net pool</w:t>
            </w:r>
          </w:p>
        </w:tc>
        <w:tc>
          <w:tcPr>
            <w:tcW w:type="dxa" w:w="1872"/>
            <w:tcW w:w="1800" w:type="dxa"/>
            <w:vAlign w:val="center"/>
            <w:shd w:fill="17324D"/>
          </w:tcPr>
          <w:p>
            <w:pPr>
              <w:spacing w:after="0"/>
              <w:jc w:val="center"/>
            </w:pPr>
            <w:r>
              <w:rPr>
                <w:rFonts w:ascii="Arial" w:hAnsi="Arial" w:eastAsia="Arial"/>
                <w:b/>
                <w:i w:val="0"/>
                <w:color w:val="FFFFFF"/>
                <w:sz w:val="16"/>
              </w:rPr>
              <w:t>Investor cash</w:t>
            </w:r>
          </w:p>
        </w:tc>
        <w:tc>
          <w:tcPr>
            <w:tcW w:type="dxa" w:w="1872"/>
            <w:tcW w:w="1910" w:type="dxa"/>
            <w:vAlign w:val="center"/>
            <w:shd w:fill="17324D"/>
          </w:tcPr>
          <w:p>
            <w:pPr>
              <w:spacing w:after="0"/>
              <w:jc w:val="center"/>
            </w:pPr>
            <w:r>
              <w:rPr>
                <w:rFonts w:ascii="Arial" w:hAnsi="Arial" w:eastAsia="Arial"/>
                <w:b/>
                <w:i w:val="0"/>
                <w:color w:val="FFFFFF"/>
                <w:sz w:val="16"/>
              </w:rPr>
              <w:t>Operator cash</w:t>
            </w:r>
          </w:p>
        </w:tc>
      </w:tr>
      <w:tr>
        <w:tc>
          <w:tcPr>
            <w:tcW w:type="dxa" w:w="2200"/>
          </w:tcPr>
          <w:p>
            <w:pPr>
              <w:spacing w:after="0"/>
              <w:jc w:val="left"/>
            </w:pPr>
            <w:r>
              <w:rPr>
                <w:rFonts w:ascii="Arial" w:hAnsi="Arial" w:eastAsia="Arial"/>
                <w:b w:val="0"/>
                <w:i w:val="0"/>
                <w:color w:val="17212B"/>
                <w:sz w:val="16"/>
              </w:rPr>
              <w:t>Cycles 1–2</w:t>
            </w:r>
          </w:p>
        </w:tc>
        <w:tc>
          <w:tcPr>
            <w:tcW w:type="dxa" w:w="1700"/>
          </w:tcPr>
          <w:p>
            <w:pPr>
              <w:spacing w:after="0"/>
              <w:jc w:val="center"/>
            </w:pPr>
            <w:r>
              <w:rPr>
                <w:rFonts w:ascii="Arial" w:hAnsi="Arial" w:eastAsia="Arial"/>
                <w:b w:val="0"/>
                <w:i w:val="0"/>
                <w:color w:val="17212B"/>
                <w:sz w:val="16"/>
              </w:rPr>
              <w:t>$30,600</w:t>
            </w:r>
          </w:p>
        </w:tc>
        <w:tc>
          <w:tcPr>
            <w:tcW w:type="dxa" w:w="1750"/>
          </w:tcPr>
          <w:p>
            <w:pPr>
              <w:spacing w:after="0"/>
              <w:jc w:val="center"/>
            </w:pPr>
            <w:r>
              <w:rPr>
                <w:rFonts w:ascii="Arial" w:hAnsi="Arial" w:eastAsia="Arial"/>
                <w:b w:val="0"/>
                <w:i w:val="0"/>
                <w:color w:val="17212B"/>
                <w:sz w:val="16"/>
              </w:rPr>
              <w:t>$30,600</w:t>
            </w:r>
          </w:p>
        </w:tc>
        <w:tc>
          <w:tcPr>
            <w:tcW w:type="dxa" w:w="1800"/>
          </w:tcPr>
          <w:p>
            <w:pPr>
              <w:spacing w:after="0"/>
              <w:jc w:val="center"/>
            </w:pPr>
            <w:r>
              <w:rPr>
                <w:rFonts w:ascii="Arial" w:hAnsi="Arial" w:eastAsia="Arial"/>
                <w:b w:val="0"/>
                <w:i w:val="0"/>
                <w:color w:val="17212B"/>
                <w:sz w:val="16"/>
              </w:rPr>
              <w:t>$9,792</w:t>
            </w:r>
          </w:p>
        </w:tc>
        <w:tc>
          <w:tcPr>
            <w:tcW w:type="dxa" w:w="1910"/>
          </w:tcPr>
          <w:p>
            <w:pPr>
              <w:spacing w:after="0"/>
              <w:jc w:val="center"/>
            </w:pPr>
            <w:r>
              <w:rPr>
                <w:rFonts w:ascii="Arial" w:hAnsi="Arial" w:eastAsia="Arial"/>
                <w:b w:val="0"/>
                <w:i w:val="0"/>
                <w:color w:val="17212B"/>
                <w:sz w:val="16"/>
              </w:rPr>
              <w:t>$15,260</w:t>
            </w:r>
          </w:p>
        </w:tc>
      </w:tr>
      <w:tr>
        <w:tc>
          <w:tcPr>
            <w:tcW w:type="dxa" w:w="2200"/>
            <w:shd w:fill="F2F4F7"/>
          </w:tcPr>
          <w:p>
            <w:pPr>
              <w:spacing w:after="0"/>
              <w:jc w:val="left"/>
            </w:pPr>
            <w:r>
              <w:rPr>
                <w:rFonts w:ascii="Arial" w:hAnsi="Arial" w:eastAsia="Arial"/>
                <w:b w:val="0"/>
                <w:i w:val="0"/>
                <w:color w:val="17212B"/>
                <w:sz w:val="16"/>
              </w:rPr>
              <w:t>Cycles 3–6</w:t>
            </w:r>
          </w:p>
        </w:tc>
        <w:tc>
          <w:tcPr>
            <w:tcW w:type="dxa" w:w="1700"/>
            <w:shd w:fill="F2F4F7"/>
          </w:tcPr>
          <w:p>
            <w:pPr>
              <w:spacing w:after="0"/>
              <w:jc w:val="center"/>
            </w:pPr>
            <w:r>
              <w:rPr>
                <w:rFonts w:ascii="Arial" w:hAnsi="Arial" w:eastAsia="Arial"/>
                <w:b w:val="0"/>
                <w:i w:val="0"/>
                <w:color w:val="17212B"/>
                <w:sz w:val="16"/>
              </w:rPr>
              <w:t>$30,600</w:t>
            </w:r>
          </w:p>
        </w:tc>
        <w:tc>
          <w:tcPr>
            <w:tcW w:type="dxa" w:w="1750"/>
            <w:shd w:fill="F2F4F7"/>
          </w:tcPr>
          <w:p>
            <w:pPr>
              <w:spacing w:after="0"/>
              <w:jc w:val="center"/>
            </w:pPr>
            <w:r>
              <w:rPr>
                <w:rFonts w:ascii="Arial" w:hAnsi="Arial" w:eastAsia="Arial"/>
                <w:b w:val="0"/>
                <w:i w:val="0"/>
                <w:color w:val="17212B"/>
                <w:sz w:val="16"/>
              </w:rPr>
              <w:t>$24,600</w:t>
            </w:r>
          </w:p>
        </w:tc>
        <w:tc>
          <w:tcPr>
            <w:tcW w:type="dxa" w:w="1800"/>
            <w:shd w:fill="F2F4F7"/>
          </w:tcPr>
          <w:p>
            <w:pPr>
              <w:spacing w:after="0"/>
              <w:jc w:val="center"/>
            </w:pPr>
            <w:r>
              <w:rPr>
                <w:rFonts w:ascii="Arial" w:hAnsi="Arial" w:eastAsia="Arial"/>
                <w:b w:val="0"/>
                <w:i w:val="0"/>
                <w:color w:val="17212B"/>
                <w:sz w:val="16"/>
              </w:rPr>
              <w:t>$10,372</w:t>
            </w:r>
          </w:p>
        </w:tc>
        <w:tc>
          <w:tcPr>
            <w:tcW w:type="dxa" w:w="1910"/>
            <w:shd w:fill="F2F4F7"/>
          </w:tcPr>
          <w:p>
            <w:pPr>
              <w:spacing w:after="0"/>
              <w:jc w:val="center"/>
            </w:pPr>
            <w:r>
              <w:rPr>
                <w:rFonts w:ascii="Arial" w:hAnsi="Arial" w:eastAsia="Arial"/>
                <w:b w:val="0"/>
                <w:i w:val="0"/>
                <w:color w:val="17212B"/>
                <w:sz w:val="16"/>
              </w:rPr>
              <w:t>$11,660</w:t>
            </w:r>
          </w:p>
        </w:tc>
      </w:tr>
      <w:tr>
        <w:tc>
          <w:tcPr>
            <w:tcW w:type="dxa" w:w="2200"/>
          </w:tcPr>
          <w:p>
            <w:pPr>
              <w:spacing w:after="0"/>
              <w:jc w:val="left"/>
            </w:pPr>
            <w:r>
              <w:rPr>
                <w:rFonts w:ascii="Arial" w:hAnsi="Arial" w:eastAsia="Arial"/>
                <w:b w:val="0"/>
                <w:i w:val="0"/>
                <w:color w:val="17212B"/>
                <w:sz w:val="16"/>
              </w:rPr>
              <w:t>Completion</w:t>
            </w:r>
          </w:p>
        </w:tc>
        <w:tc>
          <w:tcPr>
            <w:tcW w:type="dxa" w:w="1700"/>
          </w:tcPr>
          <w:p>
            <w:pPr>
              <w:spacing w:after="0"/>
              <w:jc w:val="center"/>
            </w:pPr>
            <w:r>
              <w:rPr>
                <w:rFonts w:ascii="Arial" w:hAnsi="Arial" w:eastAsia="Arial"/>
                <w:b w:val="0"/>
                <w:i w:val="0"/>
                <w:color w:val="17212B"/>
                <w:sz w:val="16"/>
              </w:rPr>
              <w:t>—</w:t>
            </w:r>
          </w:p>
        </w:tc>
        <w:tc>
          <w:tcPr>
            <w:tcW w:type="dxa" w:w="1750"/>
          </w:tcPr>
          <w:p>
            <w:pPr>
              <w:spacing w:after="0"/>
              <w:jc w:val="center"/>
            </w:pPr>
            <w:r>
              <w:rPr>
                <w:rFonts w:ascii="Arial" w:hAnsi="Arial" w:eastAsia="Arial"/>
                <w:b w:val="0"/>
                <w:i w:val="0"/>
                <w:color w:val="17212B"/>
                <w:sz w:val="16"/>
              </w:rPr>
              <w:t>—</w:t>
            </w:r>
          </w:p>
        </w:tc>
        <w:tc>
          <w:tcPr>
            <w:tcW w:type="dxa" w:w="1800"/>
          </w:tcPr>
          <w:p>
            <w:pPr>
              <w:spacing w:after="0"/>
              <w:jc w:val="center"/>
            </w:pPr>
            <w:r>
              <w:rPr>
                <w:rFonts w:ascii="Arial" w:hAnsi="Arial" w:eastAsia="Arial"/>
                <w:b w:val="0"/>
                <w:i w:val="0"/>
                <w:color w:val="17212B"/>
                <w:sz w:val="16"/>
              </w:rPr>
              <w:t>$20,600</w:t>
            </w:r>
          </w:p>
        </w:tc>
        <w:tc>
          <w:tcPr>
            <w:tcW w:type="dxa" w:w="1910"/>
          </w:tcPr>
          <w:p>
            <w:pPr>
              <w:spacing w:after="0"/>
              <w:jc w:val="center"/>
            </w:pPr>
            <w:r>
              <w:rPr>
                <w:rFonts w:ascii="Arial" w:hAnsi="Arial" w:eastAsia="Arial"/>
                <w:b w:val="0"/>
                <w:i w:val="0"/>
                <w:color w:val="17212B"/>
                <w:sz w:val="16"/>
              </w:rPr>
              <w:t>$16,000</w:t>
            </w:r>
          </w:p>
        </w:tc>
      </w:tr>
    </w:tbl>
    <w:p>
      <w:r>
        <w:br w:type="page"/>
      </w:r>
    </w:p>
    <w:p>
      <w:pPr>
        <w:spacing w:after="60" w:line="283" w:lineRule="auto"/>
        <w:jc w:val="center"/>
      </w:pPr>
      <w:r>
        <w:rPr>
          <w:rFonts w:ascii="Arial" w:hAnsi="Arial" w:eastAsia="Arial"/>
          <w:b/>
          <w:i w:val="0"/>
          <w:color w:val="087F5B"/>
          <w:sz w:val="18"/>
        </w:rPr>
        <w:t>AGRIPARTNERS</w:t>
      </w:r>
    </w:p>
    <w:p>
      <w:pPr>
        <w:spacing w:after="80" w:line="283" w:lineRule="auto"/>
        <w:jc w:val="center"/>
      </w:pPr>
      <w:r>
        <w:rPr>
          <w:rFonts w:ascii="Arial" w:hAnsi="Arial" w:eastAsia="Arial"/>
          <w:b/>
          <w:i w:val="0"/>
          <w:color w:val="17324D"/>
          <w:sz w:val="50"/>
        </w:rPr>
        <w:t>Roles and authoritative evidence</w:t>
      </w:r>
    </w:p>
    <w:p>
      <w:pPr>
        <w:spacing w:after="280" w:line="283" w:lineRule="auto"/>
        <w:jc w:val="center"/>
      </w:pPr>
      <w:r>
        <w:rPr>
          <w:rFonts w:ascii="Arial" w:hAnsi="Arial" w:eastAsia="Arial"/>
          <w:b w:val="0"/>
          <w:i w:val="0"/>
          <w:color w:val="5E6B78"/>
          <w:sz w:val="25"/>
        </w:rPr>
        <w:t>Hissar sheep breeding · VariantB v2.1</w:t>
      </w:r>
    </w:p>
    <w:tbl>
      <w:tblPr>
        <w:tblStyle w:val="TableGrid"/>
        <w:tblW w:type="auto" w:w="0"/>
        <w:jc w:val="left"/>
        <w:tblLayout w:type="fixed"/>
        <w:tblLook w:firstColumn="1" w:firstRow="1" w:lastColumn="0" w:lastRow="0" w:noHBand="0" w:noVBand="1" w:val="04A0"/>
        <w:tblW w:w="9360" w:type="dxa"/>
        <w:tblInd w:w="120" w:type="dxa"/>
      </w:tblPr>
      <w:tblGrid>
        <w:gridCol w:w="2500"/>
        <w:gridCol w:w="6860"/>
      </w:tblGrid>
      <w:tr>
        <w:tc>
          <w:tcPr>
            <w:tcW w:type="dxa" w:w="4680"/>
            <w:tcW w:w="2500" w:type="dxa"/>
            <w:vAlign w:val="center"/>
            <w:shd w:fill="056246"/>
          </w:tcPr>
          <w:p>
            <w:pPr>
              <w:spacing w:after="0"/>
              <w:jc w:val="center"/>
            </w:pPr>
            <w:r>
              <w:rPr>
                <w:rFonts w:ascii="Arial" w:hAnsi="Arial" w:eastAsia="Arial"/>
                <w:b/>
                <w:i w:val="0"/>
                <w:color w:val="FFFFFF"/>
                <w:sz w:val="17"/>
              </w:rPr>
              <w:t>Role</w:t>
            </w:r>
          </w:p>
        </w:tc>
        <w:tc>
          <w:tcPr>
            <w:tcW w:type="dxa" w:w="4680"/>
            <w:tcW w:w="6860" w:type="dxa"/>
            <w:vAlign w:val="center"/>
            <w:shd w:fill="056246"/>
          </w:tcPr>
          <w:p>
            <w:pPr>
              <w:spacing w:after="0"/>
              <w:jc w:val="center"/>
            </w:pPr>
            <w:r>
              <w:rPr>
                <w:rFonts w:ascii="Arial" w:hAnsi="Arial" w:eastAsia="Arial"/>
                <w:b/>
                <w:i w:val="0"/>
                <w:color w:val="FFFFFF"/>
                <w:sz w:val="17"/>
              </w:rPr>
              <w:t>Responsibility and evidence</w:t>
            </w:r>
          </w:p>
        </w:tc>
      </w:tr>
      <w:tr>
        <w:tc>
          <w:tcPr>
            <w:tcW w:type="dxa" w:w="2500"/>
          </w:tcPr>
          <w:p>
            <w:pPr>
              <w:spacing w:after="0"/>
              <w:jc w:val="left"/>
            </w:pPr>
            <w:r>
              <w:rPr>
                <w:rFonts w:ascii="Arial" w:hAnsi="Arial" w:eastAsia="Arial"/>
                <w:b w:val="0"/>
                <w:i w:val="0"/>
                <w:color w:val="17212B"/>
                <w:sz w:val="17"/>
              </w:rPr>
              <w:t>External Investor</w:t>
            </w:r>
          </w:p>
        </w:tc>
        <w:tc>
          <w:tcPr>
            <w:tcW w:type="dxa" w:w="6860"/>
          </w:tcPr>
          <w:p>
            <w:pPr>
              <w:spacing w:after="0"/>
              <w:jc w:val="center"/>
            </w:pPr>
            <w:r>
              <w:rPr>
                <w:rFonts w:ascii="Arial" w:hAnsi="Arial" w:eastAsia="Arial"/>
                <w:b w:val="0"/>
                <w:i w:val="0"/>
                <w:color w:val="17212B"/>
                <w:sz w:val="17"/>
              </w:rPr>
              <w:t>Contracts with and funds AgriPartners OÜ; no direct transfer to Uzbekistan.</w:t>
            </w:r>
          </w:p>
        </w:tc>
      </w:tr>
      <w:tr>
        <w:tc>
          <w:tcPr>
            <w:tcW w:type="dxa" w:w="2500"/>
            <w:shd w:fill="F2F4F7"/>
          </w:tcPr>
          <w:p>
            <w:pPr>
              <w:spacing w:after="0"/>
              <w:jc w:val="left"/>
            </w:pPr>
            <w:r>
              <w:rPr>
                <w:rFonts w:ascii="Arial" w:hAnsi="Arial" w:eastAsia="Arial"/>
                <w:b w:val="0"/>
                <w:i w:val="0"/>
                <w:color w:val="17212B"/>
                <w:sz w:val="17"/>
              </w:rPr>
              <w:t>AgriPartners OÜ</w:t>
            </w:r>
          </w:p>
        </w:tc>
        <w:tc>
          <w:tcPr>
            <w:tcW w:type="dxa" w:w="6860"/>
            <w:shd w:fill="F2F4F7"/>
          </w:tcPr>
          <w:p>
            <w:pPr>
              <w:spacing w:after="0"/>
              <w:jc w:val="center"/>
            </w:pPr>
            <w:r>
              <w:rPr>
                <w:rFonts w:ascii="Arial" w:hAnsi="Arial" w:eastAsia="Arial"/>
                <w:b w:val="0"/>
                <w:i w:val="0"/>
                <w:color w:val="17212B"/>
                <w:sz w:val="17"/>
              </w:rPr>
              <w:t>Legal counterparty; conversion, banking, accounting, reconciliation and governance.</w:t>
            </w:r>
          </w:p>
        </w:tc>
      </w:tr>
      <w:tr>
        <w:tc>
          <w:tcPr>
            <w:tcW w:type="dxa" w:w="2500"/>
          </w:tcPr>
          <w:p>
            <w:pPr>
              <w:spacing w:after="0"/>
              <w:jc w:val="left"/>
            </w:pPr>
            <w:r>
              <w:rPr>
                <w:rFonts w:ascii="Arial" w:hAnsi="Arial" w:eastAsia="Arial"/>
                <w:b w:val="0"/>
                <w:i w:val="0"/>
                <w:color w:val="17212B"/>
                <w:sz w:val="17"/>
              </w:rPr>
              <w:t>Uzbekistan Feedlot Operator</w:t>
            </w:r>
          </w:p>
        </w:tc>
        <w:tc>
          <w:tcPr>
            <w:tcW w:type="dxa" w:w="6860"/>
          </w:tcPr>
          <w:p>
            <w:pPr>
              <w:spacing w:after="0"/>
              <w:jc w:val="center"/>
            </w:pPr>
            <w:r>
              <w:rPr>
                <w:rFonts w:ascii="Arial" w:hAnsi="Arial" w:eastAsia="Arial"/>
                <w:b w:val="0"/>
                <w:i w:val="0"/>
                <w:color w:val="17212B"/>
                <w:sz w:val="17"/>
              </w:rPr>
              <w:t>Separate agreement; fiat receipts and returns; operational delivery and evidence.</w:t>
            </w:r>
          </w:p>
        </w:tc>
      </w:tr>
      <w:tr>
        <w:tc>
          <w:tcPr>
            <w:tcW w:type="dxa" w:w="2500"/>
            <w:shd w:fill="F2F4F7"/>
          </w:tcPr>
          <w:p>
            <w:pPr>
              <w:spacing w:after="0"/>
              <w:jc w:val="left"/>
            </w:pPr>
            <w:r>
              <w:rPr>
                <w:rFonts w:ascii="Arial" w:hAnsi="Arial" w:eastAsia="Arial"/>
                <w:b w:val="0"/>
                <w:i w:val="0"/>
                <w:color w:val="17212B"/>
                <w:sz w:val="17"/>
              </w:rPr>
              <w:t>Farmer product role</w:t>
            </w:r>
          </w:p>
        </w:tc>
        <w:tc>
          <w:tcPr>
            <w:tcW w:type="dxa" w:w="6860"/>
            <w:shd w:fill="F2F4F7"/>
          </w:tcPr>
          <w:p>
            <w:pPr>
              <w:spacing w:after="0"/>
              <w:jc w:val="center"/>
            </w:pPr>
            <w:r>
              <w:rPr>
                <w:rFonts w:ascii="Arial" w:hAnsi="Arial" w:eastAsia="Arial"/>
                <w:b w:val="0"/>
                <w:i w:val="0"/>
                <w:color w:val="17212B"/>
                <w:sz w:val="17"/>
              </w:rPr>
              <w:t>Operational reports and confirmations only; no wallet, crypto receipt or on-chain payment duty.</w:t>
            </w:r>
          </w:p>
        </w:tc>
      </w:tr>
      <w:tr>
        <w:tc>
          <w:tcPr>
            <w:tcW w:type="dxa" w:w="2500"/>
          </w:tcPr>
          <w:p>
            <w:pPr>
              <w:spacing w:after="0"/>
              <w:jc w:val="left"/>
            </w:pPr>
            <w:r>
              <w:rPr>
                <w:rFonts w:ascii="Arial" w:hAnsi="Arial" w:eastAsia="Arial"/>
                <w:b w:val="0"/>
                <w:i w:val="0"/>
                <w:color w:val="17212B"/>
                <w:sz w:val="17"/>
              </w:rPr>
              <w:t>NEAR Testnet</w:t>
            </w:r>
          </w:p>
        </w:tc>
        <w:tc>
          <w:tcPr>
            <w:tcW w:type="dxa" w:w="6860"/>
          </w:tcPr>
          <w:p>
            <w:pPr>
              <w:spacing w:after="0"/>
              <w:jc w:val="center"/>
            </w:pPr>
            <w:r>
              <w:rPr>
                <w:rFonts w:ascii="Arial" w:hAnsi="Arial" w:eastAsia="Arial"/>
                <w:b w:val="0"/>
                <w:i w:val="0"/>
                <w:color w:val="17212B"/>
                <w:sz w:val="17"/>
              </w:rPr>
              <w:t>Demo audit and automation on the Estonia/investor side; never replaces authoritative records.</w:t>
            </w:r>
          </w:p>
        </w:tc>
      </w:tr>
    </w:tbl>
    <w:p>
      <w:pPr>
        <w:pStyle w:val="Heading2"/>
      </w:pPr>
      <w:r>
        <w:rPr>
          <w:rFonts w:ascii="Arial" w:hAnsi="Arial" w:eastAsia="Arial"/>
          <w:b/>
          <w:i w:val="0"/>
          <w:color w:val="056246"/>
          <w:sz w:val="26"/>
        </w:rPr>
        <w:t>Assumptions, controls and risks</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c>
          <w:tcPr>
            <w:tcW w:type="dxa" w:w="4680"/>
            <w:tcW w:w="1800" w:type="dxa"/>
            <w:vAlign w:val="center"/>
            <w:shd w:fill="17324D"/>
          </w:tcPr>
          <w:p>
            <w:pPr>
              <w:spacing w:after="0"/>
              <w:jc w:val="center"/>
            </w:pPr>
            <w:r>
              <w:rPr>
                <w:rFonts w:ascii="Arial" w:hAnsi="Arial" w:eastAsia="Arial"/>
                <w:b/>
                <w:i w:val="0"/>
                <w:color w:val="FFFFFF"/>
                <w:sz w:val="17"/>
              </w:rPr>
              <w:t>Area</w:t>
            </w:r>
          </w:p>
        </w:tc>
        <w:tc>
          <w:tcPr>
            <w:tcW w:type="dxa" w:w="4680"/>
            <w:tcW w:w="7560" w:type="dxa"/>
            <w:vAlign w:val="center"/>
            <w:shd w:fill="17324D"/>
          </w:tcPr>
          <w:p>
            <w:pPr>
              <w:spacing w:after="0"/>
              <w:jc w:val="center"/>
            </w:pPr>
            <w:r>
              <w:rPr>
                <w:rFonts w:ascii="Arial" w:hAnsi="Arial" w:eastAsia="Arial"/>
                <w:b/>
                <w:i w:val="0"/>
                <w:color w:val="FFFFFF"/>
                <w:sz w:val="17"/>
              </w:rPr>
              <w:t>Position</w:t>
            </w:r>
          </w:p>
        </w:tc>
      </w:tr>
      <w:tr>
        <w:tc>
          <w:tcPr>
            <w:tcW w:type="dxa" w:w="1800"/>
          </w:tcPr>
          <w:p>
            <w:pPr>
              <w:spacing w:after="0"/>
              <w:jc w:val="left"/>
            </w:pPr>
            <w:r>
              <w:rPr>
                <w:rFonts w:ascii="Arial" w:hAnsi="Arial" w:eastAsia="Arial"/>
                <w:b w:val="0"/>
                <w:i w:val="0"/>
                <w:color w:val="17212B"/>
                <w:sz w:val="17"/>
              </w:rPr>
              <w:t>Model</w:t>
            </w:r>
          </w:p>
        </w:tc>
        <w:tc>
          <w:tcPr>
            <w:tcW w:type="dxa" w:w="7560"/>
          </w:tcPr>
          <w:p>
            <w:pPr>
              <w:spacing w:after="0"/>
              <w:jc w:val="center"/>
            </w:pPr>
            <w:r>
              <w:rPr>
                <w:rFonts w:ascii="Arial" w:hAnsi="Arial" w:eastAsia="Arial"/>
                <w:b w:val="0"/>
                <w:i w:val="0"/>
                <w:color w:val="17212B"/>
                <w:sz w:val="17"/>
              </w:rPr>
              <w:t>Illustrative prices, quantities, costs, timing, 60/40 split and 20% performance fee.</w:t>
            </w:r>
          </w:p>
        </w:tc>
      </w:tr>
      <w:tr>
        <w:tc>
          <w:tcPr>
            <w:tcW w:type="dxa" w:w="1800"/>
            <w:shd w:fill="F2F4F7"/>
          </w:tcPr>
          <w:p>
            <w:pPr>
              <w:spacing w:after="0"/>
              <w:jc w:val="left"/>
            </w:pPr>
            <w:r>
              <w:rPr>
                <w:rFonts w:ascii="Arial" w:hAnsi="Arial" w:eastAsia="Arial"/>
                <w:b w:val="0"/>
                <w:i w:val="0"/>
                <w:color w:val="17212B"/>
                <w:sz w:val="17"/>
              </w:rPr>
              <w:t>Reserve</w:t>
            </w:r>
          </w:p>
        </w:tc>
        <w:tc>
          <w:tcPr>
            <w:tcW w:type="dxa" w:w="7560"/>
            <w:shd w:fill="F2F4F7"/>
          </w:tcPr>
          <w:p>
            <w:pPr>
              <w:spacing w:after="0"/>
              <w:jc w:val="center"/>
            </w:pPr>
            <w:r>
              <w:rPr>
                <w:rFonts w:ascii="Arial" w:hAnsi="Arial" w:eastAsia="Arial"/>
                <w:b w:val="0"/>
                <w:i w:val="0"/>
                <w:color w:val="17212B"/>
                <w:sz w:val="17"/>
              </w:rPr>
              <w:t>Exploratory protection reserve; not insurance or a guarantee; release may stop after loss, default, missing reports or dispute.</w:t>
            </w:r>
          </w:p>
        </w:tc>
      </w:tr>
      <w:tr>
        <w:tc>
          <w:tcPr>
            <w:tcW w:type="dxa" w:w="1800"/>
          </w:tcPr>
          <w:p>
            <w:pPr>
              <w:spacing w:after="0"/>
              <w:jc w:val="left"/>
            </w:pPr>
            <w:r>
              <w:rPr>
                <w:rFonts w:ascii="Arial" w:hAnsi="Arial" w:eastAsia="Arial"/>
                <w:b w:val="0"/>
                <w:i w:val="0"/>
                <w:color w:val="17212B"/>
                <w:sz w:val="17"/>
              </w:rPr>
              <w:t>Evidence</w:t>
            </w:r>
          </w:p>
        </w:tc>
        <w:tc>
          <w:tcPr>
            <w:tcW w:type="dxa" w:w="7560"/>
          </w:tcPr>
          <w:p>
            <w:pPr>
              <w:spacing w:after="0"/>
              <w:jc w:val="center"/>
            </w:pPr>
            <w:r>
              <w:rPr>
                <w:rFonts w:ascii="Arial" w:hAnsi="Arial" w:eastAsia="Arial"/>
                <w:b w:val="0"/>
                <w:i w:val="0"/>
                <w:color w:val="17212B"/>
                <w:sz w:val="17"/>
              </w:rPr>
              <w:t>Signed agreements, bank/payment records, invoices, accounting and reconciliation remain authoritative.</w:t>
            </w:r>
          </w:p>
        </w:tc>
      </w:tr>
      <w:tr>
        <w:tc>
          <w:tcPr>
            <w:tcW w:type="dxa" w:w="1800"/>
            <w:shd w:fill="F2F4F7"/>
          </w:tcPr>
          <w:p>
            <w:pPr>
              <w:spacing w:after="0"/>
              <w:jc w:val="left"/>
            </w:pPr>
            <w:r>
              <w:rPr>
                <w:rFonts w:ascii="Arial" w:hAnsi="Arial" w:eastAsia="Arial"/>
                <w:b w:val="0"/>
                <w:i w:val="0"/>
                <w:color w:val="17212B"/>
                <w:sz w:val="17"/>
              </w:rPr>
              <w:t>Risks</w:t>
            </w:r>
          </w:p>
        </w:tc>
        <w:tc>
          <w:tcPr>
            <w:tcW w:type="dxa" w:w="7560"/>
            <w:shd w:fill="F2F4F7"/>
          </w:tcPr>
          <w:p>
            <w:pPr>
              <w:spacing w:after="0"/>
              <w:jc w:val="center"/>
            </w:pPr>
            <w:r>
              <w:rPr>
                <w:rFonts w:ascii="Arial" w:hAnsi="Arial" w:eastAsia="Arial"/>
                <w:b w:val="0"/>
                <w:i w:val="0"/>
                <w:color w:val="17212B"/>
                <w:sz w:val="17"/>
              </w:rPr>
              <w:t>Animal health, mortality, feed and market prices, FX, execution, counterparties, regulation and liquidity.</w:t>
            </w:r>
          </w:p>
        </w:tc>
      </w:tr>
    </w:tbl>
    <w:p>
      <w:pPr>
        <w:pStyle w:val="Heading2"/>
      </w:pPr>
      <w:r>
        <w:rPr>
          <w:rFonts w:ascii="Arial" w:hAnsi="Arial" w:eastAsia="Arial"/>
          <w:b/>
          <w:i w:val="0"/>
          <w:color w:val="056246"/>
          <w:sz w:val="26"/>
        </w:rPr>
        <w:t>Before a real pilot</w:t>
      </w:r>
    </w:p>
    <w:p>
      <w:pPr>
        <w:pStyle w:val="ListBullet"/>
        <w:spacing w:after="80"/>
        <w:ind w:left="540" w:hanging="271"/>
      </w:pPr>
      <w:r>
        <w:rPr>
          <w:rFonts w:ascii="Arial" w:hAnsi="Arial" w:eastAsia="Arial"/>
          <w:b w:val="0"/>
          <w:i w:val="0"/>
          <w:color w:val="17212B"/>
          <w:sz w:val="20"/>
        </w:rPr>
        <w:t>Approve company, banking/payment, accounting, compliance and crypto-to-fiat providers.</w:t>
      </w:r>
    </w:p>
    <w:p>
      <w:pPr>
        <w:pStyle w:val="ListBullet"/>
        <w:spacing w:after="80"/>
        <w:ind w:left="540" w:hanging="271"/>
      </w:pPr>
      <w:r>
        <w:rPr>
          <w:rFonts w:ascii="Arial" w:hAnsi="Arial" w:eastAsia="Arial"/>
          <w:b w:val="0"/>
          <w:i w:val="0"/>
          <w:color w:val="17212B"/>
          <w:sz w:val="20"/>
        </w:rPr>
        <w:t>Execute separate Investor and Operator agreements after qualified legal review.</w:t>
      </w:r>
    </w:p>
    <w:p>
      <w:pPr>
        <w:pStyle w:val="ListBullet"/>
        <w:spacing w:after="80"/>
        <w:ind w:left="540" w:hanging="271"/>
      </w:pPr>
      <w:r>
        <w:rPr>
          <w:rFonts w:ascii="Arial" w:hAnsi="Arial" w:eastAsia="Arial"/>
          <w:b w:val="0"/>
          <w:i w:val="0"/>
          <w:color w:val="17212B"/>
          <w:sz w:val="20"/>
        </w:rPr>
        <w:t>Validate assumptions with a named operator, suppliers, veterinary controls and local evidence.</w:t>
      </w:r>
    </w:p>
    <w:p>
      <w:pPr>
        <w:pStyle w:val="ListBullet"/>
        <w:spacing w:after="80"/>
        <w:ind w:left="540" w:hanging="271"/>
      </w:pPr>
      <w:r>
        <w:rPr>
          <w:rFonts w:ascii="Arial" w:hAnsi="Arial" w:eastAsia="Arial"/>
          <w:b w:val="0"/>
          <w:i w:val="0"/>
          <w:color w:val="17212B"/>
          <w:sz w:val="20"/>
        </w:rPr>
        <w:t>Use Alpha v1.2 only as a Testnet workflow demonstration until formal pilot approval.</w:t>
      </w:r>
    </w:p>
    <w:p>
      <w:pPr>
        <w:spacing w:after="80" w:line="283" w:lineRule="auto"/>
      </w:pPr>
      <w:r>
        <w:rPr>
          <w:rFonts w:ascii="Arial" w:hAnsi="Arial" w:eastAsia="Arial"/>
          <w:b w:val="0"/>
          <w:i/>
          <w:color w:val="5E6B78"/>
          <w:sz w:val="17"/>
        </w:rPr>
        <w:t>Source: AgriPartners 60/40 model. Simple annualized ROI equals total ROI divided by model duration; it is not APR or IRR.</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E6B78"/>
        <w:sz w:val="16"/>
      </w:rPr>
      <w:t>AgriPartners · Alpha 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i w:val="0"/>
        <w:color w:val="5E6B78"/>
        <w:sz w:val="16"/>
      </w:rPr>
      <w:t>AgriPartners | Uzbekistan Feedlot Operator guide | VariantB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562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562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562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AgriPartners Uzbekistan Feedlot Operator guide - Hissar sheep breeding - EN</dc:title>
  <dc:subject>Concise Alpha v1.2 demonstration financial model</dc:subject>
  <dc:creator>AgriPartners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