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83" w:lineRule="auto"/>
        <w:jc w:val="center"/>
      </w:pPr>
      <w:r>
        <w:rPr>
          <w:rFonts w:ascii="Arial" w:hAnsi="Arial" w:eastAsia="Arial"/>
          <w:b/>
          <w:i w:val="0"/>
          <w:color w:val="087F5B"/>
          <w:sz w:val="18"/>
        </w:rPr>
        <w:t>КРАТКАЯ МОДЕЛЬ ДЛЯ ИНВЕСТОРА</w:t>
      </w:r>
    </w:p>
    <w:p>
      <w:pPr>
        <w:spacing w:after="80" w:line="283" w:lineRule="auto"/>
        <w:jc w:val="center"/>
      </w:pPr>
      <w:r>
        <w:rPr>
          <w:rFonts w:ascii="Arial" w:hAnsi="Arial" w:eastAsia="Arial"/>
          <w:b/>
          <w:i w:val="0"/>
          <w:color w:val="17324D"/>
          <w:sz w:val="50"/>
        </w:rPr>
        <w:t>Откормочный комплекс</w:t>
      </w:r>
    </w:p>
    <w:p>
      <w:pPr>
        <w:spacing w:after="280" w:line="283" w:lineRule="auto"/>
        <w:jc w:val="center"/>
      </w:pPr>
      <w:r>
        <w:rPr>
          <w:rFonts w:ascii="Arial" w:hAnsi="Arial" w:eastAsia="Arial"/>
          <w:b w:val="0"/>
          <w:i w:val="0"/>
          <w:color w:val="5E6B78"/>
          <w:sz w:val="25"/>
        </w:rPr>
        <w:t>v5.9 · Демонстрационная экономика · модель 60/40 · операции в Узбекистане только в фиате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E8F5EF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56246"/>
                <w:sz w:val="19"/>
              </w:rPr>
              <w:t>Обязательная граница: внешний инвестор заключает договор только с AgriPartners OÜ в Эстонии. Разрешённая криптовалюта, если используется, остаётся в Эстонии и конвертируется через одобренную инфраструктуру. Оператор в Узбекистане получает и возвращает только фиат по отдельному письменному договору.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FFF6DD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B7791F"/>
                <w:sz w:val="19"/>
              </w:rPr>
              <w:t>Иллюстративная модель Alpha v1.2. Прогнозы не гарантируют доходность, не являются публичным предложением и требуют юридической, налоговой, банковской, бухгалтерской, комплаенс-, операционной и партнёрской проверки до пилота с реальными средствами.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5900"/>
        <w:gridCol w:w="3460"/>
      </w:tblGrid>
      <w:tr>
        <w:tc>
          <w:tcPr>
            <w:tcW w:type="dxa" w:w="4680"/>
            <w:tcW w:w="590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Показатель</w:t>
            </w:r>
          </w:p>
        </w:tc>
        <w:tc>
          <w:tcPr>
            <w:tcW w:type="dxa" w:w="4680"/>
            <w:tcW w:w="346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59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Стартовое финансирование</w:t>
            </w:r>
          </w:p>
        </w:tc>
        <w:tc>
          <w:tcPr>
            <w:tcW w:type="dxa" w:w="34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$50,000</w:t>
            </w:r>
          </w:p>
        </w:tc>
      </w:tr>
      <w:tr>
        <w:tc>
          <w:tcPr>
            <w:tcW w:type="dxa" w:w="59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Прогноз выплаты инвестору</w:t>
            </w:r>
          </w:p>
        </w:tc>
        <w:tc>
          <w:tcPr>
            <w:tcW w:type="dxa" w:w="34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$82,000</w:t>
            </w:r>
          </w:p>
        </w:tc>
      </w:tr>
      <w:tr>
        <w:tc>
          <w:tcPr>
            <w:tcW w:type="dxa" w:w="59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Чистый ROI</w:t>
            </w:r>
          </w:p>
        </w:tc>
        <w:tc>
          <w:tcPr>
            <w:tcW w:type="dxa" w:w="34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64.0%</w:t>
            </w:r>
          </w:p>
        </w:tc>
      </w:tr>
      <w:tr>
        <w:tc>
          <w:tcPr>
            <w:tcW w:type="dxa" w:w="59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Простой годовой ROI</w:t>
            </w:r>
          </w:p>
        </w:tc>
        <w:tc>
          <w:tcPr>
            <w:tcW w:type="dxa" w:w="34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21.9%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Иллюстративное использование стартового капитала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6600"/>
        <w:gridCol w:w="2760"/>
      </w:tblGrid>
      <w:tr>
        <w:tc>
          <w:tcPr>
            <w:tcW w:type="dxa" w:w="4680"/>
            <w:tcW w:w="660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Статья</w:t>
            </w:r>
          </w:p>
        </w:tc>
        <w:tc>
          <w:tcPr>
            <w:tcW w:type="dxa" w:w="4680"/>
            <w:tcW w:w="276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Сумма</w:t>
            </w:r>
          </w:p>
        </w:tc>
      </w:tr>
      <w:tr>
        <w:tc>
          <w:tcPr>
            <w:tcW w:type="dxa" w:w="66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Начальный молодняк</w:t>
            </w:r>
          </w:p>
        </w:tc>
        <w:tc>
          <w:tcPr>
            <w:tcW w:type="dxa" w:w="27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$20,000</w:t>
            </w:r>
          </w:p>
        </w:tc>
      </w:tr>
      <w:tr>
        <w:tc>
          <w:tcPr>
            <w:tcW w:type="dxa" w:w="66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Откормочная база</w:t>
            </w:r>
          </w:p>
        </w:tc>
        <w:tc>
          <w:tcPr>
            <w:tcW w:type="dxa" w:w="27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$18,000</w:t>
            </w:r>
          </w:p>
        </w:tc>
      </w:tr>
      <w:tr>
        <w:tc>
          <w:tcPr>
            <w:tcW w:type="dxa" w:w="66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Оборотный резерв</w:t>
            </w:r>
          </w:p>
        </w:tc>
        <w:tc>
          <w:tcPr>
            <w:tcW w:type="dxa" w:w="27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$12,000</w:t>
            </w:r>
          </w:p>
        </w:tc>
      </w:tr>
      <w:tr>
        <w:tc>
          <w:tcPr>
            <w:tcW w:type="dxa" w:w="66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Итого</w:t>
            </w:r>
          </w:p>
        </w:tc>
        <w:tc>
          <w:tcPr>
            <w:tcW w:type="dxa" w:w="27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$50,000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Сокращённая экономика циклов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200"/>
        <w:gridCol w:w="1700"/>
        <w:gridCol w:w="1750"/>
        <w:gridCol w:w="1800"/>
        <w:gridCol w:w="1910"/>
      </w:tblGrid>
      <w:tr>
        <w:tc>
          <w:tcPr>
            <w:tcW w:type="dxa" w:w="1872"/>
            <w:tcW w:w="220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Этап</w:t>
            </w:r>
          </w:p>
        </w:tc>
        <w:tc>
          <w:tcPr>
            <w:tcW w:type="dxa" w:w="1872"/>
            <w:tcW w:w="170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Выручка</w:t>
            </w:r>
          </w:p>
        </w:tc>
        <w:tc>
          <w:tcPr>
            <w:tcW w:type="dxa" w:w="1872"/>
            <w:tcW w:w="175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Чистый пул</w:t>
            </w:r>
          </w:p>
        </w:tc>
        <w:tc>
          <w:tcPr>
            <w:tcW w:type="dxa" w:w="1872"/>
            <w:tcW w:w="180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Инвестору</w:t>
            </w:r>
          </w:p>
        </w:tc>
        <w:tc>
          <w:tcPr>
            <w:tcW w:type="dxa" w:w="1872"/>
            <w:tcW w:w="191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Оператору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Циклы 1–2</w:t>
            </w:r>
          </w:p>
        </w:tc>
        <w:tc>
          <w:tcPr>
            <w:tcW w:type="dxa" w:w="170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175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$30,000</w:t>
            </w:r>
          </w:p>
        </w:tc>
        <w:tc>
          <w:tcPr>
            <w:tcW w:type="dxa" w:w="180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$9,600</w:t>
            </w:r>
          </w:p>
        </w:tc>
        <w:tc>
          <w:tcPr>
            <w:tcW w:type="dxa" w:w="191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$15,250</w:t>
            </w:r>
          </w:p>
        </w:tc>
      </w:tr>
      <w:tr>
        <w:tc>
          <w:tcPr>
            <w:tcW w:type="dxa" w:w="22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Циклы 3–7</w:t>
            </w:r>
          </w:p>
        </w:tc>
        <w:tc>
          <w:tcPr>
            <w:tcW w:type="dxa" w:w="170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175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$26,500</w:t>
            </w:r>
          </w:p>
        </w:tc>
        <w:tc>
          <w:tcPr>
            <w:tcW w:type="dxa" w:w="180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$8,480</w:t>
            </w:r>
          </w:p>
        </w:tc>
        <w:tc>
          <w:tcPr>
            <w:tcW w:type="dxa" w:w="191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$13,150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Завершение</w:t>
            </w:r>
          </w:p>
        </w:tc>
        <w:tc>
          <w:tcPr>
            <w:tcW w:type="dxa" w:w="170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—</w:t>
            </w:r>
          </w:p>
        </w:tc>
        <w:tc>
          <w:tcPr>
            <w:tcW w:type="dxa" w:w="175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—</w:t>
            </w:r>
          </w:p>
        </w:tc>
        <w:tc>
          <w:tcPr>
            <w:tcW w:type="dxa" w:w="180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$20,400</w:t>
            </w:r>
          </w:p>
        </w:tc>
        <w:tc>
          <w:tcPr>
            <w:tcW w:type="dxa" w:w="191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$10,000</w:t>
            </w:r>
          </w:p>
        </w:tc>
      </w:tr>
    </w:tbl>
    <w:p>
      <w:r>
        <w:br w:type="page"/>
      </w:r>
    </w:p>
    <w:p>
      <w:pPr>
        <w:spacing w:after="60" w:line="283" w:lineRule="auto"/>
        <w:jc w:val="center"/>
      </w:pPr>
      <w:r>
        <w:rPr>
          <w:rFonts w:ascii="Arial" w:hAnsi="Arial" w:eastAsia="Arial"/>
          <w:b/>
          <w:i w:val="0"/>
          <w:color w:val="087F5B"/>
          <w:sz w:val="18"/>
        </w:rPr>
        <w:t>AGRIPARTNERS</w:t>
      </w:r>
    </w:p>
    <w:p>
      <w:pPr>
        <w:spacing w:after="80" w:line="283" w:lineRule="auto"/>
        <w:jc w:val="center"/>
      </w:pPr>
      <w:r>
        <w:rPr>
          <w:rFonts w:ascii="Arial" w:hAnsi="Arial" w:eastAsia="Arial"/>
          <w:b/>
          <w:i w:val="0"/>
          <w:color w:val="17324D"/>
          <w:sz w:val="50"/>
        </w:rPr>
        <w:t>Роли и официальные подтверждения</w:t>
      </w:r>
    </w:p>
    <w:p>
      <w:pPr>
        <w:spacing w:after="280" w:line="283" w:lineRule="auto"/>
        <w:jc w:val="center"/>
      </w:pPr>
      <w:r>
        <w:rPr>
          <w:rFonts w:ascii="Arial" w:hAnsi="Arial" w:eastAsia="Arial"/>
          <w:b w:val="0"/>
          <w:i w:val="0"/>
          <w:color w:val="5E6B78"/>
          <w:sz w:val="25"/>
        </w:rPr>
        <w:t>Откормочный комплекс · v5.9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500"/>
        <w:gridCol w:w="6860"/>
      </w:tblGrid>
      <w:tr>
        <w:tc>
          <w:tcPr>
            <w:tcW w:type="dxa" w:w="4680"/>
            <w:tcW w:w="250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Роль</w:t>
            </w:r>
          </w:p>
        </w:tc>
        <w:tc>
          <w:tcPr>
            <w:tcW w:type="dxa" w:w="4680"/>
            <w:tcW w:w="686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Ответственность и подтверждения</w:t>
            </w:r>
          </w:p>
        </w:tc>
      </w:tr>
      <w:tr>
        <w:tc>
          <w:tcPr>
            <w:tcW w:type="dxa" w:w="25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Внешний инвестор</w:t>
            </w:r>
          </w:p>
        </w:tc>
        <w:tc>
          <w:tcPr>
            <w:tcW w:type="dxa" w:w="68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Договор и финансирование только с AgriPartners OÜ; без прямых переводов в Узбекистан.</w:t>
            </w:r>
          </w:p>
        </w:tc>
      </w:tr>
      <w:tr>
        <w:tc>
          <w:tcPr>
            <w:tcW w:type="dxa" w:w="25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AgriPartners OÜ</w:t>
            </w:r>
          </w:p>
        </w:tc>
        <w:tc>
          <w:tcPr>
            <w:tcW w:type="dxa" w:w="68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Юридический контрагент; конвертация, банк, учёт, сверка и управление.</w:t>
            </w:r>
          </w:p>
        </w:tc>
      </w:tr>
      <w:tr>
        <w:tc>
          <w:tcPr>
            <w:tcW w:type="dxa" w:w="25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Оператор в Узбекистане</w:t>
            </w:r>
          </w:p>
        </w:tc>
        <w:tc>
          <w:tcPr>
            <w:tcW w:type="dxa" w:w="68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Отдельный договор; фиатные поступления и возвраты; операции и подтверждающие документы.</w:t>
            </w:r>
          </w:p>
        </w:tc>
      </w:tr>
      <w:tr>
        <w:tc>
          <w:tcPr>
            <w:tcW w:type="dxa" w:w="25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Роль Farmer в продукте</w:t>
            </w:r>
          </w:p>
        </w:tc>
        <w:tc>
          <w:tcPr>
            <w:tcW w:type="dxa" w:w="68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Только отчётность и подтверждения; без кошелька, получения криптовалюты и ончейн-платежей.</w:t>
            </w:r>
          </w:p>
        </w:tc>
      </w:tr>
      <w:tr>
        <w:tc>
          <w:tcPr>
            <w:tcW w:type="dxa" w:w="25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NEAR Testnet</w:t>
            </w:r>
          </w:p>
        </w:tc>
        <w:tc>
          <w:tcPr>
            <w:tcW w:type="dxa" w:w="68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Демо-аудит и автоматизация на стороне Эстонии/инвестора; не заменяет официальные документы.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Предположения, контроль и риски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1800"/>
        <w:gridCol w:w="7560"/>
      </w:tblGrid>
      <w:tr>
        <w:tc>
          <w:tcPr>
            <w:tcW w:type="dxa" w:w="4680"/>
            <w:tcW w:w="180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Область</w:t>
            </w:r>
          </w:p>
        </w:tc>
        <w:tc>
          <w:tcPr>
            <w:tcW w:type="dxa" w:w="4680"/>
            <w:tcW w:w="756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Положение</w:t>
            </w:r>
          </w:p>
        </w:tc>
      </w:tr>
      <w:tr>
        <w:tc>
          <w:tcPr>
            <w:tcW w:type="dxa" w:w="18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Модель</w:t>
            </w:r>
          </w:p>
        </w:tc>
        <w:tc>
          <w:tcPr>
            <w:tcW w:type="dxa" w:w="75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Иллюстративные цены, объёмы, затраты, сроки, сплит 60/40 и performance fee 20%.</w:t>
            </w:r>
          </w:p>
        </w:tc>
      </w:tr>
      <w:tr>
        <w:tc>
          <w:tcPr>
            <w:tcW w:type="dxa" w:w="18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Резерв</w:t>
            </w:r>
          </w:p>
        </w:tc>
        <w:tc>
          <w:tcPr>
            <w:tcW w:type="dxa" w:w="75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Исследовательский механизм защиты; не страховка и не гарантия; выдача может остановиться при убытке, дефолте, отсутствии отчёта или споре.</w:t>
            </w:r>
          </w:p>
        </w:tc>
      </w:tr>
      <w:tr>
        <w:tc>
          <w:tcPr>
            <w:tcW w:type="dxa" w:w="18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Документы</w:t>
            </w:r>
          </w:p>
        </w:tc>
        <w:tc>
          <w:tcPr>
            <w:tcW w:type="dxa" w:w="75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Подписанные договоры, банковские документы, счета, бухгалтерский учёт и сверка являются официальными источниками.</w:t>
            </w:r>
          </w:p>
        </w:tc>
      </w:tr>
      <w:tr>
        <w:tc>
          <w:tcPr>
            <w:tcW w:type="dxa" w:w="18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Риски</w:t>
            </w:r>
          </w:p>
        </w:tc>
        <w:tc>
          <w:tcPr>
            <w:tcW w:type="dxa" w:w="75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Здоровье и падёж скота, корма и цены, валютный риск, исполнение, контрагенты, регулирование и ликвидность.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До пилота с реальными средствами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Утвердить компанию и банковскую, платёжную, бухгалтерскую, комплаенс- и crypto-to-fiat инфраструктуру.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После квалифицированной юридической проверки подписать отдельные договоры с инвестором и оператором.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Проверить допущения с выбранным оператором, поставщиками, ветеринарным контролем и локальными документами.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Использовать Alpha v1.2 только как Testnet-демонстрацию до формального утверждения пилота.</w:t>
      </w:r>
    </w:p>
    <w:p>
      <w:pPr>
        <w:spacing w:after="80" w:line="283" w:lineRule="auto"/>
      </w:pPr>
      <w:r>
        <w:rPr>
          <w:rFonts w:ascii="Arial" w:hAnsi="Arial" w:eastAsia="Arial"/>
          <w:b w:val="0"/>
          <w:i/>
          <w:color w:val="5E6B78"/>
          <w:sz w:val="17"/>
        </w:rPr>
        <w:t>Источник: модель AgriPartners 60/40. Простой годовой ROI — общий ROI, делённый на срок модели; это не APR и не IRR.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FFF6DD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B7791F"/>
                <w:sz w:val="19"/>
              </w:rPr>
              <w:t>Иллюстративная модель Alpha v1.2. Прогнозы не гарантируют доходность, не являются публичным предложением и требуют юридической, налоговой, банковской, бухгалтерской, комплаенс-, операционной и партнёрской проверки до пилота с реальными средствами.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E6B78"/>
        <w:sz w:val="16"/>
      </w:rPr>
      <w:t>AgriPartners · Alpha v1.2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Arial"/>
        <w:b/>
        <w:i w:val="0"/>
        <w:color w:val="5E6B78"/>
        <w:sz w:val="16"/>
      </w:rPr>
      <w:t>AgriPartners | Краткая модель для инвестора | v5.9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05624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5624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562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Краткая модель для инвестора - Откормочный комплекс - RU</dc:title>
  <dc:subject>Concise Alpha v1.2 demonstration financial model</dc:subject>
  <dc:creator>AgriPartners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