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83" w:lineRule="auto"/>
        <w:jc w:val="center"/>
      </w:pPr>
      <w:r>
        <w:rPr>
          <w:rFonts w:ascii="Arial" w:hAnsi="Arial" w:eastAsia="Arial"/>
          <w:b/>
          <w:i w:val="0"/>
          <w:color w:val="087F5B"/>
          <w:sz w:val="18"/>
        </w:rPr>
        <w:t>РУКОВОДСТВО ОПЕРАТОРА ОТКОРМОЧНОГО КОМПЛЕКСА В УЗБЕКИСТАНЕ</w:t>
      </w:r>
    </w:p>
    <w:p>
      <w:pPr>
        <w:spacing w:after="80" w:line="283" w:lineRule="auto"/>
        <w:jc w:val="center"/>
      </w:pPr>
      <w:r>
        <w:rPr>
          <w:rFonts w:ascii="Arial" w:hAnsi="Arial" w:eastAsia="Arial"/>
          <w:b/>
          <w:i w:val="0"/>
          <w:color w:val="17324D"/>
          <w:sz w:val="50"/>
        </w:rPr>
        <w:t>Откормочный комплекс</w:t>
      </w:r>
    </w:p>
    <w:p>
      <w:pPr>
        <w:spacing w:after="280" w:line="283" w:lineRule="auto"/>
        <w:jc w:val="center"/>
      </w:pPr>
      <w:r>
        <w:rPr>
          <w:rFonts w:ascii="Arial" w:hAnsi="Arial" w:eastAsia="Arial"/>
          <w:b w:val="0"/>
          <w:i w:val="0"/>
          <w:color w:val="5E6B78"/>
          <w:sz w:val="25"/>
        </w:rPr>
        <w:t>v5.9 · Демонстрационная экономика · модель 60/40 · операции в Узбекистане только в фиате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tcW w:w="9360" w:type="dxa"/>
            <w:vAlign w:val="center"/>
            <w:shd w:fill="E8F5E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056246"/>
                <w:sz w:val="19"/>
              </w:rPr>
              <w:t>Обязательная граница: внешний инвестор заключает договор только с AgriPartners OÜ в Эстонии. Разрешённая криптовалюта, если используется, остаётся в Эстонии и конвертируется через одобренную инфраструктуру. Оператор в Узбекистане получает и возвращает только фиат по отдельному письменному договору.</w:t>
            </w:r>
          </w:p>
        </w:tc>
      </w:tr>
    </w:tbl>
    <w:p>
      <w:pPr>
        <w:spacing w:after="40" w:line="283" w:lineRule="auto"/>
      </w:pPr>
      <w:r>
        <w:rPr>
          <w:rFonts w:ascii="Arial" w:hAnsi="Arial" w:eastAsia="Arial"/>
          <w:b w:val="0"/>
          <w:i w:val="0"/>
          <w:color w:val="17212B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tcW w:w="9360" w:type="dxa"/>
            <w:vAlign w:val="center"/>
            <w:shd w:fill="FFF6DD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B7791F"/>
                <w:sz w:val="19"/>
              </w:rPr>
              <w:t>Иллюстративная модель Alpha v1.2. Прогнозы не гарантируют доходность, не являются публичным предложением и требуют юридической, налоговой, банковской, бухгалтерской, комплаенс-, операционной и партнёрской проверки до пилота с реальными средствами.</w:t>
            </w:r>
          </w:p>
        </w:tc>
      </w:tr>
    </w:tbl>
    <w:p>
      <w:pPr>
        <w:spacing w:after="40" w:line="283" w:lineRule="auto"/>
      </w:pPr>
      <w:r>
        <w:rPr>
          <w:rFonts w:ascii="Arial" w:hAnsi="Arial" w:eastAsia="Arial"/>
          <w:b w:val="0"/>
          <w:i w:val="0"/>
          <w:color w:val="17212B"/>
          <w:sz w:val="2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5900"/>
        <w:gridCol w:w="3460"/>
      </w:tblGrid>
      <w:tr>
        <w:tc>
          <w:tcPr>
            <w:tcW w:type="dxa" w:w="4680"/>
            <w:tcW w:w="5900" w:type="dxa"/>
            <w:vAlign w:val="center"/>
            <w:shd w:fill="05624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Показатель</w:t>
            </w:r>
          </w:p>
        </w:tc>
        <w:tc>
          <w:tcPr>
            <w:tcW w:type="dxa" w:w="4680"/>
            <w:tcW w:w="3460" w:type="dxa"/>
            <w:vAlign w:val="center"/>
            <w:shd w:fill="05624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5900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Прогноз выплат оператору</w:t>
            </w:r>
          </w:p>
        </w:tc>
        <w:tc>
          <w:tcPr>
            <w:tcW w:type="dxa" w:w="346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$96,250</w:t>
            </w:r>
          </w:p>
        </w:tc>
      </w:tr>
      <w:tr>
        <w:tc>
          <w:tcPr>
            <w:tcW w:type="dxa" w:w="5900"/>
            <w:shd w:fill="F2F4F7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Прогноз передачи имущества</w:t>
            </w:r>
          </w:p>
        </w:tc>
        <w:tc>
          <w:tcPr>
            <w:tcW w:type="dxa" w:w="346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$18,000</w:t>
            </w:r>
          </w:p>
        </w:tc>
      </w:tr>
      <w:tr>
        <w:tc>
          <w:tcPr>
            <w:tcW w:type="dxa" w:w="5900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Прогноз общей выгоды</w:t>
            </w:r>
          </w:p>
        </w:tc>
        <w:tc>
          <w:tcPr>
            <w:tcW w:type="dxa" w:w="346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$114,250</w:t>
            </w:r>
          </w:p>
        </w:tc>
      </w:tr>
      <w:tr>
        <w:tc>
          <w:tcPr>
            <w:tcW w:type="dxa" w:w="5900"/>
            <w:shd w:fill="F2F4F7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Циклы / срок</w:t>
            </w:r>
          </w:p>
        </w:tc>
        <w:tc>
          <w:tcPr>
            <w:tcW w:type="dxa" w:w="346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7 / 35 mo.</w:t>
            </w:r>
          </w:p>
        </w:tc>
      </w:tr>
    </w:tbl>
    <w:p>
      <w:pPr>
        <w:pStyle w:val="Heading2"/>
      </w:pPr>
      <w:r>
        <w:rPr>
          <w:rFonts w:ascii="Arial" w:hAnsi="Arial" w:eastAsia="Arial"/>
          <w:b/>
          <w:i w:val="0"/>
          <w:color w:val="056246"/>
          <w:sz w:val="26"/>
        </w:rPr>
        <w:t>Иллюстративное использование стартового капитала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6600"/>
        <w:gridCol w:w="2760"/>
      </w:tblGrid>
      <w:tr>
        <w:tc>
          <w:tcPr>
            <w:tcW w:type="dxa" w:w="4680"/>
            <w:tcW w:w="6600" w:type="dxa"/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Статья</w:t>
            </w:r>
          </w:p>
        </w:tc>
        <w:tc>
          <w:tcPr>
            <w:tcW w:type="dxa" w:w="4680"/>
            <w:tcW w:w="2760" w:type="dxa"/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Сумма</w:t>
            </w:r>
          </w:p>
        </w:tc>
      </w:tr>
      <w:tr>
        <w:tc>
          <w:tcPr>
            <w:tcW w:type="dxa" w:w="6600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Начальный молодняк</w:t>
            </w:r>
          </w:p>
        </w:tc>
        <w:tc>
          <w:tcPr>
            <w:tcW w:type="dxa" w:w="276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$20,000</w:t>
            </w:r>
          </w:p>
        </w:tc>
      </w:tr>
      <w:tr>
        <w:tc>
          <w:tcPr>
            <w:tcW w:type="dxa" w:w="6600"/>
            <w:shd w:fill="F2F4F7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Откормочная база</w:t>
            </w:r>
          </w:p>
        </w:tc>
        <w:tc>
          <w:tcPr>
            <w:tcW w:type="dxa" w:w="276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$18,000</w:t>
            </w:r>
          </w:p>
        </w:tc>
      </w:tr>
      <w:tr>
        <w:tc>
          <w:tcPr>
            <w:tcW w:type="dxa" w:w="6600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Оборотный резерв</w:t>
            </w:r>
          </w:p>
        </w:tc>
        <w:tc>
          <w:tcPr>
            <w:tcW w:type="dxa" w:w="276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$12,000</w:t>
            </w:r>
          </w:p>
        </w:tc>
      </w:tr>
      <w:tr>
        <w:tc>
          <w:tcPr>
            <w:tcW w:type="dxa" w:w="6600"/>
            <w:shd w:fill="F2F4F7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Итого</w:t>
            </w:r>
          </w:p>
        </w:tc>
        <w:tc>
          <w:tcPr>
            <w:tcW w:type="dxa" w:w="276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$50,000</w:t>
            </w:r>
          </w:p>
        </w:tc>
      </w:tr>
    </w:tbl>
    <w:p>
      <w:pPr>
        <w:pStyle w:val="Heading2"/>
      </w:pPr>
      <w:r>
        <w:rPr>
          <w:rFonts w:ascii="Arial" w:hAnsi="Arial" w:eastAsia="Arial"/>
          <w:b/>
          <w:i w:val="0"/>
          <w:color w:val="056246"/>
          <w:sz w:val="26"/>
        </w:rPr>
        <w:t>Сокращённая экономика циклов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00"/>
        <w:gridCol w:w="1700"/>
        <w:gridCol w:w="1750"/>
        <w:gridCol w:w="1800"/>
        <w:gridCol w:w="1910"/>
      </w:tblGrid>
      <w:tr>
        <w:tc>
          <w:tcPr>
            <w:tcW w:type="dxa" w:w="1872"/>
            <w:tcW w:w="2200" w:type="dxa"/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Этап</w:t>
            </w:r>
          </w:p>
        </w:tc>
        <w:tc>
          <w:tcPr>
            <w:tcW w:type="dxa" w:w="1872"/>
            <w:tcW w:w="1700" w:type="dxa"/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Выручка</w:t>
            </w:r>
          </w:p>
        </w:tc>
        <w:tc>
          <w:tcPr>
            <w:tcW w:type="dxa" w:w="1872"/>
            <w:tcW w:w="1750" w:type="dxa"/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Чистый пул</w:t>
            </w:r>
          </w:p>
        </w:tc>
        <w:tc>
          <w:tcPr>
            <w:tcW w:type="dxa" w:w="1872"/>
            <w:tcW w:w="1800" w:type="dxa"/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Инвестору</w:t>
            </w:r>
          </w:p>
        </w:tc>
        <w:tc>
          <w:tcPr>
            <w:tcW w:type="dxa" w:w="1872"/>
            <w:tcW w:w="1910" w:type="dxa"/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Оператору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Циклы 1–2</w:t>
            </w:r>
          </w:p>
        </w:tc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$50,000</w:t>
            </w:r>
          </w:p>
        </w:tc>
        <w:tc>
          <w:tcPr>
            <w:tcW w:type="dxa" w:w="175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$30,000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$9,600</w:t>
            </w:r>
          </w:p>
        </w:tc>
        <w:tc>
          <w:tcPr>
            <w:tcW w:type="dxa" w:w="191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$15,250</w:t>
            </w:r>
          </w:p>
        </w:tc>
      </w:tr>
      <w:tr>
        <w:tc>
          <w:tcPr>
            <w:tcW w:type="dxa" w:w="2200"/>
            <w:shd w:fill="F2F4F7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Циклы 3–7</w:t>
            </w:r>
          </w:p>
        </w:tc>
        <w:tc>
          <w:tcPr>
            <w:tcW w:type="dxa" w:w="170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$50,000</w:t>
            </w:r>
          </w:p>
        </w:tc>
        <w:tc>
          <w:tcPr>
            <w:tcW w:type="dxa" w:w="175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$26,500</w:t>
            </w:r>
          </w:p>
        </w:tc>
        <w:tc>
          <w:tcPr>
            <w:tcW w:type="dxa" w:w="180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$8,480</w:t>
            </w:r>
          </w:p>
        </w:tc>
        <w:tc>
          <w:tcPr>
            <w:tcW w:type="dxa" w:w="191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$13,150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Завершение</w:t>
            </w:r>
          </w:p>
        </w:tc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—</w:t>
            </w:r>
          </w:p>
        </w:tc>
        <w:tc>
          <w:tcPr>
            <w:tcW w:type="dxa" w:w="175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—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$20,400</w:t>
            </w:r>
          </w:p>
        </w:tc>
        <w:tc>
          <w:tcPr>
            <w:tcW w:type="dxa" w:w="191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$10,000</w:t>
            </w:r>
          </w:p>
        </w:tc>
      </w:tr>
    </w:tbl>
    <w:p>
      <w:r>
        <w:br w:type="page"/>
      </w:r>
    </w:p>
    <w:p>
      <w:pPr>
        <w:spacing w:after="60" w:line="283" w:lineRule="auto"/>
        <w:jc w:val="center"/>
      </w:pPr>
      <w:r>
        <w:rPr>
          <w:rFonts w:ascii="Arial" w:hAnsi="Arial" w:eastAsia="Arial"/>
          <w:b/>
          <w:i w:val="0"/>
          <w:color w:val="087F5B"/>
          <w:sz w:val="18"/>
        </w:rPr>
        <w:t>AGRIPARTNERS</w:t>
      </w:r>
    </w:p>
    <w:p>
      <w:pPr>
        <w:spacing w:after="80" w:line="283" w:lineRule="auto"/>
        <w:jc w:val="center"/>
      </w:pPr>
      <w:r>
        <w:rPr>
          <w:rFonts w:ascii="Arial" w:hAnsi="Arial" w:eastAsia="Arial"/>
          <w:b/>
          <w:i w:val="0"/>
          <w:color w:val="17324D"/>
          <w:sz w:val="50"/>
        </w:rPr>
        <w:t>Роли и официальные подтверждения</w:t>
      </w:r>
    </w:p>
    <w:p>
      <w:pPr>
        <w:spacing w:after="280" w:line="283" w:lineRule="auto"/>
        <w:jc w:val="center"/>
      </w:pPr>
      <w:r>
        <w:rPr>
          <w:rFonts w:ascii="Arial" w:hAnsi="Arial" w:eastAsia="Arial"/>
          <w:b w:val="0"/>
          <w:i w:val="0"/>
          <w:color w:val="5E6B78"/>
          <w:sz w:val="25"/>
        </w:rPr>
        <w:t>Откормочный комплекс · v5.9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500"/>
        <w:gridCol w:w="6860"/>
      </w:tblGrid>
      <w:tr>
        <w:tc>
          <w:tcPr>
            <w:tcW w:type="dxa" w:w="4680"/>
            <w:tcW w:w="2500" w:type="dxa"/>
            <w:vAlign w:val="center"/>
            <w:shd w:fill="05624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Роль</w:t>
            </w:r>
          </w:p>
        </w:tc>
        <w:tc>
          <w:tcPr>
            <w:tcW w:type="dxa" w:w="4680"/>
            <w:tcW w:w="6860" w:type="dxa"/>
            <w:vAlign w:val="center"/>
            <w:shd w:fill="05624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Ответственность и подтверждения</w:t>
            </w:r>
          </w:p>
        </w:tc>
      </w:tr>
      <w:tr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Внешний инвестор</w:t>
            </w:r>
          </w:p>
        </w:tc>
        <w:tc>
          <w:tcPr>
            <w:tcW w:type="dxa" w:w="686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Договор и финансирование только с AgriPartners OÜ; без прямых переводов в Узбекистан.</w:t>
            </w:r>
          </w:p>
        </w:tc>
      </w:tr>
      <w:tr>
        <w:tc>
          <w:tcPr>
            <w:tcW w:type="dxa" w:w="2500"/>
            <w:shd w:fill="F2F4F7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AgriPartners OÜ</w:t>
            </w:r>
          </w:p>
        </w:tc>
        <w:tc>
          <w:tcPr>
            <w:tcW w:type="dxa" w:w="686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Юридический контрагент; конвертация, банк, учёт, сверка и управление.</w:t>
            </w:r>
          </w:p>
        </w:tc>
      </w:tr>
      <w:tr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Оператор в Узбекистане</w:t>
            </w:r>
          </w:p>
        </w:tc>
        <w:tc>
          <w:tcPr>
            <w:tcW w:type="dxa" w:w="686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Отдельный договор; фиатные поступления и возвраты; операции и подтверждающие документы.</w:t>
            </w:r>
          </w:p>
        </w:tc>
      </w:tr>
      <w:tr>
        <w:tc>
          <w:tcPr>
            <w:tcW w:type="dxa" w:w="2500"/>
            <w:shd w:fill="F2F4F7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Роль Farmer в продукте</w:t>
            </w:r>
          </w:p>
        </w:tc>
        <w:tc>
          <w:tcPr>
            <w:tcW w:type="dxa" w:w="686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Только отчётность и подтверждения; без кошелька, получения криптовалюты и ончейн-платежей.</w:t>
            </w:r>
          </w:p>
        </w:tc>
      </w:tr>
      <w:tr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NEAR Testnet</w:t>
            </w:r>
          </w:p>
        </w:tc>
        <w:tc>
          <w:tcPr>
            <w:tcW w:type="dxa" w:w="686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Демо-аудит и автоматизация на стороне Эстонии/инвестора; не заменяет официальные документы.</w:t>
            </w:r>
          </w:p>
        </w:tc>
      </w:tr>
    </w:tbl>
    <w:p>
      <w:pPr>
        <w:pStyle w:val="Heading2"/>
      </w:pPr>
      <w:r>
        <w:rPr>
          <w:rFonts w:ascii="Arial" w:hAnsi="Arial" w:eastAsia="Arial"/>
          <w:b/>
          <w:i w:val="0"/>
          <w:color w:val="056246"/>
          <w:sz w:val="26"/>
        </w:rPr>
        <w:t>Предположения, контроль и риски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00"/>
        <w:gridCol w:w="7560"/>
      </w:tblGrid>
      <w:tr>
        <w:tc>
          <w:tcPr>
            <w:tcW w:type="dxa" w:w="4680"/>
            <w:tcW w:w="1800" w:type="dxa"/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Область</w:t>
            </w:r>
          </w:p>
        </w:tc>
        <w:tc>
          <w:tcPr>
            <w:tcW w:type="dxa" w:w="4680"/>
            <w:tcW w:w="7560" w:type="dxa"/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Положение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Модель</w:t>
            </w:r>
          </w:p>
        </w:tc>
        <w:tc>
          <w:tcPr>
            <w:tcW w:type="dxa" w:w="756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Иллюстративные цены, объёмы, затраты, сроки, сплит 60/40 и performance fee 20%.</w:t>
            </w:r>
          </w:p>
        </w:tc>
      </w:tr>
      <w:tr>
        <w:tc>
          <w:tcPr>
            <w:tcW w:type="dxa" w:w="1800"/>
            <w:shd w:fill="F2F4F7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Резерв</w:t>
            </w:r>
          </w:p>
        </w:tc>
        <w:tc>
          <w:tcPr>
            <w:tcW w:type="dxa" w:w="756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Исследовательский механизм защиты; не страховка и не гарантия; выдача может остановиться при убытке, дефолте, отсутствии отчёта или споре.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Документы</w:t>
            </w:r>
          </w:p>
        </w:tc>
        <w:tc>
          <w:tcPr>
            <w:tcW w:type="dxa" w:w="756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Подписанные договоры, банковские документы, счета, бухгалтерский учёт и сверка являются официальными источниками.</w:t>
            </w:r>
          </w:p>
        </w:tc>
      </w:tr>
      <w:tr>
        <w:tc>
          <w:tcPr>
            <w:tcW w:type="dxa" w:w="1800"/>
            <w:shd w:fill="F2F4F7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Риски</w:t>
            </w:r>
          </w:p>
        </w:tc>
        <w:tc>
          <w:tcPr>
            <w:tcW w:type="dxa" w:w="756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Здоровье и падёж скота, корма и цены, валютный риск, исполнение, контрагенты, регулирование и ликвидность.</w:t>
            </w:r>
          </w:p>
        </w:tc>
      </w:tr>
    </w:tbl>
    <w:p>
      <w:pPr>
        <w:pStyle w:val="Heading2"/>
      </w:pPr>
      <w:r>
        <w:rPr>
          <w:rFonts w:ascii="Arial" w:hAnsi="Arial" w:eastAsia="Arial"/>
          <w:b/>
          <w:i w:val="0"/>
          <w:color w:val="056246"/>
          <w:sz w:val="26"/>
        </w:rPr>
        <w:t>До пилота с реальными средствами</w:t>
      </w:r>
    </w:p>
    <w:p>
      <w:pPr>
        <w:pStyle w:val="ListBullet"/>
        <w:spacing w:after="80"/>
        <w:ind w:left="540" w:hanging="271"/>
      </w:pPr>
      <w:r>
        <w:rPr>
          <w:rFonts w:ascii="Arial" w:hAnsi="Arial" w:eastAsia="Arial"/>
          <w:b w:val="0"/>
          <w:i w:val="0"/>
          <w:color w:val="17212B"/>
          <w:sz w:val="20"/>
        </w:rPr>
        <w:t>Утвердить компанию и банковскую, платёжную, бухгалтерскую, комплаенс- и crypto-to-fiat инфраструктуру.</w:t>
      </w:r>
    </w:p>
    <w:p>
      <w:pPr>
        <w:pStyle w:val="ListBullet"/>
        <w:spacing w:after="80"/>
        <w:ind w:left="540" w:hanging="271"/>
      </w:pPr>
      <w:r>
        <w:rPr>
          <w:rFonts w:ascii="Arial" w:hAnsi="Arial" w:eastAsia="Arial"/>
          <w:b w:val="0"/>
          <w:i w:val="0"/>
          <w:color w:val="17212B"/>
          <w:sz w:val="20"/>
        </w:rPr>
        <w:t>После квалифицированной юридической проверки подписать отдельные договоры с инвестором и оператором.</w:t>
      </w:r>
    </w:p>
    <w:p>
      <w:pPr>
        <w:pStyle w:val="ListBullet"/>
        <w:spacing w:after="80"/>
        <w:ind w:left="540" w:hanging="271"/>
      </w:pPr>
      <w:r>
        <w:rPr>
          <w:rFonts w:ascii="Arial" w:hAnsi="Arial" w:eastAsia="Arial"/>
          <w:b w:val="0"/>
          <w:i w:val="0"/>
          <w:color w:val="17212B"/>
          <w:sz w:val="20"/>
        </w:rPr>
        <w:t>Проверить допущения с выбранным оператором, поставщиками, ветеринарным контролем и локальными документами.</w:t>
      </w:r>
    </w:p>
    <w:p>
      <w:pPr>
        <w:pStyle w:val="ListBullet"/>
        <w:spacing w:after="80"/>
        <w:ind w:left="540" w:hanging="271"/>
      </w:pPr>
      <w:r>
        <w:rPr>
          <w:rFonts w:ascii="Arial" w:hAnsi="Arial" w:eastAsia="Arial"/>
          <w:b w:val="0"/>
          <w:i w:val="0"/>
          <w:color w:val="17212B"/>
          <w:sz w:val="20"/>
        </w:rPr>
        <w:t>Использовать Alpha v1.2 только как Testnet-демонстрацию до формального утверждения пилота.</w:t>
      </w:r>
    </w:p>
    <w:p>
      <w:pPr>
        <w:spacing w:after="80" w:line="283" w:lineRule="auto"/>
      </w:pPr>
      <w:r>
        <w:rPr>
          <w:rFonts w:ascii="Arial" w:hAnsi="Arial" w:eastAsia="Arial"/>
          <w:b w:val="0"/>
          <w:i/>
          <w:color w:val="5E6B78"/>
          <w:sz w:val="17"/>
        </w:rPr>
        <w:t>Источник: модель AgriPartners 60/40. Простой годовой ROI — общий ROI, делённый на срок модели; это не APR и не IRR.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tcW w:w="9360" w:type="dxa"/>
            <w:vAlign w:val="center"/>
            <w:shd w:fill="FFF6DD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B7791F"/>
                <w:sz w:val="19"/>
              </w:rPr>
              <w:t>Иллюстративная модель Alpha v1.2. Прогнозы не гарантируют доходность, не являются публичным предложением и требуют юридической, налоговой, банковской, бухгалтерской, комплаенс-, операционной и партнёрской проверки до пилота с реальными средствами.</w:t>
            </w:r>
          </w:p>
        </w:tc>
      </w:tr>
    </w:tbl>
    <w:p>
      <w:pPr>
        <w:spacing w:after="40" w:line="283" w:lineRule="auto"/>
      </w:pPr>
      <w:r>
        <w:rPr>
          <w:rFonts w:ascii="Arial" w:hAnsi="Arial" w:eastAsia="Arial"/>
          <w:b w:val="0"/>
          <w:i w:val="0"/>
          <w:color w:val="17212B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5E6B78"/>
        <w:sz w:val="16"/>
      </w:rPr>
      <w:t>AgriPartners · Alpha v1.2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  <w:b/>
        <w:i w:val="0"/>
        <w:color w:val="5E6B78"/>
        <w:sz w:val="16"/>
      </w:rPr>
      <w:t>AgriPartners | Руководство оператора откормочного комплекса в Узбекистане | v5.9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0562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562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5624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AgriPartners Руководство оператора откормочного комплекса в Узбекистане - Откормочный комплекс - RU</dc:title>
  <dc:subject>Concise Alpha v1.2 demonstration financial model</dc:subject>
  <dc:creator>AgriPartners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