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83" w:lineRule="auto"/>
        <w:jc w:val="center"/>
      </w:pPr>
      <w:r>
        <w:rPr>
          <w:rFonts w:ascii="Arial" w:hAnsi="Arial" w:eastAsia="Arial"/>
          <w:b/>
          <w:i w:val="0"/>
          <w:color w:val="087F5B"/>
          <w:sz w:val="18"/>
        </w:rPr>
        <w:t>AGRIPARTNERS</w:t>
      </w:r>
    </w:p>
    <w:p>
      <w:pPr>
        <w:spacing w:after="80" w:line="283" w:lineRule="auto"/>
        <w:jc w:val="center"/>
      </w:pPr>
      <w:r>
        <w:rPr>
          <w:rFonts w:ascii="Arial" w:hAnsi="Arial" w:eastAsia="Arial"/>
          <w:b/>
          <w:i w:val="0"/>
          <w:color w:val="17324D"/>
          <w:sz w:val="50"/>
        </w:rPr>
        <w:t>Платформа AgriPartners — краткое объяснение</w:t>
      </w:r>
    </w:p>
    <w:p>
      <w:pPr>
        <w:spacing w:after="280" w:line="283" w:lineRule="auto"/>
        <w:jc w:val="center"/>
      </w:pPr>
      <w:r>
        <w:rPr>
          <w:rFonts w:ascii="Arial" w:hAnsi="Arial" w:eastAsia="Arial"/>
          <w:b w:val="0"/>
          <w:i w:val="0"/>
          <w:color w:val="5E6B78"/>
          <w:sz w:val="25"/>
        </w:rPr>
        <w:t>Alpha v1.2 · прозрачные процессы агроинвестирования · NEAR Testnet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shd w:fill="E8F5E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56246"/>
                <w:sz w:val="19"/>
              </w:rPr>
              <w:t>AgriPartners — Alpha-платформа для организации сельскохозяйственных проектов, подтверждений, отчётности и прозрачности для инвестора. Это презентация и Testnet-демонстрация, а не действующая инвестиционная платформа, кастодиальный сервис или система реальных расчётов.</w:t>
            </w:r>
          </w:p>
        </w:tc>
      </w:tr>
    </w:tbl>
    <w:p>
      <w:pPr>
        <w:spacing w:after="40" w:line="283" w:lineRule="auto"/>
      </w:pPr>
      <w:r>
        <w:rPr>
          <w:rFonts w:ascii="Arial" w:hAnsi="Arial" w:eastAsia="Arial"/>
          <w:b w:val="0"/>
          <w:i w:val="0"/>
          <w:color w:val="17212B"/>
          <w:sz w:val="2"/>
        </w:rPr>
      </w:r>
    </w:p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Проблема и продукт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Агропроекты трудно оценивать, когда бюджеты, этапы, отчёты и подтверждения разрознены.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Инвестору нужна своевременная прозрачность без прямого управления операциями и переводов местным участникам.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Оператору нужен понятный фиатный процесс получения средств, подтверждения работ и возврата выручки.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700"/>
        <w:gridCol w:w="6660"/>
      </w:tblGrid>
      <w:tr>
        <w:tc>
          <w:tcPr>
            <w:tcW w:type="dxa" w:w="4680"/>
            <w:tcW w:w="270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Возможность</w:t>
            </w:r>
          </w:p>
        </w:tc>
        <w:tc>
          <w:tcPr>
            <w:tcW w:type="dxa" w:w="4680"/>
            <w:tcW w:w="666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Ценность</w:t>
            </w:r>
          </w:p>
        </w:tc>
      </w:tr>
      <w:tr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Рабочее пространство проекта</w:t>
            </w:r>
          </w:p>
        </w:tc>
        <w:tc>
          <w:tcPr>
            <w:tcW w:type="dxa" w:w="66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Бюджет, этапы, подтверждения, отчёты, риски и статус в одном процессе.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Кабинет инвестора</w:t>
            </w:r>
          </w:p>
        </w:tc>
        <w:tc>
          <w:tcPr>
            <w:tcW w:type="dxa" w:w="66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Понятный прогресс и аудиторский след без прямого операционного контроля.</w:t>
            </w:r>
          </w:p>
        </w:tc>
      </w:tr>
      <w:tr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Процесс оператора</w:t>
            </w:r>
          </w:p>
        </w:tc>
        <w:tc>
          <w:tcPr>
            <w:tcW w:type="dxa" w:w="66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Фиатные поступления, операционные подтверждения и документы.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Режим презентации</w:t>
            </w:r>
          </w:p>
        </w:tc>
        <w:tc>
          <w:tcPr>
            <w:tcW w:type="dxa" w:w="66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Управляемая демонстрация Alpha v1.2 для инвесторов, партнёров и грантовых экспертов.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Что показывает Alpha v1.2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Ролевой процесс и публичную презентацию.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Концепции проекта, расходов, подтверждений и отчётности.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События NEAR Testnet для демо-аудита и автоматизации на стороне Эстонии/инвестора.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Основу для проверки партнёрами и будущего формально утверждённого пилота.</w:t>
      </w:r>
    </w:p>
    <w:p>
      <w:r>
        <w:br w:type="page"/>
      </w:r>
    </w:p>
    <w:p>
      <w:pPr>
        <w:spacing w:after="60" w:line="283" w:lineRule="auto"/>
        <w:jc w:val="center"/>
      </w:pPr>
      <w:r>
        <w:rPr>
          <w:rFonts w:ascii="Arial" w:hAnsi="Arial" w:eastAsia="Arial"/>
          <w:b/>
          <w:i w:val="0"/>
          <w:color w:val="087F5B"/>
          <w:sz w:val="18"/>
        </w:rPr>
        <w:t>AGRIPARTNERS</w:t>
      </w:r>
    </w:p>
    <w:p>
      <w:pPr>
        <w:spacing w:after="80" w:line="283" w:lineRule="auto"/>
        <w:jc w:val="center"/>
      </w:pPr>
      <w:r>
        <w:rPr>
          <w:rFonts w:ascii="Arial" w:hAnsi="Arial" w:eastAsia="Arial"/>
          <w:b/>
          <w:i w:val="0"/>
          <w:color w:val="17324D"/>
          <w:sz w:val="50"/>
        </w:rPr>
        <w:t>Обязательная финансовая и юридическая граница</w:t>
      </w:r>
    </w:p>
    <w:p>
      <w:pPr>
        <w:spacing w:after="280" w:line="283" w:lineRule="auto"/>
        <w:jc w:val="center"/>
      </w:pPr>
      <w:r>
        <w:rPr>
          <w:rFonts w:ascii="Arial" w:hAnsi="Arial" w:eastAsia="Arial"/>
          <w:b w:val="0"/>
          <w:i w:val="0"/>
          <w:color w:val="5E6B78"/>
          <w:sz w:val="25"/>
        </w:rPr>
        <w:t>Alpha v1.2 · прозрачные процессы агроинвестирования · NEAR Testnet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shd w:fill="E8F5E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56246"/>
                <w:sz w:val="19"/>
              </w:rPr>
              <w:t>Внешний инвестор → AgriPartners OÜ (Эстония) → одобренная конвертация и зачисленный фиат → оператор откормочного комплекса в Узбекистане по отдельному письменному договору. Криптовалюта остаётся в Эстонии. Оператор, роль Farmer, поставщики и сотрудники в Узбекистане получают и возвращают только фиат.</w:t>
            </w:r>
          </w:p>
        </w:tc>
      </w:tr>
    </w:tbl>
    <w:p>
      <w:pPr>
        <w:spacing w:after="40" w:line="283" w:lineRule="auto"/>
      </w:pPr>
      <w:r>
        <w:rPr>
          <w:rFonts w:ascii="Arial" w:hAnsi="Arial" w:eastAsia="Arial"/>
          <w:b w:val="0"/>
          <w:i w:val="0"/>
          <w:color w:val="17212B"/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4080"/>
        <w:gridCol w:w="3480"/>
      </w:tblGrid>
      <w:tr>
        <w:tc>
          <w:tcPr>
            <w:tcW w:type="dxa" w:w="3120"/>
            <w:tcW w:w="180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Этап</w:t>
            </w:r>
          </w:p>
        </w:tc>
        <w:tc>
          <w:tcPr>
            <w:tcW w:type="dxa" w:w="3120"/>
            <w:tcW w:w="408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Что происходит</w:t>
            </w:r>
          </w:p>
        </w:tc>
        <w:tc>
          <w:tcPr>
            <w:tcW w:type="dxa" w:w="3120"/>
            <w:tcW w:w="348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Официальные подтверждения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1. Финансирование</w:t>
            </w:r>
          </w:p>
        </w:tc>
        <w:tc>
          <w:tcPr>
            <w:tcW w:type="dxa" w:w="408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Инвестор заключает договор с AgriPartners OÜ; разрешённые средства поступают в Эстонии.</w:t>
            </w:r>
          </w:p>
        </w:tc>
        <w:tc>
          <w:tcPr>
            <w:tcW w:type="dxa" w:w="348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Договор, записи провайдера и учёта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2. Конвертация</w:t>
            </w:r>
          </w:p>
        </w:tc>
        <w:tc>
          <w:tcPr>
            <w:tcW w:type="dxa" w:w="408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Разрешённая криптовалюта конвертируется через одобренную инфраструктуру; фиат должен быть зачислен.</w:t>
            </w:r>
          </w:p>
        </w:tc>
        <w:tc>
          <w:tcPr>
            <w:tcW w:type="dxa" w:w="348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Провайдер, банк и сверка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3. Финансирование оператора</w:t>
            </w:r>
          </w:p>
        </w:tc>
        <w:tc>
          <w:tcPr>
            <w:tcW w:type="dxa" w:w="408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AgriPartners OÜ переводит оператору в Узбекистане только фиат по отдельному договору.</w:t>
            </w:r>
          </w:p>
        </w:tc>
        <w:tc>
          <w:tcPr>
            <w:tcW w:type="dxa" w:w="348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Договор оператора и банковские записи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4. Операции</w:t>
            </w:r>
          </w:p>
        </w:tc>
        <w:tc>
          <w:tcPr>
            <w:tcW w:type="dxa" w:w="408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Оператор выполняет работы и предоставляет отчёты, счета и подтверждения.</w:t>
            </w:r>
          </w:p>
        </w:tc>
        <w:tc>
          <w:tcPr>
            <w:tcW w:type="dxa" w:w="348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Операционные, ветеринарные и бухгалтерские документы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5. Выручка</w:t>
            </w:r>
          </w:p>
        </w:tc>
        <w:tc>
          <w:tcPr>
            <w:tcW w:type="dxa" w:w="408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Узбекистан возвращает разрешённую выручку только по фиатным каналам.</w:t>
            </w:r>
          </w:p>
        </w:tc>
        <w:tc>
          <w:tcPr>
            <w:tcW w:type="dxa" w:w="348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Банк, бухгалтерия и сверка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6. Расчёт</w:t>
            </w:r>
          </w:p>
        </w:tc>
        <w:tc>
          <w:tcPr>
            <w:tcW w:type="dxa" w:w="408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AgriPartners OÜ определяет расчёт с инвестором по действующим договорам.</w:t>
            </w:r>
          </w:p>
        </w:tc>
        <w:tc>
          <w:tcPr>
            <w:tcW w:type="dxa" w:w="348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Договоры, учёт и документы расчёта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shd w:fill="E8F5E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56246"/>
                <w:sz w:val="19"/>
              </w:rPr>
              <w:t>Запись NEAR не заменяет договоры, банковские выписки, бухгалтерский учёт, сверку, счета и доказательство зачисления фиата. Прямые криптопереводы участникам в Узбекистане запрещены.</w:t>
            </w:r>
          </w:p>
        </w:tc>
      </w:tr>
    </w:tbl>
    <w:p>
      <w:pPr>
        <w:spacing w:after="40" w:line="283" w:lineRule="auto"/>
      </w:pPr>
      <w:r>
        <w:rPr>
          <w:rFonts w:ascii="Arial" w:hAnsi="Arial" w:eastAsia="Arial"/>
          <w:b w:val="0"/>
          <w:i w:val="0"/>
          <w:color w:val="17212B"/>
          <w:sz w:val="2"/>
        </w:rPr>
      </w:r>
    </w:p>
    <w:p>
      <w:r>
        <w:br w:type="page"/>
      </w:r>
    </w:p>
    <w:p>
      <w:pPr>
        <w:spacing w:after="60" w:line="283" w:lineRule="auto"/>
        <w:jc w:val="center"/>
      </w:pPr>
      <w:r>
        <w:rPr>
          <w:rFonts w:ascii="Arial" w:hAnsi="Arial" w:eastAsia="Arial"/>
          <w:b/>
          <w:i w:val="0"/>
          <w:color w:val="087F5B"/>
          <w:sz w:val="18"/>
        </w:rPr>
        <w:t>AGRIPARTNERS</w:t>
      </w:r>
    </w:p>
    <w:p>
      <w:pPr>
        <w:spacing w:after="80" w:line="283" w:lineRule="auto"/>
        <w:jc w:val="center"/>
      </w:pPr>
      <w:r>
        <w:rPr>
          <w:rFonts w:ascii="Arial" w:hAnsi="Arial" w:eastAsia="Arial"/>
          <w:b/>
          <w:i w:val="0"/>
          <w:color w:val="17324D"/>
          <w:sz w:val="50"/>
        </w:rPr>
        <w:t>Роли и ценность</w:t>
      </w:r>
    </w:p>
    <w:p>
      <w:pPr>
        <w:spacing w:after="280" w:line="283" w:lineRule="auto"/>
        <w:jc w:val="center"/>
      </w:pPr>
      <w:r>
        <w:rPr>
          <w:rFonts w:ascii="Arial" w:hAnsi="Arial" w:eastAsia="Arial"/>
          <w:b w:val="0"/>
          <w:i w:val="0"/>
          <w:color w:val="5E6B78"/>
          <w:sz w:val="25"/>
        </w:rPr>
        <w:t>Alpha v1.2 · прозрачные процессы агроинвестирования · NEAR Testnet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500"/>
        <w:gridCol w:w="6860"/>
      </w:tblGrid>
      <w:tr>
        <w:tc>
          <w:tcPr>
            <w:tcW w:type="dxa" w:w="4680"/>
            <w:tcW w:w="250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Роль</w:t>
            </w:r>
          </w:p>
        </w:tc>
        <w:tc>
          <w:tcPr>
            <w:tcW w:type="dxa" w:w="4680"/>
            <w:tcW w:w="686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Ценность и ответственность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Внешний инвестор</w:t>
            </w:r>
          </w:p>
        </w:tc>
        <w:tc>
          <w:tcPr>
            <w:tcW w:type="dxa" w:w="68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Договор только с AgriPartners OÜ; структурированная прозрачность и отчётность.</w:t>
            </w:r>
          </w:p>
        </w:tc>
      </w:tr>
      <w:tr>
        <w:tc>
          <w:tcPr>
            <w:tcW w:type="dxa" w:w="25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AgriPartners OÜ</w:t>
            </w:r>
          </w:p>
        </w:tc>
        <w:tc>
          <w:tcPr>
            <w:tcW w:type="dxa" w:w="68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Центральный юридический контрагент; управление, конвертация, банк, учёт и сверка.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Оператор в Узбекистане</w:t>
            </w:r>
          </w:p>
        </w:tc>
        <w:tc>
          <w:tcPr>
            <w:tcW w:type="dxa" w:w="68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Отдельный договор; фиатная операционная организация, ответственная за результат и документы.</w:t>
            </w:r>
          </w:p>
        </w:tc>
      </w:tr>
      <w:tr>
        <w:tc>
          <w:tcPr>
            <w:tcW w:type="dxa" w:w="25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Роль Farmer</w:t>
            </w:r>
          </w:p>
        </w:tc>
        <w:tc>
          <w:tcPr>
            <w:tcW w:type="dxa" w:w="68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Операционная работа, отчёты и подтверждения; без кошелька и криптотранзакций.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Партнёры</w:t>
            </w:r>
          </w:p>
        </w:tc>
        <w:tc>
          <w:tcPr>
            <w:tcW w:type="dxa" w:w="68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Юридические, банковские, платёжные, бухгалтерские, ветеринарные и операционные услуги после утверждения.</w:t>
            </w:r>
          </w:p>
        </w:tc>
      </w:tr>
      <w:tr>
        <w:tc>
          <w:tcPr>
            <w:tcW w:type="dxa" w:w="25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NEAR</w:t>
            </w:r>
          </w:p>
        </w:tc>
        <w:tc>
          <w:tcPr>
            <w:tcW w:type="dxa" w:w="68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Testnet-аудит и автоматизация на стороне Эстонии/инвестора.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Зачем NEAR — и где предел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Демонстрация состояний процесса и событий со временем.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Эксперименты с автоматизацией и проверяемыми хешами утверждённых подтверждений.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Обратная связь экосистемы и техническая проверка Alpha.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Без хранения средств, юридического титула, замены официальных документов и кошельков для Узбекистана.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shd w:fill="E8F5E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56246"/>
                <w:sz w:val="19"/>
              </w:rPr>
              <w:t>Запись NEAR не заменяет договоры, банковские выписки, бухгалтерский учёт, сверку, счета и доказательство зачисления фиата. Прямые криптопереводы участникам в Узбекистане запрещены.</w:t>
            </w:r>
          </w:p>
        </w:tc>
      </w:tr>
    </w:tbl>
    <w:p>
      <w:pPr>
        <w:spacing w:after="40" w:line="283" w:lineRule="auto"/>
      </w:pPr>
      <w:r>
        <w:rPr>
          <w:rFonts w:ascii="Arial" w:hAnsi="Arial" w:eastAsia="Arial"/>
          <w:b w:val="0"/>
          <w:i w:val="0"/>
          <w:color w:val="17212B"/>
          <w:sz w:val="2"/>
        </w:rPr>
      </w:r>
    </w:p>
    <w:p>
      <w:r>
        <w:br w:type="page"/>
      </w:r>
    </w:p>
    <w:p>
      <w:pPr>
        <w:spacing w:after="60" w:line="283" w:lineRule="auto"/>
        <w:jc w:val="center"/>
      </w:pPr>
      <w:r>
        <w:rPr>
          <w:rFonts w:ascii="Arial" w:hAnsi="Arial" w:eastAsia="Arial"/>
          <w:b/>
          <w:i w:val="0"/>
          <w:color w:val="087F5B"/>
          <w:sz w:val="18"/>
        </w:rPr>
        <w:t>AGRIPARTNERS</w:t>
      </w:r>
    </w:p>
    <w:p>
      <w:pPr>
        <w:spacing w:after="80" w:line="283" w:lineRule="auto"/>
        <w:jc w:val="center"/>
      </w:pPr>
      <w:r>
        <w:rPr>
          <w:rFonts w:ascii="Arial" w:hAnsi="Arial" w:eastAsia="Arial"/>
          <w:b/>
          <w:i w:val="0"/>
          <w:color w:val="17324D"/>
          <w:sz w:val="50"/>
        </w:rPr>
        <w:t>Статус, риски и следующее решение</w:t>
      </w:r>
    </w:p>
    <w:p>
      <w:pPr>
        <w:spacing w:after="280" w:line="283" w:lineRule="auto"/>
        <w:jc w:val="center"/>
      </w:pPr>
      <w:r>
        <w:rPr>
          <w:rFonts w:ascii="Arial" w:hAnsi="Arial" w:eastAsia="Arial"/>
          <w:b w:val="0"/>
          <w:i w:val="0"/>
          <w:color w:val="5E6B78"/>
          <w:sz w:val="25"/>
        </w:rPr>
        <w:t>Alpha v1.2 · прозрачные процессы агроинвестирования · NEAR Testnet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c>
          <w:tcPr>
            <w:tcW w:type="dxa" w:w="4680"/>
            <w:tcW w:w="220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Область</w:t>
            </w:r>
          </w:p>
        </w:tc>
        <w:tc>
          <w:tcPr>
            <w:tcW w:type="dxa" w:w="4680"/>
            <w:tcW w:w="716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Положение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Сейчас</w:t>
            </w:r>
          </w:p>
        </w:tc>
        <w:tc>
          <w:tcPr>
            <w:tcW w:type="dxa" w:w="71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Презентационный релиз Alpha v1.2 на NEAR Testnet.</w:t>
            </w:r>
          </w:p>
        </w:tc>
      </w:tr>
      <w:tr>
        <w:tc>
          <w:tcPr>
            <w:tcW w:type="dxa" w:w="22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Не сейчас</w:t>
            </w:r>
          </w:p>
        </w:tc>
        <w:tc>
          <w:tcPr>
            <w:tcW w:type="dxa" w:w="71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Mainnet, реальные средства, custody, лицензированная инвестиционная или коммерческая деятельность.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Основные риски</w:t>
            </w:r>
          </w:p>
        </w:tc>
        <w:tc>
          <w:tcPr>
            <w:tcW w:type="dxa" w:w="71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Право и регулирование, контрагенты, скот, рыночные цены, FX, качество подтверждений, исполнение и ликвидность.</w:t>
            </w:r>
          </w:p>
        </w:tc>
      </w:tr>
      <w:tr>
        <w:tc>
          <w:tcPr>
            <w:tcW w:type="dxa" w:w="22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Условие пилота</w:t>
            </w:r>
          </w:p>
        </w:tc>
        <w:tc>
          <w:tcPr>
            <w:tcW w:type="dxa" w:w="71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Финансирование, выбранные партнёры, утверждённые договоры, провайдеры, контроль и юридическая проверка.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Рекомендуемые следующие шаги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Проверить процесс с инвесторами, операторами и профессиональными консультантами.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Подтвердить выбранного оператора, поставщиков, ветеринарный контроль и стандарты документов.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Утвердить банковскую, платёжную, бухгалтерскую, комплаенс- и crypto-to-fiat инфраструктуру в Эстонии.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Подписать отдельные договоры с инвестором и оператором до движения реальных средств.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Сохранять Alpha v1.2 в режиме Testnet-презентации до формального утверждения пилота.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shd w:fill="E8F5E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56246"/>
                <w:sz w:val="19"/>
              </w:rPr>
              <w:t>Сегодня AgriPartners следует оценивать как прозрачную Alpha-платформу для агропроцессов и подтверждений, а не как действующий инвестиционный продукт.</w:t>
            </w:r>
          </w:p>
        </w:tc>
      </w:tr>
    </w:tbl>
    <w:p>
      <w:pPr>
        <w:spacing w:after="40" w:line="283" w:lineRule="auto"/>
      </w:pPr>
      <w:r>
        <w:rPr>
          <w:rFonts w:ascii="Arial" w:hAnsi="Arial" w:eastAsia="Arial"/>
          <w:b w:val="0"/>
          <w:i w:val="0"/>
          <w:color w:val="17212B"/>
          <w:sz w:val="2"/>
        </w:rPr>
      </w:r>
    </w:p>
    <w:p>
      <w:pPr>
        <w:spacing w:after="80" w:line="283" w:lineRule="auto"/>
      </w:pPr>
      <w:r>
        <w:rPr>
          <w:rFonts w:ascii="Arial" w:hAnsi="Arial" w:eastAsia="Arial"/>
          <w:b w:val="0"/>
          <w:i w:val="0"/>
          <w:color w:val="5E6B78"/>
          <w:sz w:val="18"/>
        </w:rPr>
        <w:t>agripartners.vercel.app · github.com/farabek/agripartners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E6B78"/>
        <w:sz w:val="16"/>
      </w:rPr>
      <w:t>AgriPartners · Alpha v1.2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/>
        <w:i w:val="0"/>
        <w:color w:val="5E6B78"/>
        <w:sz w:val="16"/>
      </w:rPr>
      <w:t>AgriPartners | Platform Explained | RU | Alpha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562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562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562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Платформа AgriPartners — краткое объяснение</dc:title>
  <dc:subject>AgriPartners Alpha v1.2 public platform overview</dc:subject>
  <dc:creator>AgriPartners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