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00695C"/>
          <w:sz w:val="18"/>
        </w:rPr>
        <w:t>FARMER GUIDE</w:t>
      </w:r>
    </w:p>
    <w:p>
      <w:pPr>
        <w:spacing w:before="0" w:after="40" w:line="300" w:lineRule="auto"/>
        <w:jc w:val="center"/>
      </w:pPr>
      <w:r>
        <w:rPr>
          <w:rFonts w:ascii="Calibri" w:hAnsi="Calibri"/>
          <w:b/>
          <w:i w:val="0"/>
          <w:color w:val="004D40"/>
          <w:sz w:val="48"/>
        </w:rPr>
        <w:t>AgriPartners</w:t>
      </w:r>
    </w:p>
    <w:p>
      <w:pPr>
        <w:spacing w:before="0" w:after="60" w:line="300" w:lineRule="auto"/>
        <w:jc w:val="center"/>
      </w:pPr>
      <w:r>
        <w:rPr>
          <w:rFonts w:ascii="Calibri" w:hAnsi="Calibri"/>
          <w:b/>
          <w:i w:val="0"/>
          <w:color w:val="17212B"/>
          <w:sz w:val="30"/>
        </w:rPr>
        <w:t>Fidlot Livestock Fattening</w:t>
      </w:r>
    </w:p>
    <w:p>
      <w:pPr>
        <w:spacing w:before="0" w:after="240" w:line="300" w:lineRule="auto"/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v5.9 | 7 cycles x 5 months | 60/40 split | Fee 20% | EN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04D40"/>
                <w:sz w:val="18"/>
              </w:rPr>
              <w:t>Demonstration financial model. All figures are projections, do not guarantee returns, and do not constitute a public offer to invest.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7"/>
              </w:rPr>
              <w:t>First payment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7"/>
              </w:rPr>
              <w:t>Cash received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7"/>
              </w:rPr>
              <w:t>Total benefit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7"/>
              </w:rPr>
              <w:t>Cycles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4D40"/>
                <w:sz w:val="34"/>
              </w:rPr>
              <w:t>$15,250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4D40"/>
                <w:sz w:val="34"/>
              </w:rPr>
              <w:t>$96,250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4D40"/>
                <w:sz w:val="34"/>
              </w:rPr>
              <w:t>$114,250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4D40"/>
                <w:sz w:val="34"/>
              </w:rPr>
              <w:t>7 x 5</w:t>
            </w:r>
          </w:p>
        </w:tc>
      </w:tr>
    </w:tbl>
    <w:p>
      <w:pPr>
        <w:spacing w:after="40"/>
      </w:pPr>
    </w:p>
    <w:p>
      <w:pPr>
        <w:pStyle w:val="Heading1"/>
      </w:pPr>
      <w:r>
        <w:t>1. Model mechanics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color w:val="17212B"/>
          <w:sz w:val="21"/>
        </w:rPr>
        <w:t>The company funds 50 young animals, the feedlot facility, and working capital. The farmer provides land, labor, and operating management. The farmer receives 60% of net profit and pays worker salary and transport from the farmer share.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746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Item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$20,000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Initial livestock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$18,000</w:t>
            </w:r>
          </w:p>
        </w:tc>
        <w:tc>
          <w:tcPr>
            <w:tcW w:type="dxa" w:w="74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Feedlot facility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$12,000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Working reserve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$50,000</w:t>
            </w:r>
          </w:p>
        </w:tc>
        <w:tc>
          <w:tcPr>
            <w:tcW w:type="dxa" w:w="74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TOTAL</w:t>
            </w:r>
          </w:p>
        </w:tc>
      </w:tr>
    </w:tbl>
    <w:p>
      <w:pPr>
        <w:spacing w:after="40"/>
      </w:pPr>
    </w:p>
    <w:p>
      <w:pPr>
        <w:pStyle w:val="Heading1"/>
      </w:pPr>
      <w:r>
        <w:t>2. Cycle economics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00"/>
        <w:gridCol w:w="1500"/>
        <w:gridCol w:w="1700"/>
        <w:gridCol w:w="1700"/>
        <w:gridCol w:w="2210"/>
      </w:tblGrid>
      <w:tr>
        <w:trPr>
          <w:tblHeader w:val="true"/>
        </w:trPr>
        <w:tc>
          <w:tcPr>
            <w:tcW w:type="dxa" w:w="8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Cycle</w:t>
            </w:r>
          </w:p>
        </w:tc>
        <w:tc>
          <w:tcPr>
            <w:tcW w:type="dxa" w:w="14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Revenue</w:t>
            </w:r>
          </w:p>
        </w:tc>
        <w:tc>
          <w:tcPr>
            <w:tcW w:type="dxa" w:w="15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Net profit</w:t>
            </w:r>
          </w:p>
        </w:tc>
        <w:tc>
          <w:tcPr>
            <w:tcW w:type="dxa" w:w="17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Farmer share 60%</w:t>
            </w:r>
          </w:p>
        </w:tc>
        <w:tc>
          <w:tcPr>
            <w:tcW w:type="dxa" w:w="17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Salary + transport</w:t>
            </w:r>
          </w:p>
        </w:tc>
        <w:tc>
          <w:tcPr>
            <w:tcW w:type="dxa" w:w="221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Farmer take-home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1-2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$50,000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$30,000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$18,000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$2,750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$15,250</w:t>
            </w:r>
          </w:p>
        </w:tc>
      </w:tr>
      <w:tr>
        <w:tc>
          <w:tcPr>
            <w:tcW w:type="dxa" w:w="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3-7</w:t>
            </w:r>
          </w:p>
        </w:tc>
        <w:tc>
          <w:tcPr>
            <w:tcW w:type="dxa" w:w="14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$50,000</w:t>
            </w:r>
          </w:p>
        </w:tc>
        <w:tc>
          <w:tcPr>
            <w:tcW w:type="dxa" w:w="1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$26,500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$15,900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$2,750</w:t>
            </w:r>
          </w:p>
        </w:tc>
        <w:tc>
          <w:tcPr>
            <w:tcW w:type="dxa" w:w="221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$13,150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Cash-flow schedule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2500"/>
        <w:gridCol w:w="2760"/>
      </w:tblGrid>
      <w:tr>
        <w:trPr>
          <w:tblHeader w:val="true"/>
        </w:trPr>
        <w:tc>
          <w:tcPr>
            <w:tcW w:type="dxa" w:w="18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Cycle</w:t>
            </w:r>
          </w:p>
        </w:tc>
        <w:tc>
          <w:tcPr>
            <w:tcW w:type="dxa" w:w="23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Period</w:t>
            </w:r>
          </w:p>
        </w:tc>
        <w:tc>
          <w:tcPr>
            <w:tcW w:type="dxa" w:w="25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Farmer take-home</w:t>
            </w:r>
          </w:p>
        </w:tc>
        <w:tc>
          <w:tcPr>
            <w:tcW w:type="dxa" w:w="276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Cumulative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0-5 months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$15,250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$15,250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2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5-10 months</w:t>
            </w:r>
          </w:p>
        </w:tc>
        <w:tc>
          <w:tcPr>
            <w:tcW w:type="dxa" w:w="2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$15,250</w:t>
            </w:r>
          </w:p>
        </w:tc>
        <w:tc>
          <w:tcPr>
            <w:tcW w:type="dxa" w:w="27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$30,500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3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10-15 months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$13,150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$43,650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15-20 months</w:t>
            </w:r>
          </w:p>
        </w:tc>
        <w:tc>
          <w:tcPr>
            <w:tcW w:type="dxa" w:w="2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$13,150</w:t>
            </w:r>
          </w:p>
        </w:tc>
        <w:tc>
          <w:tcPr>
            <w:tcW w:type="dxa" w:w="27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$56,800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20-25 months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$13,150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$69,950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6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25-30 months</w:t>
            </w:r>
          </w:p>
        </w:tc>
        <w:tc>
          <w:tcPr>
            <w:tcW w:type="dxa" w:w="2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$13,150</w:t>
            </w:r>
          </w:p>
        </w:tc>
        <w:tc>
          <w:tcPr>
            <w:tcW w:type="dxa" w:w="27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$83,100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7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30-35 months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$13,150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$96,250</w:t>
            </w:r>
          </w:p>
        </w:tc>
      </w:tr>
    </w:tbl>
    <w:p>
      <w:pPr>
        <w:spacing w:after="40"/>
      </w:pPr>
    </w:p>
    <w:p>
      <w:pPr>
        <w:pStyle w:val="Heading1"/>
      </w:pPr>
      <w:r>
        <w:t>4. Final outcome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286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Farmer gross share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$115,500</w:t>
            </w:r>
          </w:p>
        </w:tc>
      </w:tr>
      <w:tr>
        <w:tc>
          <w:tcPr>
            <w:tcW w:type="dxa" w:w="6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Worker salary</w:t>
            </w:r>
          </w:p>
        </w:tc>
        <w:tc>
          <w:tcPr>
            <w:tcW w:type="dxa" w:w="28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-$12,250</w:t>
            </w:r>
          </w:p>
        </w:tc>
      </w:tr>
      <w:tr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Transport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-$7,000</w:t>
            </w:r>
          </w:p>
        </w:tc>
      </w:tr>
      <w:tr>
        <w:tc>
          <w:tcPr>
            <w:tcW w:type="dxa" w:w="6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Cash received</w:t>
            </w:r>
          </w:p>
        </w:tc>
        <w:tc>
          <w:tcPr>
            <w:tcW w:type="dxa" w:w="28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$96,250</w:t>
            </w:r>
          </w:p>
        </w:tc>
      </w:tr>
      <w:tr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Property transferred to farmer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$18,000</w:t>
            </w:r>
          </w:p>
        </w:tc>
      </w:tr>
      <w:tr>
        <w:tc>
          <w:tcPr>
            <w:tcW w:type="dxa" w:w="6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Total benefit</w:t>
            </w:r>
          </w:p>
        </w:tc>
        <w:tc>
          <w:tcPr>
            <w:tcW w:type="dxa" w:w="286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$114,250</w:t>
            </w:r>
          </w:p>
        </w:tc>
      </w:tr>
    </w:tbl>
    <w:p>
      <w:pPr>
        <w:spacing w:after="40"/>
      </w:pPr>
    </w:p>
    <w:p>
      <w:pPr>
        <w:pStyle w:val="Heading1"/>
      </w:pPr>
      <w:r>
        <w:t>5. Key terms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17212B"/>
          <w:sz w:val="21"/>
        </w:rPr>
        <w:t>The 60/40 split applies to net profit after pre-split costs.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17212B"/>
          <w:sz w:val="21"/>
        </w:rPr>
        <w:t>The 20% performance fee applies only to the investor's 40% share.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17212B"/>
          <w:sz w:val="21"/>
        </w:rPr>
        <w:t>Figures are rounded to the nearest dollar; actual results may differ.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17212B"/>
          <w:sz w:val="21"/>
        </w:rPr>
        <w:t>Model duration: 35 months.</w:t>
      </w:r>
    </w:p>
    <w:p>
      <w:pPr>
        <w:spacing w:before="160" w:after="80" w:line="300" w:lineRule="auto"/>
      </w:pPr>
      <w:r>
        <w:rPr>
          <w:rFonts w:ascii="Calibri" w:hAnsi="Calibri"/>
          <w:b w:val="0"/>
          <w:i/>
          <w:color w:val="667085"/>
          <w:sz w:val="17"/>
        </w:rPr>
        <w:t>Model source: AgriPartners 60/40 financial model.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04D40"/>
                <w:sz w:val="18"/>
              </w:rPr>
              <w:t>Demonstration financial model. All figures are projections, do not guarantee returns, and do not constitute a public offer to invest.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667085"/>
        <w:sz w:val="16"/>
      </w:rPr>
      <w:t>AgriPartners | Farmer Guide | v5.9 | 60/40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9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9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69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Farmer Guide - Fidlot Livestock Fattening - EN</dc:title>
  <dc:subject>AgriPartners 60/40 demonstration financial model</dc:subject>
  <dc:creator>AgriPartners</dc:creator>
  <cp:keywords>AgriPartners, 60/40, agriculture, financial model</cp:keywords>
  <dc:description>generated by python-docx</dc:description>
  <cp:lastModifiedBy>AgriPartners</cp:lastModifiedBy>
  <cp:revision>1</cp:revision>
  <dcterms:created xsi:type="dcterms:W3CDTF">2013-12-23T23:15:00Z</dcterms:created>
  <dcterms:modified xsi:type="dcterms:W3CDTF">2013-12-23T23:15:00Z</dcterms:modified>
  <cp:category/>
</cp:coreProperties>
</file>