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00695C"/>
          <w:sz w:val="18"/>
        </w:rPr>
        <w:t>INVESTMENT MODEL</w:t>
      </w:r>
    </w:p>
    <w:p>
      <w:pPr>
        <w:spacing w:before="0" w:after="40" w:line="300" w:lineRule="auto"/>
        <w:jc w:val="center"/>
      </w:pPr>
      <w:r>
        <w:rPr>
          <w:rFonts w:ascii="Calibri" w:hAnsi="Calibri"/>
          <w:b/>
          <w:i w:val="0"/>
          <w:color w:val="004D40"/>
          <w:sz w:val="48"/>
        </w:rPr>
        <w:t>AgriPartners</w:t>
      </w:r>
    </w:p>
    <w:p>
      <w:pPr>
        <w:spacing w:before="0" w:after="60" w:line="300" w:lineRule="auto"/>
        <w:jc w:val="center"/>
      </w:pPr>
      <w:r>
        <w:rPr>
          <w:rFonts w:ascii="Calibri" w:hAnsi="Calibri"/>
          <w:b/>
          <w:i w:val="0"/>
          <w:color w:val="17212B"/>
          <w:sz w:val="30"/>
        </w:rPr>
        <w:t>Hissar Sheep Breeding</w:t>
      </w:r>
    </w:p>
    <w:p>
      <w:pPr>
        <w:spacing w:before="0" w:after="240" w:line="300" w:lineRule="auto"/>
        <w:jc w:val="center"/>
      </w:pPr>
      <w:r>
        <w:rPr>
          <w:rFonts w:ascii="Calibri" w:hAnsi="Calibri"/>
          <w:b w:val="0"/>
          <w:i w:val="0"/>
          <w:color w:val="667085"/>
          <w:sz w:val="20"/>
        </w:rPr>
        <w:t>VariantB v2.1 | 6 cycles x 6 months | 60/40 split | Fee 20% | EN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Initial investment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Investor payout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Annual APR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Net ROI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$50,000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$81,672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~21.1%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+63.3%</w:t>
            </w:r>
          </w:p>
        </w:tc>
      </w:tr>
    </w:tbl>
    <w:p>
      <w:pPr>
        <w:spacing w:after="40"/>
      </w:pPr>
    </w:p>
    <w:p>
      <w:pPr>
        <w:pStyle w:val="Heading1"/>
      </w:pPr>
      <w:r>
        <w:t>1. Model mechanics</w:t>
      </w:r>
    </w:p>
    <w:p>
      <w:pPr>
        <w:spacing w:before="0" w:after="160" w:line="300" w:lineRule="auto"/>
      </w:pPr>
      <w:r>
        <w:rPr>
          <w:rFonts w:ascii="Calibri" w:hAnsi="Calibri"/>
          <w:b w:val="0"/>
          <w:i w:val="0"/>
          <w:color w:val="17212B"/>
          <w:sz w:val="21"/>
        </w:rPr>
        <w:t>The investor funds 38 breeding ewes at $700 each, a sheep shelter, and an OpEx reserve. The farmer sells 34 young animals every six months. Net profit is split 60/40. A 20% performance fee applies only to the investor share; herd payments return capital without a fee.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74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$26,600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38 breeding ewes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Sheep shelter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$5,400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OpEx reserve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7212B"/>
                <w:sz w:val="17"/>
              </w:rPr>
              <w:t>TOTAL</w:t>
            </w:r>
          </w:p>
        </w:tc>
      </w:tr>
    </w:tbl>
    <w:p>
      <w:pPr>
        <w:spacing w:after="40"/>
      </w:pPr>
    </w:p>
    <w:p>
      <w:pPr>
        <w:pStyle w:val="Heading1"/>
      </w:pPr>
      <w:r>
        <w:t>2. Cycle economics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150"/>
        <w:gridCol w:w="1150"/>
        <w:gridCol w:w="1150"/>
        <w:gridCol w:w="1200"/>
        <w:gridCol w:w="1200"/>
        <w:gridCol w:w="1050"/>
        <w:gridCol w:w="1710"/>
      </w:tblGrid>
      <w:tr>
        <w:trPr>
          <w:tblHeader w:val="true"/>
        </w:trPr>
        <w:tc>
          <w:tcPr>
            <w:tcW w:type="dxa" w:w="7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Revenue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Pre-split costs</w:t>
            </w:r>
          </w:p>
        </w:tc>
        <w:tc>
          <w:tcPr>
            <w:tcW w:type="dxa" w:w="11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Farmer share 60%</w:t>
            </w:r>
          </w:p>
        </w:tc>
        <w:tc>
          <w:tcPr>
            <w:tcW w:type="dxa" w:w="12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Investor share 40%</w:t>
            </w:r>
          </w:p>
        </w:tc>
        <w:tc>
          <w:tcPr>
            <w:tcW w:type="dxa" w:w="10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Fee 20%</w:t>
            </w:r>
          </w:p>
        </w:tc>
        <w:tc>
          <w:tcPr>
            <w:tcW w:type="dxa" w:w="171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Investor net payment</w:t>
            </w:r>
          </w:p>
        </w:tc>
      </w:tr>
      <w:tr>
        <w:tc>
          <w:tcPr>
            <w:tcW w:type="dxa" w:w="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1-2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$0</w:t>
            </w:r>
          </w:p>
        </w:tc>
        <w:tc>
          <w:tcPr>
            <w:tcW w:type="dxa" w:w="11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$18,360</w:t>
            </w:r>
          </w:p>
        </w:tc>
        <w:tc>
          <w:tcPr>
            <w:tcW w:type="dxa" w:w="1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$12,240</w:t>
            </w:r>
          </w:p>
        </w:tc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$2,448</w:t>
            </w:r>
          </w:p>
        </w:tc>
        <w:tc>
          <w:tcPr>
            <w:tcW w:type="dxa" w:w="17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</w:tr>
      <w:tr>
        <w:tc>
          <w:tcPr>
            <w:tcW w:type="dxa" w:w="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3-6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$6,000</w:t>
            </w:r>
          </w:p>
        </w:tc>
        <w:tc>
          <w:tcPr>
            <w:tcW w:type="dxa" w:w="11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$14,760</w:t>
            </w:r>
          </w:p>
        </w:tc>
        <w:tc>
          <w:tcPr>
            <w:tcW w:type="dxa" w:w="12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$9,840</w:t>
            </w:r>
          </w:p>
        </w:tc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$1,968</w:t>
            </w:r>
          </w:p>
        </w:tc>
        <w:tc>
          <w:tcPr>
            <w:tcW w:type="dxa" w:w="171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$7,872 + $2,500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Cash-flow schedule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900"/>
        <w:gridCol w:w="1900"/>
        <w:gridCol w:w="1900"/>
        <w:gridCol w:w="2260"/>
      </w:tblGrid>
      <w:tr>
        <w:trPr>
          <w:tblHeader w:val="true"/>
        </w:trPr>
        <w:tc>
          <w:tcPr>
            <w:tcW w:type="dxa" w:w="14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Payment</w:t>
            </w:r>
          </w:p>
        </w:tc>
        <w:tc>
          <w:tcPr>
            <w:tcW w:type="dxa" w:w="22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0-6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6-12 months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$9,792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$19,584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12-18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$29,956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4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18-24 months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$40,328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24-30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$50,700</w:t>
            </w:r>
          </w:p>
        </w:tc>
      </w:tr>
      <w:tr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30-36 months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$10,372</w:t>
            </w:r>
          </w:p>
        </w:tc>
        <w:tc>
          <w:tcPr>
            <w:tcW w:type="dxa" w:w="22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$61,072</w:t>
            </w:r>
          </w:p>
        </w:tc>
      </w:tr>
      <w:tr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At completion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36 months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-</w:t>
            </w:r>
          </w:p>
        </w:tc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$20,600</w:t>
            </w:r>
          </w:p>
        </w:tc>
        <w:tc>
          <w:tcPr>
            <w:tcW w:type="dxa" w:w="22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$81,672</w:t>
            </w:r>
          </w:p>
        </w:tc>
      </w:tr>
    </w:tbl>
    <w:p>
      <w:pPr>
        <w:spacing w:after="40"/>
      </w:pPr>
    </w:p>
    <w:p>
      <w:pPr>
        <w:pStyle w:val="Heading1"/>
      </w:pPr>
      <w:r>
        <w:t>4. Final outcome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28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Initial investment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Investor payout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$81,672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Investor profit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$31,672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Net ROI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+63.3%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Annual APR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~21.1%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Figures are rounded to the nearest dollar; actual results may differ.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Model duration: 36 months.</w:t>
      </w:r>
    </w:p>
    <w:p>
      <w:pPr>
        <w:spacing w:before="160" w:after="80" w:line="300" w:lineRule="auto"/>
      </w:pPr>
      <w:r>
        <w:rPr>
          <w:rFonts w:ascii="Calibri" w:hAnsi="Calibri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Calibri" w:hAnsi="Calibri"/>
        <w:b/>
        <w:i w:val="0"/>
        <w:color w:val="667085"/>
        <w:sz w:val="16"/>
      </w:rPr>
      <w:t>AgriPartners | Investment Model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69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69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69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Investment Model - Hissar Sheep Breeding - EN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