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300" w:lineRule="auto"/>
        <w:jc w:val="center"/>
      </w:pPr>
      <w:r>
        <w:rPr>
          <w:rFonts w:ascii="Calibri" w:hAnsi="Calibri"/>
          <w:b/>
          <w:i w:val="0"/>
          <w:color w:val="00695C"/>
          <w:sz w:val="18"/>
        </w:rPr>
        <w:t>ИНВЕСТИЦИОННАЯ МОДЕЛЬ</w:t>
      </w:r>
    </w:p>
    <w:p>
      <w:pPr>
        <w:spacing w:before="0" w:after="40" w:line="300" w:lineRule="auto"/>
        <w:jc w:val="center"/>
      </w:pPr>
      <w:r>
        <w:rPr>
          <w:rFonts w:ascii="Calibri" w:hAnsi="Calibri"/>
          <w:b/>
          <w:i w:val="0"/>
          <w:color w:val="004D40"/>
          <w:sz w:val="48"/>
        </w:rPr>
        <w:t>AgriPartners</w:t>
      </w:r>
    </w:p>
    <w:p>
      <w:pPr>
        <w:spacing w:before="0" w:after="60" w:line="300" w:lineRule="auto"/>
        <w:jc w:val="center"/>
      </w:pPr>
      <w:r>
        <w:rPr>
          <w:rFonts w:ascii="Calibri" w:hAnsi="Calibri"/>
          <w:b/>
          <w:i w:val="0"/>
          <w:color w:val="17212B"/>
          <w:sz w:val="30"/>
        </w:rPr>
        <w:t>Разведение гиссарской породы</w:t>
      </w:r>
    </w:p>
    <w:p>
      <w:pPr>
        <w:spacing w:before="0" w:after="240" w:line="300" w:lineRule="auto"/>
        <w:jc w:val="center"/>
      </w:pPr>
      <w:r>
        <w:rPr>
          <w:rFonts w:ascii="Calibri" w:hAnsi="Calibri"/>
          <w:b w:val="0"/>
          <w:i w:val="0"/>
          <w:color w:val="667085"/>
          <w:sz w:val="20"/>
        </w:rPr>
        <w:t>VariantB v2.1 | 6 циклов x 6 мес. | Сплит 60/40 | Fee 20% | RU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i w:val="0"/>
                <w:color w:val="004D40"/>
                <w:sz w:val="18"/>
              </w:rPr>
              <w:t>Демонстрационная финансовая модель. Все показатели являются прогнозными, не гарантируют доходность и не являются публичным предложением инвестировать.</w:t>
            </w:r>
          </w:p>
        </w:tc>
      </w:tr>
    </w:tbl>
    <w:p>
      <w:pPr>
        <w:spacing w:after="40"/>
      </w:pP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F2F4F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667085"/>
                <w:sz w:val="17"/>
              </w:rPr>
              <w:t>Стартовая инвестиция</w:t>
            </w:r>
          </w:p>
        </w:tc>
        <w:tc>
          <w:tcPr>
            <w:tcW w:type="dxa" w:w="2340"/>
            <w:shd w:fill="F2F4F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667085"/>
                <w:sz w:val="17"/>
              </w:rPr>
              <w:t>Возврат инвестору</w:t>
            </w:r>
          </w:p>
        </w:tc>
        <w:tc>
          <w:tcPr>
            <w:tcW w:type="dxa" w:w="2340"/>
            <w:shd w:fill="F2F4F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667085"/>
                <w:sz w:val="17"/>
              </w:rPr>
              <w:t>APR годовых</w:t>
            </w:r>
          </w:p>
        </w:tc>
        <w:tc>
          <w:tcPr>
            <w:tcW w:type="dxa" w:w="2340"/>
            <w:shd w:fill="F2F4F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667085"/>
                <w:sz w:val="17"/>
              </w:rPr>
              <w:t>Чистый ROI</w:t>
            </w:r>
          </w:p>
        </w:tc>
      </w:tr>
      <w:tr>
        <w:tc>
          <w:tcPr>
            <w:tcW w:type="dxa" w:w="23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04D40"/>
                <w:sz w:val="34"/>
              </w:rPr>
              <w:t>$50,000</w:t>
            </w:r>
          </w:p>
        </w:tc>
        <w:tc>
          <w:tcPr>
            <w:tcW w:type="dxa" w:w="23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04D40"/>
                <w:sz w:val="34"/>
              </w:rPr>
              <w:t>$81,672</w:t>
            </w:r>
          </w:p>
        </w:tc>
        <w:tc>
          <w:tcPr>
            <w:tcW w:type="dxa" w:w="23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04D40"/>
                <w:sz w:val="34"/>
              </w:rPr>
              <w:t>~21.1%</w:t>
            </w:r>
          </w:p>
        </w:tc>
        <w:tc>
          <w:tcPr>
            <w:tcW w:type="dxa" w:w="23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04D40"/>
                <w:sz w:val="34"/>
              </w:rPr>
              <w:t>+63.3%</w:t>
            </w:r>
          </w:p>
        </w:tc>
      </w:tr>
    </w:tbl>
    <w:p>
      <w:pPr>
        <w:spacing w:after="40"/>
      </w:pPr>
    </w:p>
    <w:p>
      <w:pPr>
        <w:pStyle w:val="Heading1"/>
      </w:pPr>
      <w:r>
        <w:t>1. Механика модели</w:t>
      </w:r>
    </w:p>
    <w:p>
      <w:pPr>
        <w:spacing w:before="0" w:after="160" w:line="300" w:lineRule="auto"/>
      </w:pPr>
      <w:r>
        <w:rPr>
          <w:rFonts w:ascii="Calibri" w:hAnsi="Calibri"/>
          <w:b w:val="0"/>
          <w:i w:val="0"/>
          <w:color w:val="17212B"/>
          <w:sz w:val="21"/>
        </w:rPr>
        <w:t>Инвестор финансирует 38 овцематок по $700, кошару и OpEx-резерв. Фермер продаёт 34 головы молодняка каждые 6 месяцев. Чистая прибыль делится 60/40. Performance Fee 20% удерживается только из доли инвестора; плата за стадо возвращает часть капитала без комиссии.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rPr>
          <w:tblHeader w:val="true"/>
        </w:trPr>
        <w:tc>
          <w:tcPr>
            <w:tcW w:type="dxa" w:w="1900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Сумма</w:t>
            </w:r>
          </w:p>
        </w:tc>
        <w:tc>
          <w:tcPr>
            <w:tcW w:type="dxa" w:w="7460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Статья</w:t>
            </w:r>
          </w:p>
        </w:tc>
      </w:tr>
      <w:tr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$26,600</w:t>
            </w:r>
          </w:p>
        </w:tc>
        <w:tc>
          <w:tcPr>
            <w:tcW w:type="dxa" w:w="74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38 овцематок</w:t>
            </w:r>
          </w:p>
        </w:tc>
      </w:tr>
      <w:tr>
        <w:tc>
          <w:tcPr>
            <w:tcW w:type="dxa" w:w="19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$18,000</w:t>
            </w:r>
          </w:p>
        </w:tc>
        <w:tc>
          <w:tcPr>
            <w:tcW w:type="dxa" w:w="746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Кошара</w:t>
            </w:r>
          </w:p>
        </w:tc>
      </w:tr>
      <w:tr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$5,400</w:t>
            </w:r>
          </w:p>
        </w:tc>
        <w:tc>
          <w:tcPr>
            <w:tcW w:type="dxa" w:w="74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OpEx-резерв</w:t>
            </w:r>
          </w:p>
        </w:tc>
      </w:tr>
      <w:tr>
        <w:tc>
          <w:tcPr>
            <w:tcW w:type="dxa" w:w="19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$50,000</w:t>
            </w:r>
          </w:p>
        </w:tc>
        <w:tc>
          <w:tcPr>
            <w:tcW w:type="dxa" w:w="746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/>
                <w:i w:val="0"/>
                <w:color w:val="17212B"/>
                <w:sz w:val="17"/>
              </w:rPr>
              <w:t>ИТОГО</w:t>
            </w:r>
          </w:p>
        </w:tc>
      </w:tr>
    </w:tbl>
    <w:p>
      <w:pPr>
        <w:spacing w:after="40"/>
      </w:pPr>
    </w:p>
    <w:p>
      <w:pPr>
        <w:pStyle w:val="Heading1"/>
      </w:pPr>
      <w:r>
        <w:t>2. Экономика циклов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750"/>
        <w:gridCol w:w="1150"/>
        <w:gridCol w:w="1150"/>
        <w:gridCol w:w="1150"/>
        <w:gridCol w:w="1200"/>
        <w:gridCol w:w="1200"/>
        <w:gridCol w:w="1050"/>
        <w:gridCol w:w="1710"/>
      </w:tblGrid>
      <w:tr>
        <w:trPr>
          <w:tblHeader w:val="true"/>
        </w:trPr>
        <w:tc>
          <w:tcPr>
            <w:tcW w:type="dxa" w:w="750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Цикл</w:t>
            </w:r>
          </w:p>
        </w:tc>
        <w:tc>
          <w:tcPr>
            <w:tcW w:type="dxa" w:w="1150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Выручка</w:t>
            </w:r>
          </w:p>
        </w:tc>
        <w:tc>
          <w:tcPr>
            <w:tcW w:type="dxa" w:w="1150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Затраты до раздела</w:t>
            </w:r>
          </w:p>
        </w:tc>
        <w:tc>
          <w:tcPr>
            <w:tcW w:type="dxa" w:w="1150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Чистая прибыль</w:t>
            </w:r>
          </w:p>
        </w:tc>
        <w:tc>
          <w:tcPr>
            <w:tcW w:type="dxa" w:w="1200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Доля фермера 60%</w:t>
            </w:r>
          </w:p>
        </w:tc>
        <w:tc>
          <w:tcPr>
            <w:tcW w:type="dxa" w:w="1200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Доля инвестора 40%</w:t>
            </w:r>
          </w:p>
        </w:tc>
        <w:tc>
          <w:tcPr>
            <w:tcW w:type="dxa" w:w="1050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Fee 20%</w:t>
            </w:r>
          </w:p>
        </w:tc>
        <w:tc>
          <w:tcPr>
            <w:tcW w:type="dxa" w:w="1710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Инвестору на руки</w:t>
            </w:r>
          </w:p>
        </w:tc>
      </w:tr>
      <w:tr>
        <w:tc>
          <w:tcPr>
            <w:tcW w:type="dxa" w:w="7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1-2</w:t>
            </w:r>
          </w:p>
        </w:tc>
        <w:tc>
          <w:tcPr>
            <w:tcW w:type="dxa" w:w="11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$30,600</w:t>
            </w:r>
          </w:p>
        </w:tc>
        <w:tc>
          <w:tcPr>
            <w:tcW w:type="dxa" w:w="11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$0</w:t>
            </w:r>
          </w:p>
        </w:tc>
        <w:tc>
          <w:tcPr>
            <w:tcW w:type="dxa" w:w="11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$30,600</w:t>
            </w:r>
          </w:p>
        </w:tc>
        <w:tc>
          <w:tcPr>
            <w:tcW w:type="dxa" w:w="1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$18,360</w:t>
            </w:r>
          </w:p>
        </w:tc>
        <w:tc>
          <w:tcPr>
            <w:tcW w:type="dxa" w:w="1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$12,240</w:t>
            </w:r>
          </w:p>
        </w:tc>
        <w:tc>
          <w:tcPr>
            <w:tcW w:type="dxa" w:w="10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$2,448</w:t>
            </w:r>
          </w:p>
        </w:tc>
        <w:tc>
          <w:tcPr>
            <w:tcW w:type="dxa" w:w="171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$9,792</w:t>
            </w:r>
          </w:p>
        </w:tc>
      </w:tr>
      <w:tr>
        <w:tc>
          <w:tcPr>
            <w:tcW w:type="dxa" w:w="75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3-6</w:t>
            </w:r>
          </w:p>
        </w:tc>
        <w:tc>
          <w:tcPr>
            <w:tcW w:type="dxa" w:w="115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$30,600</w:t>
            </w:r>
          </w:p>
        </w:tc>
        <w:tc>
          <w:tcPr>
            <w:tcW w:type="dxa" w:w="115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$6,000</w:t>
            </w:r>
          </w:p>
        </w:tc>
        <w:tc>
          <w:tcPr>
            <w:tcW w:type="dxa" w:w="115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$24,600</w:t>
            </w:r>
          </w:p>
        </w:tc>
        <w:tc>
          <w:tcPr>
            <w:tcW w:type="dxa" w:w="12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$14,760</w:t>
            </w:r>
          </w:p>
        </w:tc>
        <w:tc>
          <w:tcPr>
            <w:tcW w:type="dxa" w:w="12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$9,840</w:t>
            </w:r>
          </w:p>
        </w:tc>
        <w:tc>
          <w:tcPr>
            <w:tcW w:type="dxa" w:w="105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$1,968</w:t>
            </w:r>
          </w:p>
        </w:tc>
        <w:tc>
          <w:tcPr>
            <w:tcW w:type="dxa" w:w="171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$7,872 + $2,500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3. График денежных потоков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400"/>
        <w:gridCol w:w="1900"/>
        <w:gridCol w:w="1900"/>
        <w:gridCol w:w="1900"/>
        <w:gridCol w:w="2260"/>
      </w:tblGrid>
      <w:tr>
        <w:trPr>
          <w:tblHeader w:val="true"/>
        </w:trPr>
        <w:tc>
          <w:tcPr>
            <w:tcW w:type="dxa" w:w="1400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Цикл</w:t>
            </w:r>
          </w:p>
        </w:tc>
        <w:tc>
          <w:tcPr>
            <w:tcW w:type="dxa" w:w="1900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Период</w:t>
            </w:r>
          </w:p>
        </w:tc>
        <w:tc>
          <w:tcPr>
            <w:tcW w:type="dxa" w:w="1900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Чистая прибыль</w:t>
            </w:r>
          </w:p>
        </w:tc>
        <w:tc>
          <w:tcPr>
            <w:tcW w:type="dxa" w:w="1900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Выплата</w:t>
            </w:r>
          </w:p>
        </w:tc>
        <w:tc>
          <w:tcPr>
            <w:tcW w:type="dxa" w:w="2260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Накоплено</w:t>
            </w:r>
          </w:p>
        </w:tc>
      </w:tr>
      <w:tr>
        <w:tc>
          <w:tcPr>
            <w:tcW w:type="dxa" w:w="14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1</w:t>
            </w:r>
          </w:p>
        </w:tc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0-6 мес.</w:t>
            </w:r>
          </w:p>
        </w:tc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$30,600</w:t>
            </w:r>
          </w:p>
        </w:tc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$9,792</w:t>
            </w:r>
          </w:p>
        </w:tc>
        <w:tc>
          <w:tcPr>
            <w:tcW w:type="dxa" w:w="22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$9,792</w:t>
            </w:r>
          </w:p>
        </w:tc>
      </w:tr>
      <w:tr>
        <w:tc>
          <w:tcPr>
            <w:tcW w:type="dxa" w:w="14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2</w:t>
            </w:r>
          </w:p>
        </w:tc>
        <w:tc>
          <w:tcPr>
            <w:tcW w:type="dxa" w:w="19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6-12 мес.</w:t>
            </w:r>
          </w:p>
        </w:tc>
        <w:tc>
          <w:tcPr>
            <w:tcW w:type="dxa" w:w="19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$30,600</w:t>
            </w:r>
          </w:p>
        </w:tc>
        <w:tc>
          <w:tcPr>
            <w:tcW w:type="dxa" w:w="19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$9,792</w:t>
            </w:r>
          </w:p>
        </w:tc>
        <w:tc>
          <w:tcPr>
            <w:tcW w:type="dxa" w:w="226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$19,584</w:t>
            </w:r>
          </w:p>
        </w:tc>
      </w:tr>
      <w:tr>
        <w:tc>
          <w:tcPr>
            <w:tcW w:type="dxa" w:w="14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3</w:t>
            </w:r>
          </w:p>
        </w:tc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12-18 мес.</w:t>
            </w:r>
          </w:p>
        </w:tc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$24,600</w:t>
            </w:r>
          </w:p>
        </w:tc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$10,372</w:t>
            </w:r>
          </w:p>
        </w:tc>
        <w:tc>
          <w:tcPr>
            <w:tcW w:type="dxa" w:w="22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$29,956</w:t>
            </w:r>
          </w:p>
        </w:tc>
      </w:tr>
      <w:tr>
        <w:tc>
          <w:tcPr>
            <w:tcW w:type="dxa" w:w="14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4</w:t>
            </w:r>
          </w:p>
        </w:tc>
        <w:tc>
          <w:tcPr>
            <w:tcW w:type="dxa" w:w="19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18-24 мес.</w:t>
            </w:r>
          </w:p>
        </w:tc>
        <w:tc>
          <w:tcPr>
            <w:tcW w:type="dxa" w:w="19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$24,600</w:t>
            </w:r>
          </w:p>
        </w:tc>
        <w:tc>
          <w:tcPr>
            <w:tcW w:type="dxa" w:w="19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$10,372</w:t>
            </w:r>
          </w:p>
        </w:tc>
        <w:tc>
          <w:tcPr>
            <w:tcW w:type="dxa" w:w="226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$40,328</w:t>
            </w:r>
          </w:p>
        </w:tc>
      </w:tr>
      <w:tr>
        <w:tc>
          <w:tcPr>
            <w:tcW w:type="dxa" w:w="14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5</w:t>
            </w:r>
          </w:p>
        </w:tc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24-30 мес.</w:t>
            </w:r>
          </w:p>
        </w:tc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$24,600</w:t>
            </w:r>
          </w:p>
        </w:tc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$10,372</w:t>
            </w:r>
          </w:p>
        </w:tc>
        <w:tc>
          <w:tcPr>
            <w:tcW w:type="dxa" w:w="22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$50,700</w:t>
            </w:r>
          </w:p>
        </w:tc>
      </w:tr>
      <w:tr>
        <w:tc>
          <w:tcPr>
            <w:tcW w:type="dxa" w:w="14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6</w:t>
            </w:r>
          </w:p>
        </w:tc>
        <w:tc>
          <w:tcPr>
            <w:tcW w:type="dxa" w:w="19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30-36 мес.</w:t>
            </w:r>
          </w:p>
        </w:tc>
        <w:tc>
          <w:tcPr>
            <w:tcW w:type="dxa" w:w="19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$24,600</w:t>
            </w:r>
          </w:p>
        </w:tc>
        <w:tc>
          <w:tcPr>
            <w:tcW w:type="dxa" w:w="19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$10,372</w:t>
            </w:r>
          </w:p>
        </w:tc>
        <w:tc>
          <w:tcPr>
            <w:tcW w:type="dxa" w:w="226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$61,072</w:t>
            </w:r>
          </w:p>
        </w:tc>
      </w:tr>
      <w:tr>
        <w:tc>
          <w:tcPr>
            <w:tcW w:type="dxa" w:w="14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По завершении</w:t>
            </w:r>
          </w:p>
        </w:tc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36 мес.</w:t>
            </w:r>
          </w:p>
        </w:tc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-</w:t>
            </w:r>
          </w:p>
        </w:tc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$20,600</w:t>
            </w:r>
          </w:p>
        </w:tc>
        <w:tc>
          <w:tcPr>
            <w:tcW w:type="dxa" w:w="22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$81,672</w:t>
            </w:r>
          </w:p>
        </w:tc>
      </w:tr>
    </w:tbl>
    <w:p>
      <w:pPr>
        <w:spacing w:after="40"/>
      </w:pPr>
    </w:p>
    <w:p>
      <w:pPr>
        <w:pStyle w:val="Heading1"/>
      </w:pPr>
      <w:r>
        <w:t>4. Итоговый результат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6500"/>
        <w:gridCol w:w="2860"/>
      </w:tblGrid>
      <w:tr>
        <w:trPr>
          <w:tblHeader w:val="true"/>
        </w:trPr>
        <w:tc>
          <w:tcPr>
            <w:tcW w:type="dxa" w:w="6500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Статья</w:t>
            </w:r>
          </w:p>
        </w:tc>
        <w:tc>
          <w:tcPr>
            <w:tcW w:type="dxa" w:w="2860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Сумма</w:t>
            </w:r>
          </w:p>
        </w:tc>
      </w:tr>
      <w:tr>
        <w:tc>
          <w:tcPr>
            <w:tcW w:type="dxa" w:w="65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Стартовая инвестиция</w:t>
            </w:r>
          </w:p>
        </w:tc>
        <w:tc>
          <w:tcPr>
            <w:tcW w:type="dxa" w:w="28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$50,000</w:t>
            </w:r>
          </w:p>
        </w:tc>
      </w:tr>
      <w:tr>
        <w:tc>
          <w:tcPr>
            <w:tcW w:type="dxa" w:w="65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Возврат инвестору</w:t>
            </w:r>
          </w:p>
        </w:tc>
        <w:tc>
          <w:tcPr>
            <w:tcW w:type="dxa" w:w="286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$81,672</w:t>
            </w:r>
          </w:p>
        </w:tc>
      </w:tr>
      <w:tr>
        <w:tc>
          <w:tcPr>
            <w:tcW w:type="dxa" w:w="65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Прибыль инвестора</w:t>
            </w:r>
          </w:p>
        </w:tc>
        <w:tc>
          <w:tcPr>
            <w:tcW w:type="dxa" w:w="28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$31,672</w:t>
            </w:r>
          </w:p>
        </w:tc>
      </w:tr>
      <w:tr>
        <w:tc>
          <w:tcPr>
            <w:tcW w:type="dxa" w:w="65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Чистый ROI</w:t>
            </w:r>
          </w:p>
        </w:tc>
        <w:tc>
          <w:tcPr>
            <w:tcW w:type="dxa" w:w="286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+63.3%</w:t>
            </w:r>
          </w:p>
        </w:tc>
      </w:tr>
      <w:tr>
        <w:tc>
          <w:tcPr>
            <w:tcW w:type="dxa" w:w="65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APR годовых</w:t>
            </w:r>
          </w:p>
        </w:tc>
        <w:tc>
          <w:tcPr>
            <w:tcW w:type="dxa" w:w="28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~21.1%</w:t>
            </w:r>
          </w:p>
        </w:tc>
      </w:tr>
    </w:tbl>
    <w:p>
      <w:pPr>
        <w:spacing w:after="40"/>
      </w:pPr>
    </w:p>
    <w:p>
      <w:pPr>
        <w:pStyle w:val="Heading1"/>
      </w:pPr>
      <w:r>
        <w:t>5. Ключевые условия</w:t>
      </w:r>
    </w:p>
    <w:p>
      <w:pPr>
        <w:pStyle w:val="ListBullet"/>
        <w:spacing w:before="0" w:after="80" w:line="288" w:lineRule="auto"/>
      </w:pPr>
      <w:r>
        <w:rPr>
          <w:rFonts w:ascii="Calibri" w:hAnsi="Calibri"/>
          <w:b w:val="0"/>
          <w:i w:val="0"/>
          <w:color w:val="17212B"/>
          <w:sz w:val="21"/>
        </w:rPr>
        <w:t>Сплит 60/40 применяется к чистой прибыли после затрат до раздела.</w:t>
      </w:r>
    </w:p>
    <w:p>
      <w:pPr>
        <w:pStyle w:val="ListBullet"/>
        <w:spacing w:before="0" w:after="80" w:line="288" w:lineRule="auto"/>
      </w:pPr>
      <w:r>
        <w:rPr>
          <w:rFonts w:ascii="Calibri" w:hAnsi="Calibri"/>
          <w:b w:val="0"/>
          <w:i w:val="0"/>
          <w:color w:val="17212B"/>
          <w:sz w:val="21"/>
        </w:rPr>
        <w:t>Performance Fee 20% удерживается только из инвесторской доли 40%.</w:t>
      </w:r>
    </w:p>
    <w:p>
      <w:pPr>
        <w:pStyle w:val="ListBullet"/>
        <w:spacing w:before="0" w:after="80" w:line="288" w:lineRule="auto"/>
      </w:pPr>
      <w:r>
        <w:rPr>
          <w:rFonts w:ascii="Calibri" w:hAnsi="Calibri"/>
          <w:b w:val="0"/>
          <w:i w:val="0"/>
          <w:color w:val="17212B"/>
          <w:sz w:val="21"/>
        </w:rPr>
        <w:t>Показатели округлены до доллара; фактические результаты могут отличаться.</w:t>
      </w:r>
    </w:p>
    <w:p>
      <w:pPr>
        <w:pStyle w:val="ListBullet"/>
        <w:spacing w:before="0" w:after="80" w:line="288" w:lineRule="auto"/>
      </w:pPr>
      <w:r>
        <w:rPr>
          <w:rFonts w:ascii="Calibri" w:hAnsi="Calibri"/>
          <w:b w:val="0"/>
          <w:i w:val="0"/>
          <w:color w:val="17212B"/>
          <w:sz w:val="21"/>
        </w:rPr>
        <w:t>Расчётный срок модели: 36 месяцев.</w:t>
      </w:r>
    </w:p>
    <w:p>
      <w:pPr>
        <w:spacing w:before="160" w:after="80" w:line="300" w:lineRule="auto"/>
      </w:pPr>
      <w:r>
        <w:rPr>
          <w:rFonts w:ascii="Calibri" w:hAnsi="Calibri"/>
          <w:b w:val="0"/>
          <w:i/>
          <w:color w:val="667085"/>
          <w:sz w:val="17"/>
        </w:rPr>
        <w:t>Источник модели: AgriPartners 60/40 financial model.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i w:val="0"/>
                <w:color w:val="004D40"/>
                <w:sz w:val="18"/>
              </w:rPr>
              <w:t>Демонстрационная финансовая модель. Все показатели являются прогнозными, не гарантируют доходность и не являются публичным предложением инвестировать.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b w:val="0"/>
        <w:i w:val="0"/>
        <w:color w:val="667085"/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jc w:val="left"/>
    </w:pPr>
    <w:r>
      <w:rPr>
        <w:rFonts w:ascii="Calibri" w:hAnsi="Calibri"/>
        <w:b/>
        <w:i w:val="0"/>
        <w:color w:val="667085"/>
        <w:sz w:val="16"/>
      </w:rPr>
      <w:t>AgriPartners | Инвестиционная модель | VariantB v2.1 | 60/40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color w:val="1721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00695C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00695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00695C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Calibri" w:hAnsi="Calibr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AgriPartners Инвестиционная модель - Разведение гиссарской породы - RU</dc:title>
  <dc:subject>AgriPartners 60/40 demonstration financial model</dc:subject>
  <dc:creator>AgriPartners</dc:creator>
  <cp:keywords>AgriPartners, 60/40, agriculture, financial model</cp:keywords>
  <dc:description>generated by python-docx</dc:description>
  <cp:lastModifiedBy>AgriPartners</cp:lastModifiedBy>
  <cp:revision>1</cp:revision>
  <dcterms:created xsi:type="dcterms:W3CDTF">2013-12-23T23:15:00Z</dcterms:created>
  <dcterms:modified xsi:type="dcterms:W3CDTF">2013-12-23T23:15:00Z</dcterms:modified>
  <cp:category/>
</cp:coreProperties>
</file>