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00695C"/>
          <w:sz w:val="17"/>
        </w:rPr>
        <w:t>INVESTMENT MODEL</w:t>
      </w:r>
    </w:p>
    <w:p>
      <w:pPr>
        <w:spacing w:before="0" w:after="20" w:line="300" w:lineRule="auto"/>
        <w:jc w:val="center"/>
      </w:pPr>
      <w:r>
        <w:rPr>
          <w:rFonts w:ascii="Arial" w:hAnsi="Arial"/>
          <w:b/>
          <w:i w:val="0"/>
          <w:color w:val="004D40"/>
          <w:sz w:val="54"/>
        </w:rPr>
        <w:t>AgriPartners</w:t>
      </w:r>
    </w:p>
    <w:p>
      <w:pPr>
        <w:spacing w:before="0" w:after="40" w:line="300" w:lineRule="auto"/>
        <w:jc w:val="center"/>
      </w:pPr>
      <w:r>
        <w:rPr>
          <w:rFonts w:ascii="Arial" w:hAnsi="Arial"/>
          <w:b/>
          <w:i w:val="0"/>
          <w:color w:val="102A43"/>
          <w:sz w:val="32"/>
        </w:rPr>
        <w:t>Fidlot Livestock Fattening</w:t>
      </w:r>
    </w:p>
    <w:p>
      <w:pPr>
        <w:spacing w:before="0" w:after="140" w:line="300" w:lineRule="auto"/>
        <w:jc w:val="center"/>
      </w:pPr>
      <w:r>
        <w:rPr>
          <w:rFonts w:ascii="Arial" w:hAnsi="Arial"/>
          <w:b w:val="0"/>
          <w:i w:val="0"/>
          <w:color w:val="667085"/>
          <w:sz w:val="17"/>
        </w:rPr>
        <w:t>v5.9 | 7 cycles x 5 months | 60/40 split | Fee 20% | EN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Initial investment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Investor payout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Annual APR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Net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$82,000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~21.9%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+64.0%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Program overview</w:t>
            </w:r>
          </w:p>
        </w:tc>
      </w:tr>
    </w:tbl>
    <w:p>
      <w:pPr>
        <w:spacing w:before="0" w:after="20" w:line="240" w:lineRule="auto"/>
      </w:pPr>
    </w:p>
    <w:p>
      <w:pPr>
        <w:spacing w:before="0" w:after="100" w:line="300" w:lineRule="auto"/>
      </w:pPr>
      <w:r>
        <w:rPr>
          <w:rFonts w:ascii="Arial" w:hAnsi="Arial"/>
          <w:b w:val="0"/>
          <w:i w:val="0"/>
          <w:color w:val="17212B"/>
          <w:sz w:val="18"/>
        </w:rPr>
        <w:t>The investor funds the initial livestock batches, the feedlot facility, and working capital. A batch of 50 animals is fattened for five months and sold at $1,000 per head. Net profit is split 60/40. A 20% performance fee applies only to the investor share.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8556"/>
      </w:tblGrid>
      <w:tr>
        <w:trPr>
          <w:tblHeader w:val="true"/>
        </w:trPr>
        <w:tc>
          <w:tcPr>
            <w:tcW w:type="dxa" w:w="21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855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Item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$20,000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Initial livestock</w:t>
            </w:r>
          </w:p>
        </w:tc>
      </w:tr>
      <w:tr>
        <w:tc>
          <w:tcPr>
            <w:tcW w:type="dxa" w:w="21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$18,000</w:t>
            </w:r>
          </w:p>
        </w:tc>
        <w:tc>
          <w:tcPr>
            <w:tcW w:type="dxa" w:w="85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Feedlot facility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$12,000</w:t>
            </w:r>
          </w:p>
        </w:tc>
        <w:tc>
          <w:tcPr>
            <w:tcW w:type="dxa" w:w="8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Working reserve</w:t>
            </w:r>
          </w:p>
        </w:tc>
      </w:tr>
      <w:tr>
        <w:tc>
          <w:tcPr>
            <w:tcW w:type="dxa" w:w="2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85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/>
                <w:i w:val="0"/>
                <w:color w:val="17212B"/>
                <w:sz w:val="16"/>
              </w:rPr>
              <w:t>TOTAL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50"/>
        <w:gridCol w:w="4306"/>
      </w:tblGrid>
      <w:tr>
        <w:trPr>
          <w:tblHeader w:val="true"/>
        </w:trPr>
        <w:tc>
          <w:tcPr>
            <w:tcW w:type="dxa" w:w="170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Party</w:t>
            </w:r>
          </w:p>
        </w:tc>
        <w:tc>
          <w:tcPr>
            <w:tcW w:type="dxa" w:w="4650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Contribution</w:t>
            </w:r>
          </w:p>
        </w:tc>
        <w:tc>
          <w:tcPr>
            <w:tcW w:type="dxa" w:w="4306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AgriPartners</w:t>
            </w:r>
          </w:p>
        </w:tc>
        <w:tc>
          <w:tcPr>
            <w:tcW w:type="dxa" w:w="4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Funds assets and working capital</w:t>
            </w:r>
          </w:p>
        </w:tc>
        <w:tc>
          <w:tcPr>
            <w:tcW w:type="dxa" w:w="43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40% investor share less fee</w:t>
            </w:r>
          </w:p>
        </w:tc>
      </w:tr>
      <w:tr>
        <w:tc>
          <w:tcPr>
            <w:tcW w:type="dxa" w:w="17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Farmer</w:t>
            </w:r>
          </w:p>
        </w:tc>
        <w:tc>
          <w:tcPr>
            <w:tcW w:type="dxa" w:w="46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Provides land, labor, and operations</w:t>
            </w:r>
          </w:p>
        </w:tc>
        <w:tc>
          <w:tcPr>
            <w:tcW w:type="dxa" w:w="430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60% share plus transferred property</w:t>
            </w:r>
          </w:p>
        </w:tc>
      </w:tr>
    </w:tbl>
    <w:p>
      <w:pPr>
        <w:spacing w:after="40"/>
      </w:pP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1  |  0-5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company reserve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$9,600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$9,600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2  |  5-10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company reserve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$30,000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$18,000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$12,000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-$2,400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$9,600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$9,600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3  |  10-15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4  |  15-20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Detailed cycle breakdown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5  |  20-25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6  |  25-30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Cycle 7  |  30-35 mo.</w:t>
            </w:r>
          </w:p>
        </w:tc>
      </w:tr>
    </w:tbl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5356"/>
        <w:gridCol w:w="2200"/>
      </w:tblGrid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Sales revenue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50 x $1,000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$50,000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Livestock purchase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-$20,000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Feed and operating costs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From cycle revenue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-$3,500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Net profit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60/40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$26,500</w:t>
            </w:r>
          </w:p>
        </w:tc>
      </w:tr>
      <w:tr>
        <w:tc>
          <w:tcPr>
            <w:tcW w:type="dxa" w:w="31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Farmer share 60%</w:t>
            </w:r>
          </w:p>
        </w:tc>
        <w:tc>
          <w:tcPr>
            <w:tcW w:type="dxa" w:w="53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Protected partner share</w:t>
            </w:r>
          </w:p>
        </w:tc>
        <w:tc>
          <w:tcPr>
            <w:tcW w:type="dxa" w:w="2200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$15,900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share 40%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Before fee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$10,600</w:t>
            </w:r>
          </w:p>
        </w:tc>
      </w:tr>
      <w:t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Performance Fee 20%</w:t>
            </w:r>
          </w:p>
        </w:tc>
        <w:tc>
          <w:tcPr>
            <w:tcW w:type="dxa" w:w="5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Charged only to investor share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-$2,120</w:t>
            </w:r>
          </w:p>
        </w:tc>
      </w:tr>
      <w:tr>
        <w:tc>
          <w:tcPr>
            <w:tcW w:type="dxa" w:w="31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Investor dividend</w:t>
            </w:r>
          </w:p>
        </w:tc>
        <w:tc>
          <w:tcPr>
            <w:tcW w:type="dxa" w:w="535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4"/>
              </w:rPr>
              <w:t>Paid in USDC</w:t>
            </w:r>
          </w:p>
        </w:tc>
        <w:tc>
          <w:tcPr>
            <w:tcW w:type="dxa" w:w="220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17212B"/>
                <w:sz w:val="14"/>
              </w:rPr>
              <w:t>$8,480</w:t>
            </w:r>
          </w:p>
        </w:tc>
      </w:tr>
      <w:tr>
        <w:tc>
          <w:tcPr>
            <w:tcW w:type="dxa" w:w="31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TOTAL TO INVESTOR</w:t>
            </w:r>
          </w:p>
        </w:tc>
        <w:tc>
          <w:tcPr>
            <w:tcW w:type="dxa" w:w="5356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Paid in USDC</w:t>
            </w:r>
          </w:p>
        </w:tc>
        <w:tc>
          <w:tcPr>
            <w:tcW w:type="dxa" w:w="2200"/>
            <w:shd w:fill="004D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$8,480</w:t>
            </w:r>
          </w:p>
        </w:tc>
      </w:tr>
    </w:tbl>
    <w:p>
      <w:pPr>
        <w:spacing w:before="0" w:after="40" w:line="240" w:lineRule="auto"/>
      </w:pPr>
    </w:p>
    <w:p>
      <w:pPr>
        <w:pageBreakBefore/>
        <w:spacing w:before="0" w:after="0" w:line="24" w:lineRule="auto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656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00695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Final financial outcome</w:t>
            </w:r>
          </w:p>
        </w:tc>
      </w:tr>
    </w:tbl>
    <w:p>
      <w:pPr>
        <w:spacing w:before="0" w:after="20" w:line="240" w:lineRule="auto"/>
      </w:pPr>
    </w:p>
    <w:p>
      <w:pPr>
        <w:pStyle w:val="Heading1"/>
      </w:pPr>
      <w:r>
        <w:t>Cash-flow summary</w:t>
      </w: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150"/>
        <w:gridCol w:w="2200"/>
        <w:gridCol w:w="2200"/>
        <w:gridCol w:w="2956"/>
      </w:tblGrid>
      <w:tr>
        <w:trPr>
          <w:tblHeader w:val="true"/>
        </w:trPr>
        <w:tc>
          <w:tcPr>
            <w:tcW w:type="dxa" w:w="1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Cycle</w:t>
            </w:r>
          </w:p>
        </w:tc>
        <w:tc>
          <w:tcPr>
            <w:tcW w:type="dxa" w:w="215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Period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Net profit</w:t>
            </w:r>
          </w:p>
        </w:tc>
        <w:tc>
          <w:tcPr>
            <w:tcW w:type="dxa" w:w="22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Payment</w:t>
            </w:r>
          </w:p>
        </w:tc>
        <w:tc>
          <w:tcPr>
            <w:tcW w:type="dxa" w:w="29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Cumulative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0-5 months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$30,000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5-10 months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$30,000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$9,600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$19,200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10-15 months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$27,680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4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15-20 months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$36,160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5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20-25 months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$44,640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6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25-30 months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$53,120</w:t>
            </w:r>
          </w:p>
        </w:tc>
      </w:tr>
      <w:tr>
        <w:tc>
          <w:tcPr>
            <w:tcW w:type="dxa" w:w="1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7</w:t>
            </w:r>
          </w:p>
        </w:tc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30-35 months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$26,500</w:t>
            </w:r>
          </w:p>
        </w:tc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$8,480</w:t>
            </w:r>
          </w:p>
        </w:tc>
        <w:tc>
          <w:tcPr>
            <w:tcW w:type="dxa" w:w="29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$61,600</w:t>
            </w:r>
          </w:p>
        </w:tc>
      </w:tr>
      <w:tr>
        <w:tc>
          <w:tcPr>
            <w:tcW w:type="dxa" w:w="1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At completion</w:t>
            </w:r>
          </w:p>
        </w:tc>
        <w:tc>
          <w:tcPr>
            <w:tcW w:type="dxa" w:w="215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35 months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-</w:t>
            </w:r>
          </w:p>
        </w:tc>
        <w:tc>
          <w:tcPr>
            <w:tcW w:type="dxa" w:w="22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$20,400</w:t>
            </w:r>
          </w:p>
        </w:tc>
        <w:tc>
          <w:tcPr>
            <w:tcW w:type="dxa" w:w="29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5"/>
              </w:rPr>
              <w:t>$82,000</w:t>
            </w:r>
          </w:p>
        </w:tc>
      </w:tr>
    </w:tbl>
    <w:p>
      <w:pPr>
        <w:spacing w:after="40"/>
      </w:pP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Initial investment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Investor payout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Annual APR</w:t>
            </w:r>
          </w:p>
        </w:tc>
        <w:tc>
          <w:tcPr>
            <w:tcW w:type="dxa" w:w="2664"/>
            <w:shd w:fill="0069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Net ROI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$50,000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$82,000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~21.9%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04D40"/>
                <w:sz w:val="34"/>
              </w:rPr>
              <w:t>+64.0%</w:t>
            </w:r>
          </w:p>
        </w:tc>
      </w:tr>
    </w:tbl>
    <w:p>
      <w:pPr>
        <w:spacing w:after="40"/>
      </w:pPr>
    </w:p>
    <w:tbl>
      <w:tblPr>
        <w:tblStyle w:val="TableGrid"/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300"/>
        <w:gridCol w:w="4356"/>
      </w:tblGrid>
      <w:tr>
        <w:trPr>
          <w:tblHeader w:val="true"/>
        </w:trPr>
        <w:tc>
          <w:tcPr>
            <w:tcW w:type="dxa" w:w="40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2300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Total</w:t>
            </w:r>
          </w:p>
        </w:tc>
        <w:tc>
          <w:tcPr>
            <w:tcW w:type="dxa" w:w="4356"/>
            <w:shd w:fill="1769C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Initial investment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$50,000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Initial capital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Investor payout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$82,000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35 months</w:t>
            </w:r>
          </w:p>
        </w:tc>
      </w:tr>
      <w:tr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Investor net profit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$32,000</w:t>
            </w:r>
          </w:p>
        </w:tc>
        <w:tc>
          <w:tcPr>
            <w:tcW w:type="dxa" w:w="43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ROI +64.0%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Annual APR</w:t>
            </w:r>
          </w:p>
        </w:tc>
        <w:tc>
          <w:tcPr>
            <w:tcW w:type="dxa" w:w="2300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~21.9%</w:t>
            </w:r>
          </w:p>
        </w:tc>
        <w:tc>
          <w:tcPr>
            <w:tcW w:type="dxa" w:w="4356"/>
            <w:shd w:fill="FAFB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" w:hAnsi="Arial"/>
                <w:b w:val="0"/>
                <w:i w:val="0"/>
                <w:color w:val="17212B"/>
                <w:sz w:val="16"/>
              </w:rPr>
              <w:t>Annualized projection</w:t>
            </w:r>
          </w:p>
        </w:tc>
      </w:tr>
    </w:tbl>
    <w:p>
      <w:pPr>
        <w:spacing w:after="40"/>
      </w:pPr>
    </w:p>
    <w:p>
      <w:pPr>
        <w:pStyle w:val="Heading1"/>
      </w:pPr>
      <w:r>
        <w:t>5. Key terms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The 60/40 split applies to net profit after pre-split costs.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The 20% performance fee applies only to the investor's 40% share.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Figures are rounded to the nearest dollar; actual results may differ.</w:t>
      </w:r>
    </w:p>
    <w:p>
      <w:pPr>
        <w:pStyle w:val="ListBullet"/>
        <w:spacing w:before="0" w:after="80" w:line="288" w:lineRule="auto"/>
      </w:pPr>
      <w:r>
        <w:rPr>
          <w:rFonts w:ascii="Arial" w:hAnsi="Arial"/>
          <w:b w:val="0"/>
          <w:i w:val="0"/>
          <w:color w:val="17212B"/>
          <w:sz w:val="21"/>
        </w:rPr>
        <w:t>Model duration: 35 months.</w:t>
      </w:r>
    </w:p>
    <w:p>
      <w:pPr>
        <w:spacing w:before="160" w:after="80" w:line="300" w:lineRule="auto"/>
      </w:pPr>
      <w:r>
        <w:rPr>
          <w:rFonts w:ascii="Arial" w:hAnsi="Arial"/>
          <w:b w:val="0"/>
          <w:i/>
          <w:color w:val="667085"/>
          <w:sz w:val="17"/>
        </w:rPr>
        <w:t>Model source: AgriPartners 60/40 financial model.</w:t>
      </w:r>
    </w:p>
    <w:tbl>
      <w:tblPr>
        <w:tblW w:type="dxa" w:w="10656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656"/>
      </w:tblGrid>
      <w:tr>
        <w:tc>
          <w:tcPr>
            <w:tcW w:type="dxa" w:w="10656"/>
            <w:shd w:fill="E5F3F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04D40"/>
                <w:sz w:val="18"/>
              </w:rPr>
              <w:t>Demonstration financial model. All figures are projections, do not guarantee returns, and do not constitute a public offer to invest.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893" w:right="792" w:bottom="893" w:left="792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670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" w:hAnsi="Arial"/>
        <w:b/>
        <w:i w:val="0"/>
        <w:color w:val="667085"/>
        <w:sz w:val="15"/>
      </w:rPr>
      <w:t>AgriPartners | Investment Model | v5.9 | 60/40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6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69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95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0" w:hanging="271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AgriPartners Investment Model - Fidlot Livestock Fattening - EN</dc:title>
  <dc:subject>AgriPartners 60/40 demonstration financial model</dc:subject>
  <dc:creator/>
  <cp:keywords>AgriPartners, 60/40, agriculture, financial model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