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INVESTMENT MODEL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Hissar Sheep Breeding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VariantB v2.1 | 6 cycles x 6 months | 60/40 split | Reserve 53% | Fee 20% | EN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Initial investment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Investor payout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Simple annualized ROI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Net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$81,672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~21.1%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+63.3%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Program overview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The investor funds 38 breeding ewes at $700 each, a sheep shelter, and an OpEx reserve. The farmer sells 34 young animals every six months. Net profit is split 60/40. A 20% performance fee applies only to the investor share; herd payments return capital without a fee.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Amount</w:t>
            </w:r>
          </w:p>
        </w:tc>
        <w:tc>
          <w:tcPr>
            <w:tcW w:type="dxa" w:w="855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Item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$26,600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38 breeding ewes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Sheep shelter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$5,400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OpEx reserve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TOTAL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Party</w:t>
            </w:r>
          </w:p>
        </w:tc>
        <w:tc>
          <w:tcPr>
            <w:tcW w:type="dxa" w:w="46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Contribution</w:t>
            </w:r>
          </w:p>
        </w:tc>
        <w:tc>
          <w:tcPr>
            <w:tcW w:type="dxa" w:w="430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Outcome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Funds assets and working capital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investor share less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Provides land, labor, and operations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share plus transferred property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1  |  0-6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$9,792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$9,792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2  |  6-12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$9,792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$9,792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3  |  12-18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component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No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4  |  18-24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component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No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5  |  24-30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component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No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6  |  30-36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payment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60%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Before fee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dividend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Paid in USDC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$7,872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Herd capital component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No fee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$2,500</w:t>
            </w:r>
          </w:p>
        </w:tc>
      </w:tr>
      <w:tr>
        <w:tc>
          <w:tcPr>
            <w:tcW w:type="dxa" w:w="31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TOTAL TO INVESTOR</w:t>
            </w:r>
          </w:p>
        </w:tc>
        <w:tc>
          <w:tcPr>
            <w:tcW w:type="dxa" w:w="5356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Paid in USDC</w:t>
            </w:r>
          </w:p>
        </w:tc>
        <w:tc>
          <w:tcPr>
            <w:tcW w:type="dxa" w:w="2200"/>
            <w:shd w:fill="004D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$10,372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Investor Protection Reserve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7"/>
        </w:rPr>
        <w:t>Rate: 53% of the farmer share. Required reserve after each successful cycle: max($10,000; $50,000 - investor cash actually received). The final $10,000 is released only after completion and performance of all obligations.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850"/>
        <w:gridCol w:w="1750"/>
        <w:gridCol w:w="1750"/>
        <w:gridCol w:w="1700"/>
        <w:gridCol w:w="2356"/>
      </w:tblGrid>
      <w:tr>
        <w:trPr>
          <w:tblHeader w:val="true"/>
        </w:trPr>
        <w:tc>
          <w:tcPr>
            <w:tcW w:type="dxa" w:w="12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8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Investor cash received</w:t>
            </w:r>
          </w:p>
        </w:tc>
        <w:tc>
          <w:tcPr>
            <w:tcW w:type="dxa" w:w="1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Reserve contribution</w:t>
            </w:r>
          </w:p>
        </w:tc>
        <w:tc>
          <w:tcPr>
            <w:tcW w:type="dxa" w:w="1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Released to farmer</w:t>
            </w:r>
          </w:p>
        </w:tc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Reserve balance</w:t>
            </w:r>
          </w:p>
        </w:tc>
        <w:tc>
          <w:tcPr>
            <w:tcW w:type="dxa" w:w="2356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cash available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1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$9,792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$9,730.80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$9,730.80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$5,529.20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2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$19,584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$9,730.80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$19,461.60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$5,529.20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3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$29,956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$7,240.40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$20,044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$11,077.60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4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$40,328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$17,866.80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$21,704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5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$50,700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$11,660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6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$61,072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$7,822.80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$11,660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Completion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$81,672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$16,000</w:t>
            </w:r>
          </w:p>
        </w:tc>
      </w:tr>
      <w:tr>
        <w:tc>
          <w:tcPr>
            <w:tcW w:type="dxa" w:w="12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Total</w:t>
            </w:r>
          </w:p>
        </w:tc>
        <w:tc>
          <w:tcPr>
            <w:tcW w:type="dxa" w:w="18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$81,672</w:t>
            </w:r>
          </w:p>
        </w:tc>
        <w:tc>
          <w:tcPr>
            <w:tcW w:type="dxa" w:w="17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$50,752.80</w:t>
            </w:r>
          </w:p>
        </w:tc>
        <w:tc>
          <w:tcPr>
            <w:tcW w:type="dxa" w:w="17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$50,752.80</w:t>
            </w:r>
          </w:p>
        </w:tc>
        <w:tc>
          <w:tcPr>
            <w:tcW w:type="dxa" w:w="17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2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$83,160</w:t>
            </w:r>
          </w:p>
        </w:tc>
      </w:tr>
    </w:tbl>
    <w:p>
      <w:pPr>
        <w:spacing w:after="40"/>
      </w:pPr>
    </w:p>
    <w:p>
      <w:pPr>
        <w:spacing w:before="120" w:after="80" w:line="300" w:lineRule="auto"/>
      </w:pPr>
      <w:r>
        <w:rPr>
          <w:rFonts w:ascii="Arial" w:hAnsi="Arial"/>
          <w:b w:val="0"/>
          <w:i/>
          <w:color w:val="667085"/>
          <w:sz w:val="16"/>
        </w:rPr>
        <w:t>No-loss projection only. A Confirmed Loss, overdue mandatory report, default, or open dispute may reduce or suspend release. The reserve is not insurance or a guarantee, and this model does not determine legal ownership while funds are locked.</w:t>
      </w: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00695C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Final financial outcome</w:t>
            </w:r>
          </w:p>
        </w:tc>
      </w:tr>
    </w:tbl>
    <w:p>
      <w:pPr>
        <w:spacing w:before="0" w:after="20" w:line="240" w:lineRule="auto"/>
      </w:pPr>
    </w:p>
    <w:p>
      <w:pPr>
        <w:pStyle w:val="Heading1"/>
      </w:pPr>
      <w:r>
        <w:t>Cash-flow summary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2150"/>
        <w:gridCol w:w="2200"/>
        <w:gridCol w:w="2200"/>
        <w:gridCol w:w="2956"/>
      </w:tblGrid>
      <w:tr>
        <w:trPr>
          <w:tblHeader w:val="true"/>
        </w:trPr>
        <w:tc>
          <w:tcPr>
            <w:tcW w:type="dxa" w:w="1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21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Period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22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Payment</w:t>
            </w:r>
          </w:p>
        </w:tc>
        <w:tc>
          <w:tcPr>
            <w:tcW w:type="dxa" w:w="29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Cumulative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0-6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$9,792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$9,792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6-12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$9,792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$19,584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12-18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$29,956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4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18-24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$40,328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24-30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$50,700</w:t>
            </w:r>
          </w:p>
        </w:tc>
      </w:tr>
      <w:tr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</w:t>
            </w:r>
          </w:p>
        </w:tc>
        <w:tc>
          <w:tcPr>
            <w:tcW w:type="dxa" w:w="2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30-36 months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$10,372</w:t>
            </w:r>
          </w:p>
        </w:tc>
        <w:tc>
          <w:tcPr>
            <w:tcW w:type="dxa" w:w="29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$61,072</w:t>
            </w:r>
          </w:p>
        </w:tc>
      </w:tr>
      <w:tr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At completion</w:t>
            </w:r>
          </w:p>
        </w:tc>
        <w:tc>
          <w:tcPr>
            <w:tcW w:type="dxa" w:w="2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36 months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-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$20,600</w:t>
            </w:r>
          </w:p>
        </w:tc>
        <w:tc>
          <w:tcPr>
            <w:tcW w:type="dxa" w:w="29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$81,672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Initial investment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Investor payout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Simple annualized ROI</w:t>
            </w:r>
          </w:p>
        </w:tc>
        <w:tc>
          <w:tcPr>
            <w:tcW w:type="dxa" w:w="2664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Net ROI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$81,672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~21.1%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+63.3%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Total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Initial investment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Initial capital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Investor payout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$81,672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36 months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Investor net profit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$31,672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ROI +63.3%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Simple annualized ROI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~21.1%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Total ROI divided by model duration</w:t>
            </w:r>
          </w:p>
        </w:tc>
      </w:tr>
    </w:tbl>
    <w:p>
      <w:pPr>
        <w:spacing w:after="40"/>
      </w:pPr>
    </w:p>
    <w:p>
      <w:pPr>
        <w:pStyle w:val="Heading1"/>
      </w:pPr>
      <w:r>
        <w:t>5. Key terms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60/40 split applies to net profit after pre-split costs.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20% performance fee applies only to the investor's 40% share.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$2,500 in cycles 3–6 is returned to the investor before the split as partial capital return; no Performance Fee applies.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53% reserve is formed from the farmer share; the unused balance is intended to be returned to the farmer under established rules.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Staged release is modeled for a no-Confirmed-Loss scenario and may be suspended by reporting failure, default, or dispute.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Simple annualized ROI divides total ROI by the model duration in years; it does not account for compounding or the timing of interim payments.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Model source: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Investment Model | VariantB v2.1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Investment Model - Hissar Sheep Breeding - EN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