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00695C"/>
          <w:sz w:val="17"/>
        </w:rPr>
        <w:t>ИНВЕСТИЦИОННАЯ МОДЕЛЬ</w:t>
      </w:r>
    </w:p>
    <w:p>
      <w:pPr>
        <w:spacing w:before="0" w:after="20" w:line="300" w:lineRule="auto"/>
        <w:jc w:val="center"/>
      </w:pPr>
      <w:r>
        <w:rPr>
          <w:rFonts w:ascii="Arial" w:hAnsi="Arial"/>
          <w:b/>
          <w:i w:val="0"/>
          <w:color w:val="004D40"/>
          <w:sz w:val="54"/>
        </w:rPr>
        <w:t>AgriPartners</w:t>
      </w:r>
    </w:p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102A43"/>
          <w:sz w:val="32"/>
        </w:rPr>
        <w:t>Откормочный комплекс Fidlot</w:t>
      </w:r>
    </w:p>
    <w:p>
      <w:pPr>
        <w:spacing w:before="0" w:after="140" w:line="300" w:lineRule="auto"/>
        <w:jc w:val="center"/>
      </w:pPr>
      <w:r>
        <w:rPr>
          <w:rFonts w:ascii="Arial" w:hAnsi="Arial"/>
          <w:b w:val="0"/>
          <w:i w:val="0"/>
          <w:color w:val="667085"/>
          <w:sz w:val="17"/>
        </w:rPr>
        <w:t>v5.9 | 7 циклов x 5 мес. | Сплит 60/40 | Резерв 44% | Fee 20% | RU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Стартовая инвестиция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Возврат инвестору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Простой годовой ROI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Чистый ROI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$50,000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$82,000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~21.9%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+64.0%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Демонстрационная финансовая модель. Все показатели являются прогнозными, не гарантируют доходность и не являются публичным предложением инвестировать.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Обзор программы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8"/>
        </w:rPr>
        <w:t>Инвестор финансирует закупку первых партий молодняка, откормочную базу и оборотный резерв. Партия из 50 голов откармливается 5 месяцев и продаётся по $1,000 за голову. Чистая прибыль делится 60/40. Performance Fee 20% удерживается только из доли инвестора.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8556"/>
      </w:tblGrid>
      <w:tr>
        <w:trPr>
          <w:tblHeader w:val="true"/>
        </w:trPr>
        <w:tc>
          <w:tcPr>
            <w:tcW w:type="dxa" w:w="21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Сумма</w:t>
            </w:r>
          </w:p>
        </w:tc>
        <w:tc>
          <w:tcPr>
            <w:tcW w:type="dxa" w:w="8556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Статья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$20,000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Начальный молодняк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85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Откормочная база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$12,000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Оборотный резерв</w:t>
            </w:r>
          </w:p>
        </w:tc>
      </w:tr>
      <w:tr>
        <w:tc>
          <w:tcPr>
            <w:tcW w:type="dxa" w:w="2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85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ИТОГО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50"/>
        <w:gridCol w:w="4306"/>
      </w:tblGrid>
      <w:tr>
        <w:trPr>
          <w:tblHeader w:val="true"/>
        </w:trPr>
        <w:tc>
          <w:tcPr>
            <w:tcW w:type="dxa" w:w="17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Сторона</w:t>
            </w:r>
          </w:p>
        </w:tc>
        <w:tc>
          <w:tcPr>
            <w:tcW w:type="dxa" w:w="465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Вклад</w:t>
            </w:r>
          </w:p>
        </w:tc>
        <w:tc>
          <w:tcPr>
            <w:tcW w:type="dxa" w:w="4306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AgriPartners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Финансирует активы и оборотный капитал</w:t>
            </w:r>
          </w:p>
        </w:tc>
        <w:tc>
          <w:tcPr>
            <w:tcW w:type="dxa" w:w="43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40% доли инвестора за вычетом Fee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Фермер</w:t>
            </w:r>
          </w:p>
        </w:tc>
        <w:tc>
          <w:tcPr>
            <w:tcW w:type="dxa" w:w="46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Предоставляет землю, труд и управление</w:t>
            </w:r>
          </w:p>
        </w:tc>
        <w:tc>
          <w:tcPr>
            <w:tcW w:type="dxa" w:w="43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60% доли и передаваемое имущество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1  |  0-5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фонда компании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$30,000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$9,600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$9,600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2  |  5-10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фонда компании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$30,000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$9,600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$9,600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3  |  10-15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4  |  15-20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5  |  20-25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6  |  25-30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7  |  30-35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Резерв защиты инвестора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7"/>
        </w:rPr>
        <w:t>Ставка: 44% от доли фермера. Необходимый резерв после каждого успешного цикла: max($10,000; $50,000 - фактически полученные инвестором выплаты). Последние $10,000 разблокируются только после завершения и исполнения всех обязательств.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50"/>
        <w:gridCol w:w="1750"/>
        <w:gridCol w:w="1750"/>
        <w:gridCol w:w="1700"/>
        <w:gridCol w:w="2356"/>
      </w:tblGrid>
      <w:tr>
        <w:trPr>
          <w:tblHeader w:val="true"/>
        </w:trPr>
        <w:tc>
          <w:tcPr>
            <w:tcW w:type="dxa" w:w="125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Цикл</w:t>
            </w:r>
          </w:p>
        </w:tc>
        <w:tc>
          <w:tcPr>
            <w:tcW w:type="dxa" w:w="185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Получено инвестором</w:t>
            </w:r>
          </w:p>
        </w:tc>
        <w:tc>
          <w:tcPr>
            <w:tcW w:type="dxa" w:w="175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Взнос в резерв</w:t>
            </w:r>
          </w:p>
        </w:tc>
        <w:tc>
          <w:tcPr>
            <w:tcW w:type="dxa" w:w="175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Разблокировано фермеру</w:t>
            </w:r>
          </w:p>
        </w:tc>
        <w:tc>
          <w:tcPr>
            <w:tcW w:type="dxa" w:w="17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Остаток резерва</w:t>
            </w:r>
          </w:p>
        </w:tc>
        <w:tc>
          <w:tcPr>
            <w:tcW w:type="dxa" w:w="2356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Доступно фермеру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1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$9,600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$7,920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$7,920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$7,330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2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$19,200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$7,920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$15,840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$7,330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3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$27,680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$516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$22,320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$6,670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4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$36,160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$15,476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$13,840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$21,630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5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$44,640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$10,836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$16,990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6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$53,120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$13,150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7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$61,600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$13,150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Завершение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$82,000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Итог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$82,000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$50,820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$50,820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$96,250</w:t>
            </w:r>
          </w:p>
        </w:tc>
      </w:tr>
    </w:tbl>
    <w:p>
      <w:pPr>
        <w:spacing w:after="40"/>
      </w:pPr>
    </w:p>
    <w:p>
      <w:pPr>
        <w:spacing w:before="120" w:after="80" w:line="300" w:lineRule="auto"/>
      </w:pPr>
      <w:r>
        <w:rPr>
          <w:rFonts w:ascii="Arial" w:hAnsi="Arial"/>
          <w:b w:val="0"/>
          <w:i/>
          <w:color w:val="667085"/>
          <w:sz w:val="16"/>
        </w:rPr>
        <w:t>Только расчётный сценарий без убытка. Подтверждённый убыток, просроченный обязательный отчёт, дефолт или открытый спор могут уменьшить или приостановить разблокирование. Резерв не является страховкой или гарантией; модель не определяет юридическую принадлежность заблокированных средств.</w:t>
      </w: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Итоговый финансовый баланс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</w:pPr>
      <w:r>
        <w:t>Сводная матрица денежных потоков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150"/>
        <w:gridCol w:w="2200"/>
        <w:gridCol w:w="2200"/>
        <w:gridCol w:w="2956"/>
      </w:tblGrid>
      <w:tr>
        <w:trPr>
          <w:tblHeader w:val="true"/>
        </w:trPr>
        <w:tc>
          <w:tcPr>
            <w:tcW w:type="dxa" w:w="11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Цикл</w:t>
            </w:r>
          </w:p>
        </w:tc>
        <w:tc>
          <w:tcPr>
            <w:tcW w:type="dxa" w:w="21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Период</w:t>
            </w:r>
          </w:p>
        </w:tc>
        <w:tc>
          <w:tcPr>
            <w:tcW w:type="dxa" w:w="22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Чистая прибыль</w:t>
            </w:r>
          </w:p>
        </w:tc>
        <w:tc>
          <w:tcPr>
            <w:tcW w:type="dxa" w:w="22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Выплата</w:t>
            </w:r>
          </w:p>
        </w:tc>
        <w:tc>
          <w:tcPr>
            <w:tcW w:type="dxa" w:w="29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Накоплено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0-5 мес.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$9,600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$9,600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2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5-10 мес.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$30,000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$9,600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$19,200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10-15 мес.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$27,680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4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15-20 мес.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$36,160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5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20-25 мес.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$44,640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6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25-30 мес.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$53,120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7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30-35 мес.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$61,600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По завершении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35 мес.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-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$20,400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$82,000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Стартовая инвестиция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Возврат инвестору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Простой годовой ROI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Чистый ROI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$50,000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$82,000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~21.9%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+64.0%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300"/>
        <w:gridCol w:w="4356"/>
      </w:tblGrid>
      <w:tr>
        <w:trPr>
          <w:tblHeader w:val="true"/>
        </w:trPr>
        <w:tc>
          <w:tcPr>
            <w:tcW w:type="dxa" w:w="40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Показатель</w:t>
            </w:r>
          </w:p>
        </w:tc>
        <w:tc>
          <w:tcPr>
            <w:tcW w:type="dxa" w:w="23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Итог</w:t>
            </w:r>
          </w:p>
        </w:tc>
        <w:tc>
          <w:tcPr>
            <w:tcW w:type="dxa" w:w="4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Стартовая инвестиция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Стартовый капитал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Возврат инвестору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$82,000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35 мес.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Чистая прибыль инвестора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$32,000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ROI +64.0%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Простой годовой ROI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~21.9%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Общий ROI, делённый на срок модели</w:t>
            </w:r>
          </w:p>
        </w:tc>
      </w:tr>
    </w:tbl>
    <w:p>
      <w:pPr>
        <w:spacing w:after="40"/>
      </w:pPr>
    </w:p>
    <w:p>
      <w:pPr>
        <w:pStyle w:val="Heading1"/>
      </w:pPr>
      <w:r>
        <w:t>5. Ключевые условия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Сплит 60/40 применяется к чистой прибыли после затрат до раздела.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Performance Fee 20% удерживается только из инвесторской доли 40%.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Резерв 44% формируется из доли фермера; неиспользованный остаток предполагается вернуть фермеру по установленным правилам.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Поэтапное разблокирование рассчитано для сценария без подтверждённых убытков и может быть приостановлено при отчётности, дефолте или споре.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Простой годовой ROI — это общий ROI, делённый на срок модели в годах; показатель не учитывает сложный процент и даты промежуточных выплат.</w:t>
      </w:r>
    </w:p>
    <w:p>
      <w:pPr>
        <w:spacing w:before="160" w:after="80" w:line="300" w:lineRule="auto"/>
      </w:pPr>
      <w:r>
        <w:rPr>
          <w:rFonts w:ascii="Arial" w:hAnsi="Arial"/>
          <w:b w:val="0"/>
          <w:i/>
          <w:color w:val="667085"/>
          <w:sz w:val="17"/>
        </w:rPr>
        <w:t>Источник модели: AgriPartners 60/40 financial model.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Демонстрационная финансовая модель. Все показатели являются прогнозными, не гарантируют доходность и не являются публичным предложением инвестировать.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792" w:bottom="893" w:left="79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667085"/>
        <w:sz w:val="15"/>
      </w:rPr>
      <w:t>AgriPartners | Инвестиционная модель | v5.9 | 60/40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6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69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69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0" w:hanging="271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Инвестиционная модель - Откормочный комплекс Fidlot - RU</dc:title>
  <dc:subject>AgriPartners 60/40 demonstration financial model</dc:subject>
  <dc:creator>AgriPartners</dc:creator>
  <cp:keywords>AgriPartners, 60/40, agriculture, financial model</cp:keywords>
  <dc:description>generated by python-docx</dc:description>
  <cp:lastModifiedBy>AgriPartners</cp:lastModifiedBy>
  <cp:revision>1</cp:revision>
  <dcterms:created xsi:type="dcterms:W3CDTF">2013-12-23T23:15:00Z</dcterms:created>
  <dcterms:modified xsi:type="dcterms:W3CDTF">2013-12-23T23:15:00Z</dcterms:modified>
  <cp:category/>
</cp:coreProperties>
</file>